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88f8153bebc3ee0e965d8e3ab6cafdcde203b41"/>
    <w:p>
      <w:pPr>
        <w:pStyle w:val="Heading1"/>
      </w:pPr>
      <w:r>
        <w:t xml:space="preserve">Solvability of future scope and limitations in Agentic Reasoning for Large Language Models</w:t>
      </w:r>
    </w:p>
    <w:bookmarkStart w:id="23" w:name="executive-summary"/>
    <w:p>
      <w:pPr>
        <w:pStyle w:val="Heading2"/>
      </w:pPr>
      <w:r>
        <w:t xml:space="preserve">Executive summary</w:t>
      </w:r>
    </w:p>
    <w:p>
      <w:pPr>
        <w:pStyle w:val="FirstParagraph"/>
      </w:pPr>
      <w:r>
        <w:t xml:space="preserve">The survey</w:t>
      </w:r>
      <w:r>
        <w:t xml:space="preserve"> </w:t>
      </w:r>
      <w:r>
        <w:rPr>
          <w:i/>
          <w:iCs/>
        </w:rPr>
        <w:t xml:space="preserve">Agentic Reasoning for Large Language Models</w:t>
      </w:r>
      <w:r>
        <w:t xml:space="preserve"> </w:t>
      </w:r>
      <w:r>
        <w:t xml:space="preserve">frames the main forward-looking gaps in agentic systems as (i) user-centric personalisation, (ii) robust long-horizon interaction with correct credit assignment, (iii) world-model-based reasoning, (iv) scalable multi-agent collaboration and training, (v) latent (non-verbal) agentic reasoning, and (vi) governance frameworks for real-world deployment.</w:t>
      </w:r>
      <w:r>
        <w:t xml:space="preserve"> </w:t>
      </w:r>
      <w:hyperlink r:id="rId21">
        <w:r>
          <w:rPr>
            <w:rStyle w:val="Hyperlink"/>
          </w:rPr>
          <w:t xml:space="preserve">[1]</w:t>
        </w:r>
      </w:hyperlink>
    </w:p>
    <w:p>
      <w:pPr>
        <w:pStyle w:val="BodyText"/>
      </w:pPr>
      <w:r>
        <w:t xml:space="preserve">Across these items, the evidence from the last ~5 years indicates that</w:t>
      </w:r>
      <w:r>
        <w:t xml:space="preserve"> </w:t>
      </w:r>
      <w:r>
        <w:rPr>
          <w:b/>
          <w:bCs/>
        </w:rPr>
        <w:t xml:space="preserve">each limitation is addressable to a meaningful degree</w:t>
      </w:r>
      <w:r>
        <w:t xml:space="preserve">, but “solved” should be interpreted as</w:t>
      </w:r>
      <w:r>
        <w:t xml:space="preserve"> </w:t>
      </w:r>
      <w:r>
        <w:rPr>
          <w:b/>
          <w:bCs/>
        </w:rPr>
        <w:t xml:space="preserve">domain-bounded and risk-managed</w:t>
      </w:r>
      <w:r>
        <w:t xml:space="preserve"> </w:t>
      </w:r>
      <w:r>
        <w:t xml:space="preserve">rather than universally solved in open-ended environments. The strongest near-term progress is in (a) training agents directly in interactive environments with reinforcement learning (RL) to improve long-horizon behaviour (e.g., AppWorld-oriented RL and web-agent RL), and (b) adding persistent memory and preference-learning infrastructure for personalisation.</w:t>
      </w:r>
      <w:r>
        <w:t xml:space="preserve"> </w:t>
      </w:r>
      <w:hyperlink r:id="rId22">
        <w:r>
          <w:rPr>
            <w:rStyle w:val="Hyperlink"/>
          </w:rPr>
          <w:t xml:space="preserve">[2]</w:t>
        </w:r>
      </w:hyperlink>
    </w:p>
    <w:p>
      <w:pPr>
        <w:pStyle w:val="BodyText"/>
      </w:pPr>
      <w:r>
        <w:t xml:space="preserve">The survey’s governance item is the least “solvable” as a one-off research problem: it is better treated as</w:t>
      </w:r>
      <w:r>
        <w:t xml:space="preserve"> </w:t>
      </w:r>
      <w:r>
        <w:rPr>
          <w:b/>
          <w:bCs/>
        </w:rPr>
        <w:t xml:space="preserve">a continuous engineering+policy discipline</w:t>
      </w:r>
      <w:r>
        <w:t xml:space="preserve"> </w:t>
      </w:r>
      <w:r>
        <w:t xml:space="preserve">combining technical controls (sandboxing, permissions, monitoring, red-teaming, prompt-injection defences) with organisational risk management and legal compliance regimes.</w:t>
      </w:r>
      <w:r>
        <w:t xml:space="preserve"> </w:t>
      </w:r>
      <w:hyperlink r:id="rId21">
        <w:r>
          <w:rPr>
            <w:rStyle w:val="Hyperlink"/>
          </w:rPr>
          <w:t xml:space="preserve">[3]</w:t>
        </w:r>
      </w:hyperlink>
    </w:p>
    <w:p>
      <w:pPr>
        <w:pStyle w:val="BodyText"/>
      </w:pPr>
      <w:r>
        <w:t xml:space="preserve">A practical conclusion from the literature is that</w:t>
      </w:r>
      <w:r>
        <w:t xml:space="preserve"> </w:t>
      </w:r>
      <w:r>
        <w:rPr>
          <w:b/>
          <w:bCs/>
        </w:rPr>
        <w:t xml:space="preserve">measurement is a bottleneck</w:t>
      </w:r>
      <w:r>
        <w:t xml:space="preserve">: many “capability” limitations are hard to close without reliable benchmarks that measure long-horizon correctness, safety under tool use, and robustness under distribution shift. The survey explicitly notes benchmark saturation and partial metrics (e.g., final-answer accuracy) and that evaluating tool use remains an open challenge due to task/tool diversity.</w:t>
      </w:r>
      <w:r>
        <w:t xml:space="preserve"> </w:t>
      </w:r>
      <w:hyperlink r:id="rId21">
        <w:r>
          <w:rPr>
            <w:rStyle w:val="Hyperlink"/>
          </w:rPr>
          <w:t xml:space="preserve">[4]</w:t>
        </w:r>
      </w:hyperlink>
    </w:p>
    <w:bookmarkEnd w:id="23"/>
    <w:bookmarkStart w:id="26" w:name="X1fedf77d45bbee2b9c82a97066bbfdf81c529e2"/>
    <w:p>
      <w:pPr>
        <w:pStyle w:val="Heading2"/>
      </w:pPr>
      <w:r>
        <w:t xml:space="preserve">What the paper explicitly states as limitations and future work</w:t>
      </w:r>
    </w:p>
    <w:p>
      <w:pPr>
        <w:pStyle w:val="FirstParagraph"/>
      </w:pPr>
      <w:r>
        <w:t xml:space="preserve">The paper contains a dedicated “Open Problems” section with six explicit future directions, plus additional explicit limitations and challenges embedded throughout the discussion of planning, tool use, search, feedback/memory, multi-agent evolution, and evaluation.</w:t>
      </w:r>
      <w:r>
        <w:t xml:space="preserve"> </w:t>
      </w:r>
      <w:hyperlink r:id="rId21">
        <w:r>
          <w:rPr>
            <w:rStyle w:val="Hyperlink"/>
          </w:rPr>
          <w:t xml:space="preserve">[5]</w:t>
        </w:r>
      </w:hyperlink>
    </w:p>
    <w:bookmarkStart w:id="24" w:name="X5fb73a90dfdfccb90305e0f9871b6f6384063a0"/>
    <w:p>
      <w:pPr>
        <w:pStyle w:val="Heading3"/>
      </w:pPr>
      <w:r>
        <w:t xml:space="preserve">Explicit future directions in the Open Problems section</w:t>
      </w:r>
    </w:p>
    <w:p>
      <w:pPr>
        <w:pStyle w:val="FirstParagraph"/>
      </w:pPr>
      <w:r>
        <w:t xml:space="preserve">The six explicit future directions are:</w:t>
      </w:r>
    </w:p>
    <w:p>
      <w:pPr>
        <w:pStyle w:val="Compact"/>
        <w:numPr>
          <w:ilvl w:val="0"/>
          <w:numId w:val="1001"/>
        </w:numPr>
      </w:pPr>
      <w:r>
        <w:rPr>
          <w:b/>
          <w:bCs/>
        </w:rPr>
        <w:t xml:space="preserve">User-centric agentic reasoning and personalisation</w:t>
      </w:r>
      <w:r>
        <w:t xml:space="preserve">: learning and adapting to an individual user over time; handling non-stationary objectives; balancing short-term task reward with longer-term satisfaction/trust.</w:t>
      </w:r>
      <w:r>
        <w:t xml:space="preserve"> </w:t>
      </w:r>
      <w:hyperlink r:id="rId21">
        <w:r>
          <w:rPr>
            <w:rStyle w:val="Hyperlink"/>
          </w:rPr>
          <w:t xml:space="preserve">[6]</w:t>
        </w:r>
      </w:hyperlink>
    </w:p>
    <w:p>
      <w:pPr>
        <w:pStyle w:val="Compact"/>
        <w:numPr>
          <w:ilvl w:val="0"/>
          <w:numId w:val="1001"/>
        </w:numPr>
      </w:pPr>
      <w:r>
        <w:rPr>
          <w:b/>
          <w:bCs/>
        </w:rPr>
        <w:t xml:space="preserve">Long-horizon interaction and credit assignment</w:t>
      </w:r>
      <w:r>
        <w:t xml:space="preserve">: controlling error compounding in long tasks; assigning credit across tokens, tool calls, skills, and memory updates; generalising across long sequences of episodes and tasks.</w:t>
      </w:r>
      <w:r>
        <w:t xml:space="preserve"> </w:t>
      </w:r>
      <w:hyperlink r:id="rId21">
        <w:r>
          <w:rPr>
            <w:rStyle w:val="Hyperlink"/>
          </w:rPr>
          <w:t xml:space="preserve">[6]</w:t>
        </w:r>
      </w:hyperlink>
    </w:p>
    <w:p>
      <w:pPr>
        <w:pStyle w:val="Compact"/>
        <w:numPr>
          <w:ilvl w:val="0"/>
          <w:numId w:val="1001"/>
        </w:numPr>
      </w:pPr>
      <w:r>
        <w:rPr>
          <w:b/>
          <w:bCs/>
        </w:rPr>
        <w:t xml:space="preserve">World-model-based agentic reasoning</w:t>
      </w:r>
      <w:r>
        <w:t xml:space="preserve">: reducing myopic behaviour via lookahead/simulation; addressing ad hoc representations and short-horizon training; jointly training/updating/evaluating world models under non-stationarity; measuring causal impact on planning reliability.</w:t>
      </w:r>
      <w:r>
        <w:t xml:space="preserve"> </w:t>
      </w:r>
      <w:hyperlink r:id="rId21">
        <w:r>
          <w:rPr>
            <w:rStyle w:val="Hyperlink"/>
          </w:rPr>
          <w:t xml:space="preserve">[7]</w:t>
        </w:r>
      </w:hyperlink>
    </w:p>
    <w:p>
      <w:pPr>
        <w:pStyle w:val="Compact"/>
        <w:numPr>
          <w:ilvl w:val="0"/>
          <w:numId w:val="1001"/>
        </w:numPr>
      </w:pPr>
      <w:r>
        <w:rPr>
          <w:b/>
          <w:bCs/>
        </w:rPr>
        <w:t xml:space="preserve">Multi-agent collaborative reasoning and training</w:t>
      </w:r>
      <w:r>
        <w:t xml:space="preserve">: moving beyond manually designed collaboration structures; learning collaboration as a trainable skill; addressing group-level credit assignment; scaling to larger agent populations with topology adaptation, coordination overhead, and safety; robustness under partial observability and adversarial conditions.</w:t>
      </w:r>
      <w:r>
        <w:t xml:space="preserve"> </w:t>
      </w:r>
      <w:hyperlink r:id="rId21">
        <w:r>
          <w:rPr>
            <w:rStyle w:val="Hyperlink"/>
          </w:rPr>
          <w:t xml:space="preserve">[8]</w:t>
        </w:r>
      </w:hyperlink>
    </w:p>
    <w:p>
      <w:pPr>
        <w:pStyle w:val="Compact"/>
        <w:numPr>
          <w:ilvl w:val="0"/>
          <w:numId w:val="1001"/>
        </w:numPr>
      </w:pPr>
      <w:r>
        <w:rPr>
          <w:b/>
          <w:bCs/>
        </w:rPr>
        <w:t xml:space="preserve">Latent agentic reasoning</w:t>
      </w:r>
      <w:r>
        <w:t xml:space="preserve">: shifting planning/decision/coordination into latent spaces for efficiency; the trade-off is reduced interpretability/controllability; need objectives, probing methods, and benchmarks that make the approach auditable.</w:t>
      </w:r>
      <w:r>
        <w:t xml:space="preserve"> </w:t>
      </w:r>
      <w:hyperlink r:id="rId21">
        <w:r>
          <w:rPr>
            <w:rStyle w:val="Hyperlink"/>
          </w:rPr>
          <w:t xml:space="preserve">[8]</w:t>
        </w:r>
      </w:hyperlink>
    </w:p>
    <w:p>
      <w:pPr>
        <w:pStyle w:val="Compact"/>
        <w:numPr>
          <w:ilvl w:val="0"/>
          <w:numId w:val="1001"/>
        </w:numPr>
      </w:pPr>
      <w:r>
        <w:rPr>
          <w:b/>
          <w:bCs/>
        </w:rPr>
        <w:t xml:space="preserve">Governance of agentic reasoning</w:t>
      </w:r>
      <w:r>
        <w:t xml:space="preserve">: agentic systems introduce additional risks (long-horizon planning, persistent memory, real-world action); failures are hard to attribute/audit; existing benchmarks/guardrails focus on short-horizon behaviours and underexplore planning-time failures and multi-agent dynamics; need governance frameworks under realistic deployment.</w:t>
      </w:r>
      <w:r>
        <w:t xml:space="preserve"> </w:t>
      </w:r>
      <w:hyperlink r:id="rId21">
        <w:r>
          <w:rPr>
            <w:rStyle w:val="Hyperlink"/>
          </w:rPr>
          <w:t xml:space="preserve">[9]</w:t>
        </w:r>
      </w:hyperlink>
    </w:p>
    <w:bookmarkEnd w:id="24"/>
    <w:bookmarkStart w:id="25" w:name="Xa854bf5cb19e435d1ac632173d7cfe9214b65ba"/>
    <w:p>
      <w:pPr>
        <w:pStyle w:val="Heading3"/>
      </w:pPr>
      <w:r>
        <w:t xml:space="preserve">Other explicit limitations/challenges stated outside the Open Problems section</w:t>
      </w:r>
    </w:p>
    <w:p>
      <w:pPr>
        <w:pStyle w:val="FirstParagraph"/>
      </w:pPr>
      <w:r>
        <w:t xml:space="preserve">The most operationally actionable explicit limitations (because they are phrased as constraints on current methods) include:</w:t>
      </w:r>
    </w:p>
    <w:p>
      <w:pPr>
        <w:pStyle w:val="Compact"/>
        <w:numPr>
          <w:ilvl w:val="0"/>
          <w:numId w:val="1002"/>
        </w:numPr>
      </w:pPr>
      <w:r>
        <w:rPr>
          <w:b/>
          <w:bCs/>
        </w:rPr>
        <w:t xml:space="preserve">Long-horizon error accumulation in workflow-based planning</w:t>
      </w:r>
      <w:r>
        <w:t xml:space="preserve">: reactive plan–act loops are effective but can accumulate errors over long horizons, motivating incremental verification and memory to stabilise execution.</w:t>
      </w:r>
      <w:r>
        <w:t xml:space="preserve"> </w:t>
      </w:r>
      <w:hyperlink r:id="rId21">
        <w:r>
          <w:rPr>
            <w:rStyle w:val="Hyperlink"/>
          </w:rPr>
          <w:t xml:space="preserve">[10]</w:t>
        </w:r>
      </w:hyperlink>
    </w:p>
    <w:p>
      <w:pPr>
        <w:pStyle w:val="Compact"/>
        <w:numPr>
          <w:ilvl w:val="0"/>
          <w:numId w:val="1002"/>
        </w:numPr>
      </w:pPr>
      <w:r>
        <w:rPr>
          <w:b/>
          <w:bCs/>
        </w:rPr>
        <w:t xml:space="preserve">Tool-use scaling and context limits</w:t>
      </w:r>
      <w:r>
        <w:t xml:space="preserve">: tool-use performance degrades as toolsets grow more complex; in-context methods are bounded by frozen-model capability and context-window length.</w:t>
      </w:r>
      <w:r>
        <w:t xml:space="preserve"> </w:t>
      </w:r>
      <w:hyperlink r:id="rId21">
        <w:r>
          <w:rPr>
            <w:rStyle w:val="Hyperlink"/>
          </w:rPr>
          <w:t xml:space="preserve">[11]</w:t>
        </w:r>
      </w:hyperlink>
    </w:p>
    <w:p>
      <w:pPr>
        <w:pStyle w:val="Compact"/>
        <w:numPr>
          <w:ilvl w:val="0"/>
          <w:numId w:val="1002"/>
        </w:numPr>
      </w:pPr>
      <w:r>
        <w:rPr>
          <w:b/>
          <w:bCs/>
        </w:rPr>
        <w:t xml:space="preserve">Post-training overfitting and brittleness for tool use</w:t>
      </w:r>
      <w:r>
        <w:t xml:space="preserve">: supervised fine-tuning (SFT) can overfit to tool-call patterns, producing brittle tool-selection and limited adaptability out of distribution.</w:t>
      </w:r>
      <w:r>
        <w:t xml:space="preserve"> </w:t>
      </w:r>
      <w:hyperlink r:id="rId21">
        <w:r>
          <w:rPr>
            <w:rStyle w:val="Hyperlink"/>
          </w:rPr>
          <w:t xml:space="preserve">[12]</w:t>
        </w:r>
      </w:hyperlink>
    </w:p>
    <w:p>
      <w:pPr>
        <w:pStyle w:val="Compact"/>
        <w:numPr>
          <w:ilvl w:val="0"/>
          <w:numId w:val="1002"/>
        </w:numPr>
      </w:pPr>
      <w:r>
        <w:rPr>
          <w:b/>
          <w:bCs/>
        </w:rPr>
        <w:t xml:space="preserve">Prompt-engineering fragility for agentic retrieval/search</w:t>
      </w:r>
      <w:r>
        <w:t xml:space="preserve">: in-context agentic RAG methods are flexible but rely on prompt engineering and can struggle with stability across domains.</w:t>
      </w:r>
      <w:r>
        <w:t xml:space="preserve"> </w:t>
      </w:r>
      <w:hyperlink r:id="rId21">
        <w:r>
          <w:rPr>
            <w:rStyle w:val="Hyperlink"/>
          </w:rPr>
          <w:t xml:space="preserve">[13]</w:t>
        </w:r>
      </w:hyperlink>
    </w:p>
    <w:p>
      <w:pPr>
        <w:pStyle w:val="Compact"/>
        <w:numPr>
          <w:ilvl w:val="0"/>
          <w:numId w:val="1002"/>
        </w:numPr>
      </w:pPr>
      <w:r>
        <w:rPr>
          <w:b/>
          <w:bCs/>
        </w:rPr>
        <w:t xml:space="preserve">Non-diagnostic validator feedback</w:t>
      </w:r>
      <w:r>
        <w:t xml:space="preserve">: validator-driven retry loops improve correctness but feedback is non-diagnostic—fixing outputs without explaining failures or changing reasoning behaviour.</w:t>
      </w:r>
      <w:r>
        <w:t xml:space="preserve"> </w:t>
      </w:r>
      <w:hyperlink r:id="rId21">
        <w:r>
          <w:rPr>
            <w:rStyle w:val="Hyperlink"/>
          </w:rPr>
          <w:t xml:space="preserve">[14]</w:t>
        </w:r>
      </w:hyperlink>
    </w:p>
    <w:p>
      <w:pPr>
        <w:pStyle w:val="Compact"/>
        <w:numPr>
          <w:ilvl w:val="0"/>
          <w:numId w:val="1002"/>
        </w:numPr>
      </w:pPr>
      <w:r>
        <w:rPr>
          <w:b/>
          <w:bCs/>
        </w:rPr>
        <w:t xml:space="preserve">Static retrieval/search in early systems</w:t>
      </w:r>
      <w:r>
        <w:t xml:space="preserve">: early search was static and lacked adaptive control over memory evolution or search improvement over time.</w:t>
      </w:r>
      <w:r>
        <w:t xml:space="preserve"> </w:t>
      </w:r>
      <w:hyperlink r:id="rId21">
        <w:r>
          <w:rPr>
            <w:rStyle w:val="Hyperlink"/>
          </w:rPr>
          <w:t xml:space="preserve">[15]</w:t>
        </w:r>
      </w:hyperlink>
    </w:p>
    <w:p>
      <w:pPr>
        <w:pStyle w:val="Compact"/>
        <w:numPr>
          <w:ilvl w:val="0"/>
          <w:numId w:val="1002"/>
        </w:numPr>
      </w:pPr>
      <w:r>
        <w:rPr>
          <w:b/>
          <w:bCs/>
        </w:rPr>
        <w:t xml:space="preserve">Multi-agent memory shortcomings</w:t>
      </w:r>
      <w:r>
        <w:t xml:space="preserve">: prior multi-agent memory mechanisms were overly simplistic and lacked per-agent customisation; moreover, extending post-training to co-evolve multi-agent memory structures/management is explicitly described as an open problem.</w:t>
      </w:r>
      <w:r>
        <w:t xml:space="preserve"> </w:t>
      </w:r>
      <w:hyperlink r:id="rId21">
        <w:r>
          <w:rPr>
            <w:rStyle w:val="Hyperlink"/>
          </w:rPr>
          <w:t xml:space="preserve">[16]</w:t>
        </w:r>
      </w:hyperlink>
    </w:p>
    <w:p>
      <w:pPr>
        <w:pStyle w:val="Compact"/>
        <w:numPr>
          <w:ilvl w:val="0"/>
          <w:numId w:val="1002"/>
        </w:numPr>
      </w:pPr>
      <w:r>
        <w:rPr>
          <w:b/>
          <w:bCs/>
        </w:rPr>
        <w:t xml:space="preserve">Evaluation weaknesses</w:t>
      </w:r>
      <w:r>
        <w:t xml:space="preserve">: math/code benchmarks are saturated; final-answer accuracy gives only a partial view of reasoning and adaptability; evaluating tool-using models remains an open challenge due to diversity of tasks/tools/usage scenarios.</w:t>
      </w:r>
      <w:r>
        <w:t xml:space="preserve"> </w:t>
      </w:r>
      <w:hyperlink r:id="rId21">
        <w:r>
          <w:rPr>
            <w:rStyle w:val="Hyperlink"/>
          </w:rPr>
          <w:t xml:space="preserve">[4]</w:t>
        </w:r>
      </w:hyperlink>
    </w:p>
    <w:bookmarkEnd w:id="25"/>
    <w:bookmarkEnd w:id="26"/>
    <w:bookmarkStart w:id="28" w:name="X8cc89ac829050bfe8f90ecdfcddf22eb1b8ddd1"/>
    <w:p>
      <w:pPr>
        <w:pStyle w:val="Heading2"/>
      </w:pPr>
      <w:r>
        <w:t xml:space="preserve">Implicit limitations inferred from the paper’s framing</w:t>
      </w:r>
    </w:p>
    <w:p>
      <w:pPr>
        <w:pStyle w:val="FirstParagraph"/>
      </w:pPr>
      <w:r>
        <w:t xml:space="preserve">The following limitations are not always spelled out as “limitations” in one sentence, but they follow from the survey’s own problem structure (agents acting over tools/environments over long horizons) and from the failure modes the survey highlights (error compounding, non-stationarity, underexplored governance).</w:t>
      </w:r>
      <w:r>
        <w:t xml:space="preserve"> </w:t>
      </w:r>
      <w:hyperlink r:id="rId21">
        <w:r>
          <w:rPr>
            <w:rStyle w:val="Hyperlink"/>
          </w:rPr>
          <w:t xml:space="preserve">[17]</w:t>
        </w:r>
      </w:hyperlink>
    </w:p>
    <w:p>
      <w:pPr>
        <w:pStyle w:val="BodyText"/>
      </w:pPr>
      <w:r>
        <w:rPr>
          <w:b/>
          <w:bCs/>
        </w:rPr>
        <w:t xml:space="preserve">Security of tool-using agents against untrusted inputs and prompt injection</w:t>
      </w:r>
      <w:r>
        <w:t xml:space="preserve"> </w:t>
      </w:r>
      <w:r>
        <w:t xml:space="preserve">is implicitly central because agentic systems consume web content/tool outputs and then act; prompt injection is a concrete mechanism by which reasoning and tool selection can be subverted. This is well-documented in agent-specific security benchmarks and analyses of indirect prompt injection.</w:t>
      </w:r>
      <w:r>
        <w:t xml:space="preserve"> </w:t>
      </w:r>
      <w:hyperlink r:id="rId27">
        <w:r>
          <w:rPr>
            <w:rStyle w:val="Hyperlink"/>
          </w:rPr>
          <w:t xml:space="preserve">[18]</w:t>
        </w:r>
      </w:hyperlink>
    </w:p>
    <w:p>
      <w:pPr>
        <w:pStyle w:val="BodyText"/>
      </w:pPr>
      <w:r>
        <w:rPr>
          <w:b/>
          <w:bCs/>
        </w:rPr>
        <w:t xml:space="preserve">Privacy and data governance for persistent memory and personalisation</w:t>
      </w:r>
      <w:r>
        <w:t xml:space="preserve"> </w:t>
      </w:r>
      <w:r>
        <w:t xml:space="preserve">is implicit in any approach that “models user characteristics, preferences, and interaction history over time”; even if solved technically, real deployment requires consent, data minimisation, retention controls, and auditability.</w:t>
      </w:r>
      <w:r>
        <w:t xml:space="preserve"> </w:t>
      </w:r>
      <w:hyperlink r:id="rId21">
        <w:r>
          <w:rPr>
            <w:rStyle w:val="Hyperlink"/>
          </w:rPr>
          <w:t xml:space="preserve">[19]</w:t>
        </w:r>
      </w:hyperlink>
    </w:p>
    <w:p>
      <w:pPr>
        <w:pStyle w:val="BodyText"/>
      </w:pPr>
      <w:r>
        <w:rPr>
          <w:b/>
          <w:bCs/>
        </w:rPr>
        <w:t xml:space="preserve">Operational cost and latency as a binding constraint</w:t>
      </w:r>
      <w:r>
        <w:t xml:space="preserve"> </w:t>
      </w:r>
      <w:r>
        <w:t xml:space="preserve">is implicit because many proposed solutions (tree search, multi-agent debate, world-model simulation, long-horizon RL) increase test-time compute and tool calls; practical “solving” depends strongly on resource tier (start-up vs. well-funded lab vs. hyperscaler).</w:t>
      </w:r>
      <w:r>
        <w:t xml:space="preserve"> </w:t>
      </w:r>
      <w:hyperlink r:id="rId21">
        <w:r>
          <w:rPr>
            <w:rStyle w:val="Hyperlink"/>
          </w:rPr>
          <w:t xml:space="preserve">[20]</w:t>
        </w:r>
      </w:hyperlink>
    </w:p>
    <w:bookmarkEnd w:id="28"/>
    <w:bookmarkStart w:id="71" w:name="X7b2bbf3e6589cc80a22a168826a11c5968485ca"/>
    <w:p>
      <w:pPr>
        <w:pStyle w:val="Heading2"/>
      </w:pPr>
      <w:r>
        <w:t xml:space="preserve">Recent work addressing each limitation and feasibility assessment</w:t>
      </w:r>
    </w:p>
    <w:p>
      <w:pPr>
        <w:pStyle w:val="FirstParagraph"/>
      </w:pPr>
      <w:r>
        <w:t xml:space="preserve">To respect the paper’s breadth, the limitations above are consolidated into nine clusters that cover all explicit items while remaining actionable.</w:t>
      </w:r>
      <w:r>
        <w:t xml:space="preserve"> </w:t>
      </w:r>
      <w:hyperlink r:id="rId21">
        <w:r>
          <w:rPr>
            <w:rStyle w:val="Hyperlink"/>
          </w:rPr>
          <w:t xml:space="preserve">[21]</w:t>
        </w:r>
      </w:hyperlink>
    </w:p>
    <w:bookmarkStart w:id="34" w:name="Xebddbaae0af3e61352809799a9d02d48c95739b"/>
    <w:p>
      <w:pPr>
        <w:pStyle w:val="Heading3"/>
      </w:pPr>
      <w:r>
        <w:t xml:space="preserve">User-centric personalisation and long-term user modelling</w:t>
      </w:r>
    </w:p>
    <w:p>
      <w:pPr>
        <w:pStyle w:val="FirstParagraph"/>
      </w:pPr>
      <w:r>
        <w:t xml:space="preserve">Recent work shows three practical “tracks” to address this: (i) persistent memory architectures, (ii) explicit preference-learning benchmarks/objectives, and (iii) training/evaluating user-centric interaction policies in simulated-user gym environments.</w:t>
      </w:r>
    </w:p>
    <w:p>
      <w:pPr>
        <w:pStyle w:val="BodyText"/>
      </w:pPr>
      <w:r>
        <w:t xml:space="preserve">Persistent memory systems and personalisation frameworks propose architectural patterns for long-term user modelling, including multi-tier memory management and user-profile integration.</w:t>
      </w:r>
      <w:r>
        <w:t xml:space="preserve"> </w:t>
      </w:r>
      <w:hyperlink r:id="rId29">
        <w:r>
          <w:rPr>
            <w:rStyle w:val="Hyperlink"/>
          </w:rPr>
          <w:t xml:space="preserve">[22]</w:t>
        </w:r>
      </w:hyperlink>
      <w:r>
        <w:t xml:space="preserve"> </w:t>
      </w:r>
      <w:r>
        <w:t xml:space="preserve">Preference-centric benchmarks explicitly target individual preference modelling and highlight that “re-prompting each session” is a limitation of non-personalised interaction.</w:t>
      </w:r>
      <w:r>
        <w:t xml:space="preserve"> </w:t>
      </w:r>
      <w:hyperlink r:id="rId30">
        <w:r>
          <w:rPr>
            <w:rStyle w:val="Hyperlink"/>
          </w:rPr>
          <w:t xml:space="preserve">[23]</w:t>
        </w:r>
      </w:hyperlink>
      <w:r>
        <w:t xml:space="preserve"> </w:t>
      </w:r>
      <w:r>
        <w:t xml:space="preserve">User-centric RL frameworks define multi-turn interactive environments with simulated users and study reward assignment and user simulation fidelity as determinants of improvement.</w:t>
      </w:r>
      <w:r>
        <w:t xml:space="preserve"> </w:t>
      </w:r>
      <w:hyperlink r:id="rId31">
        <w:r>
          <w:rPr>
            <w:rStyle w:val="Hyperlink"/>
          </w:rPr>
          <w:t xml:space="preserve">[24]</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Persistent memory + user profiles (retrieval + write policies)</w:t>
            </w:r>
          </w:p>
        </w:tc>
        <w:tc>
          <w:tcPr/>
          <w:p>
            <w:pPr>
              <w:pStyle w:val="Compact"/>
            </w:pPr>
            <w:r>
              <w:t xml:space="preserve">MemGPT</w:t>
            </w:r>
            <w:r>
              <w:t xml:space="preserve"> </w:t>
            </w:r>
            <w:hyperlink r:id="rId29">
              <w:r>
                <w:rPr>
                  <w:rStyle w:val="Hyperlink"/>
                </w:rPr>
                <w:t xml:space="preserve">[25]</w:t>
              </w:r>
            </w:hyperlink>
            <w:r>
              <w:t xml:space="preserve">; persistent-memory personalisation framework</w:t>
            </w:r>
            <w:r>
              <w:t xml:space="preserve"> </w:t>
            </w:r>
            <w:hyperlink r:id="rId32">
              <w:r>
                <w:rPr>
                  <w:rStyle w:val="Hyperlink"/>
                </w:rPr>
                <w:t xml:space="preserve">[26]</w:t>
              </w:r>
            </w:hyperlink>
          </w:p>
        </w:tc>
        <w:tc>
          <w:tcPr/>
          <w:p>
            <w:pPr>
              <w:pStyle w:val="Compact"/>
            </w:pPr>
            <w:r>
              <w:t xml:space="preserve">Strong engineering path; can be deployed without full model retraining; supports multi-session continuity</w:t>
            </w:r>
          </w:p>
        </w:tc>
        <w:tc>
          <w:tcPr/>
          <w:p>
            <w:pPr>
              <w:pStyle w:val="Compact"/>
            </w:pPr>
            <w:r>
              <w:t xml:space="preserve">Privacy/consent and memory poisoning risks; “what to remember” remains hard; eval can be brittle</w:t>
            </w:r>
          </w:p>
        </w:tc>
        <w:tc>
          <w:tcPr/>
          <w:p>
            <w:pPr>
              <w:pStyle w:val="Compact"/>
            </w:pPr>
            <w:r>
              <w:t xml:space="preserve">Moderate engineering + infra; modest inference cost; optional light fine-tuning</w:t>
            </w:r>
          </w:p>
        </w:tc>
        <w:tc>
          <w:tcPr/>
          <w:p>
            <w:pPr>
              <w:pStyle w:val="Compact"/>
            </w:pPr>
            <w:r>
              <w:t xml:space="preserve">~3–6 months to prototype; ~6–12 months to robustify</w:t>
            </w:r>
          </w:p>
        </w:tc>
      </w:tr>
      <w:tr>
        <w:tc>
          <w:tcPr/>
          <w:p>
            <w:pPr>
              <w:pStyle w:val="Compact"/>
            </w:pPr>
            <w:r>
              <w:t xml:space="preserve">Preference learning / per-user adaptation benchmarks</w:t>
            </w:r>
          </w:p>
        </w:tc>
        <w:tc>
          <w:tcPr/>
          <w:p>
            <w:pPr>
              <w:pStyle w:val="Compact"/>
            </w:pPr>
            <w:r>
              <w:t xml:space="preserve">PersonalLLM (ICLR)</w:t>
            </w:r>
            <w:r>
              <w:t xml:space="preserve"> </w:t>
            </w:r>
            <w:hyperlink r:id="rId30">
              <w:r>
                <w:rPr>
                  <w:rStyle w:val="Hyperlink"/>
                </w:rPr>
                <w:t xml:space="preserve">[23]</w:t>
              </w:r>
            </w:hyperlink>
          </w:p>
        </w:tc>
        <w:tc>
          <w:tcPr/>
          <w:p>
            <w:pPr>
              <w:pStyle w:val="Compact"/>
            </w:pPr>
            <w:r>
              <w:t xml:space="preserve">Makes “personalisation” measurable; supports comparison of methods</w:t>
            </w:r>
          </w:p>
        </w:tc>
        <w:tc>
          <w:tcPr/>
          <w:p>
            <w:pPr>
              <w:pStyle w:val="Compact"/>
            </w:pPr>
            <w:r>
              <w:t xml:space="preserve">Benchmarks may underrepresent real user drift; risk of overfitting to benchmark styles</w:t>
            </w:r>
          </w:p>
        </w:tc>
        <w:tc>
          <w:tcPr/>
          <w:p>
            <w:pPr>
              <w:pStyle w:val="Compact"/>
            </w:pPr>
            <w:r>
              <w:t xml:space="preserve">Data/annotation cost depends on benchmark design; model adaptation compute moderate</w:t>
            </w:r>
          </w:p>
        </w:tc>
        <w:tc>
          <w:tcPr/>
          <w:p>
            <w:pPr>
              <w:pStyle w:val="Compact"/>
            </w:pPr>
            <w:r>
              <w:t xml:space="preserve">~1–3 months to adopt benchmark + baseline; ~6 months for model iteration</w:t>
            </w:r>
          </w:p>
        </w:tc>
      </w:tr>
      <w:tr>
        <w:tc>
          <w:tcPr/>
          <w:p>
            <w:pPr>
              <w:pStyle w:val="Compact"/>
            </w:pPr>
            <w:r>
              <w:t xml:space="preserve">User-centric RL with simulated users and multi-turn credit assignment</w:t>
            </w:r>
          </w:p>
        </w:tc>
        <w:tc>
          <w:tcPr/>
          <w:p>
            <w:pPr>
              <w:pStyle w:val="Compact"/>
            </w:pPr>
            <w:r>
              <w:t xml:space="preserve">UserRL</w:t>
            </w:r>
            <w:r>
              <w:t xml:space="preserve"> </w:t>
            </w:r>
            <w:hyperlink r:id="rId31">
              <w:r>
                <w:rPr>
                  <w:rStyle w:val="Hyperlink"/>
                </w:rPr>
                <w:t xml:space="preserve">[24]</w:t>
              </w:r>
            </w:hyperlink>
          </w:p>
        </w:tc>
        <w:tc>
          <w:tcPr/>
          <w:p>
            <w:pPr>
              <w:pStyle w:val="Compact"/>
            </w:pPr>
            <w:r>
              <w:t xml:space="preserve">Targets the paper’s “non-stationary objectives” and long-horizon credit assignment directly</w:t>
            </w:r>
          </w:p>
        </w:tc>
        <w:tc>
          <w:tcPr/>
          <w:p>
            <w:pPr>
              <w:pStyle w:val="Compact"/>
            </w:pPr>
            <w:r>
              <w:t xml:space="preserve">Simulator realism and reward hacking are persistent risks; transfer to real users uncertain</w:t>
            </w:r>
          </w:p>
        </w:tc>
        <w:tc>
          <w:tcPr/>
          <w:p>
            <w:pPr>
              <w:pStyle w:val="Compact"/>
            </w:pPr>
            <w:r>
              <w:t xml:space="preserve">Higher compute (RL rollouts); requires environment tooling; expertise in RL + safety</w:t>
            </w:r>
          </w:p>
        </w:tc>
        <w:tc>
          <w:tcPr/>
          <w:p>
            <w:pPr>
              <w:pStyle w:val="Compact"/>
            </w:pPr>
            <w:r>
              <w:t xml:space="preserve">~6–12 months for strong results in controlled environments</w:t>
            </w:r>
          </w:p>
        </w:tc>
      </w:tr>
    </w:tbl>
    <w:p>
      <w:pPr>
        <w:pStyle w:val="BodyText"/>
      </w:pPr>
      <w:r>
        <w:rPr>
          <w:b/>
          <w:bCs/>
        </w:rPr>
        <w:t xml:space="preserve">Feasibility, resources, risks, metrics</w:t>
      </w:r>
    </w:p>
    <w:p>
      <w:pPr>
        <w:pStyle w:val="BodyText"/>
      </w:pPr>
      <w:r>
        <w:t xml:space="preserve">Technical feasibility is</w:t>
      </w:r>
      <w:r>
        <w:t xml:space="preserve"> </w:t>
      </w:r>
      <w:r>
        <w:rPr>
          <w:b/>
          <w:bCs/>
        </w:rPr>
        <w:t xml:space="preserve">high</w:t>
      </w:r>
      <w:r>
        <w:t xml:space="preserve"> </w:t>
      </w:r>
      <w:r>
        <w:t xml:space="preserve">for building systems that appear personalised under controlled settings; it is</w:t>
      </w:r>
      <w:r>
        <w:t xml:space="preserve"> </w:t>
      </w:r>
      <w:r>
        <w:rPr>
          <w:b/>
          <w:bCs/>
        </w:rPr>
        <w:t xml:space="preserve">medium</w:t>
      </w:r>
      <w:r>
        <w:t xml:space="preserve"> </w:t>
      </w:r>
      <w:r>
        <w:t xml:space="preserve">for robust personalisation under user drift and adversarial inputs.</w:t>
      </w:r>
      <w:r>
        <w:t xml:space="preserve"> </w:t>
      </w:r>
      <w:hyperlink r:id="rId21">
        <w:r>
          <w:rPr>
            <w:rStyle w:val="Hyperlink"/>
          </w:rPr>
          <w:t xml:space="preserve">[27]</w:t>
        </w:r>
      </w:hyperlink>
      <w:r>
        <w:t xml:space="preserve"> </w:t>
      </w:r>
      <w:r>
        <w:t xml:space="preserve">The primary resource requirement is not just compute, but a</w:t>
      </w:r>
      <w:r>
        <w:t xml:space="preserve"> </w:t>
      </w:r>
      <w:r>
        <w:rPr>
          <w:b/>
          <w:bCs/>
        </w:rPr>
        <w:t xml:space="preserve">data+policy layer</w:t>
      </w:r>
      <w:r>
        <w:t xml:space="preserve">: defining memory schemas, consent/retention policies, and evaluation tasks that reflect long-term helpfulness.</w:t>
      </w:r>
      <w:r>
        <w:t xml:space="preserve"> </w:t>
      </w:r>
      <w:hyperlink r:id="rId33">
        <w:r>
          <w:rPr>
            <w:rStyle w:val="Hyperlink"/>
          </w:rPr>
          <w:t xml:space="preserve">[28]</w:t>
        </w:r>
      </w:hyperlink>
      <w:r>
        <w:t xml:space="preserve"> </w:t>
      </w:r>
      <w:r>
        <w:t xml:space="preserve">Reasonable success metrics include: preference satisfaction scores on PersonalLLM-style tasks, memory retrieval precision/recall, and user-study satisfaction/trust measures where possible.</w:t>
      </w:r>
      <w:r>
        <w:t xml:space="preserve"> </w:t>
      </w:r>
      <w:hyperlink r:id="rId30">
        <w:r>
          <w:rPr>
            <w:rStyle w:val="Hyperlink"/>
          </w:rPr>
          <w:t xml:space="preserve">[29]</w:t>
        </w:r>
      </w:hyperlink>
    </w:p>
    <w:bookmarkEnd w:id="34"/>
    <w:bookmarkStart w:id="40" w:name="X8197144c8709ba75ea1a52d78c984a3ba6f1d73"/>
    <w:p>
      <w:pPr>
        <w:pStyle w:val="Heading3"/>
      </w:pPr>
      <w:r>
        <w:t xml:space="preserve">Long-horizon interaction, credit assignment, and error accumulation</w:t>
      </w:r>
    </w:p>
    <w:p>
      <w:pPr>
        <w:pStyle w:val="FirstParagraph"/>
      </w:pPr>
      <w:r>
        <w:t xml:space="preserve">The survey highlights that long tasks still suffer rapid error compounding, and that a core open problem is credit assignment across tokens, tool calls, skills, and memory updates in a way that generalises across many episodes/tasks.</w:t>
      </w:r>
      <w:r>
        <w:t xml:space="preserve"> </w:t>
      </w:r>
      <w:hyperlink r:id="rId21">
        <w:r>
          <w:rPr>
            <w:rStyle w:val="Hyperlink"/>
          </w:rPr>
          <w:t xml:space="preserve">[30]</w:t>
        </w:r>
      </w:hyperlink>
    </w:p>
    <w:p>
      <w:pPr>
        <w:pStyle w:val="BodyText"/>
      </w:pPr>
      <w:r>
        <w:t xml:space="preserve">The last ~2 years show a clear pivot from “prompted agents” to</w:t>
      </w:r>
      <w:r>
        <w:t xml:space="preserve"> </w:t>
      </w:r>
      <w:r>
        <w:rPr>
          <w:b/>
          <w:bCs/>
        </w:rPr>
        <w:t xml:space="preserve">RL-trained agents in interactive benchmarks</w:t>
      </w:r>
      <w:r>
        <w:t xml:space="preserve">. In AppWorld, an RL method (LOOP) trains interactive agents directly in a stateful multi-app environment and reports improved performance, with design choices aimed at memory efficiency during training.</w:t>
      </w:r>
      <w:r>
        <w:t xml:space="preserve"> </w:t>
      </w:r>
      <w:hyperlink r:id="rId22">
        <w:r>
          <w:rPr>
            <w:rStyle w:val="Hyperlink"/>
          </w:rPr>
          <w:t xml:space="preserve">[31]</w:t>
        </w:r>
      </w:hyperlink>
      <w:r>
        <w:t xml:space="preserve"> </w:t>
      </w:r>
      <w:r>
        <w:t xml:space="preserve">In web environments, end-to-end multi-turn RL approaches (e.g., WebAgent-R1) and curriculum-driven RL (WebRL) similarly show large absolute improvements in task success rates, indicating that long-horizon competence can be learned (at least within an environment family).</w:t>
      </w:r>
      <w:r>
        <w:t xml:space="preserve"> </w:t>
      </w:r>
      <w:hyperlink r:id="rId35">
        <w:r>
          <w:rPr>
            <w:rStyle w:val="Hyperlink"/>
          </w:rPr>
          <w:t xml:space="preserve">[32]</w:t>
        </w:r>
      </w:hyperlink>
    </w:p>
    <w:p>
      <w:pPr>
        <w:pStyle w:val="BodyText"/>
      </w:pPr>
      <w:r>
        <w:t xml:space="preserve">On the credit-assignment side, work on turn-level credit assignment directly targets the limitation that trajectory-level (bandit-like) updates can blur attribution across steps, proposing turn-level advantage estimation strategies for multi-turn tool-use scenarios.</w:t>
      </w:r>
      <w:r>
        <w:t xml:space="preserve"> </w:t>
      </w:r>
      <w:hyperlink r:id="rId36">
        <w:r>
          <w:rPr>
            <w:rStyle w:val="Hyperlink"/>
          </w:rPr>
          <w:t xml:space="preserve">[33]</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RL directly in target interactive environments (stateful APIs / apps)</w:t>
            </w:r>
          </w:p>
        </w:tc>
        <w:tc>
          <w:tcPr/>
          <w:p>
            <w:pPr>
              <w:pStyle w:val="Compact"/>
            </w:pPr>
            <w:r>
              <w:t xml:space="preserve">LOOP / long-horizon RL agents</w:t>
            </w:r>
            <w:r>
              <w:t xml:space="preserve"> </w:t>
            </w:r>
            <w:hyperlink r:id="rId22">
              <w:r>
                <w:rPr>
                  <w:rStyle w:val="Hyperlink"/>
                </w:rPr>
                <w:t xml:space="preserve">[34]</w:t>
              </w:r>
            </w:hyperlink>
            <w:r>
              <w:t xml:space="preserve">; AppWorld benchmark</w:t>
            </w:r>
            <w:r>
              <w:t xml:space="preserve"> </w:t>
            </w:r>
            <w:hyperlink r:id="rId37">
              <w:r>
                <w:rPr>
                  <w:rStyle w:val="Hyperlink"/>
                </w:rPr>
                <w:t xml:space="preserve">[35]</w:t>
              </w:r>
            </w:hyperlink>
          </w:p>
        </w:tc>
        <w:tc>
          <w:tcPr/>
          <w:p>
            <w:pPr>
              <w:pStyle w:val="Compact"/>
            </w:pPr>
            <w:r>
              <w:t xml:space="preserve">Addresses compounding errors in situ; learns “consult docs / recover from setbacks” behaviours</w:t>
            </w:r>
          </w:p>
        </w:tc>
        <w:tc>
          <w:tcPr/>
          <w:p>
            <w:pPr>
              <w:pStyle w:val="Compact"/>
            </w:pPr>
            <w:r>
              <w:t xml:space="preserve">Environment specificity; expensive rollout infrastructure; safety constraints limit real-world data</w:t>
            </w:r>
          </w:p>
        </w:tc>
        <w:tc>
          <w:tcPr/>
          <w:p>
            <w:pPr>
              <w:pStyle w:val="Compact"/>
            </w:pPr>
            <w:r>
              <w:t xml:space="preserve">High engineering (simulators, sandbox); moderate-to-high compute</w:t>
            </w:r>
          </w:p>
        </w:tc>
        <w:tc>
          <w:tcPr/>
          <w:p>
            <w:pPr>
              <w:pStyle w:val="Compact"/>
            </w:pPr>
            <w:r>
              <w:t xml:space="preserve">~6–12 months for strong in-domain gains</w:t>
            </w:r>
          </w:p>
        </w:tc>
      </w:tr>
      <w:tr>
        <w:tc>
          <w:tcPr/>
          <w:p>
            <w:pPr>
              <w:pStyle w:val="Compact"/>
            </w:pPr>
            <w:r>
              <w:t xml:space="preserve">Fine-grained credit assignment (turn-level / step-level rewards)</w:t>
            </w:r>
          </w:p>
        </w:tc>
        <w:tc>
          <w:tcPr/>
          <w:p>
            <w:pPr>
              <w:pStyle w:val="Compact"/>
            </w:pPr>
            <w:r>
              <w:t xml:space="preserve">Turn-level credit assignment</w:t>
            </w:r>
            <w:r>
              <w:t xml:space="preserve"> </w:t>
            </w:r>
            <w:hyperlink r:id="rId36">
              <w:r>
                <w:rPr>
                  <w:rStyle w:val="Hyperlink"/>
                </w:rPr>
                <w:t xml:space="preserve">[33]</w:t>
              </w:r>
            </w:hyperlink>
            <w:r>
              <w:t xml:space="preserve">; UserRL reward design findings</w:t>
            </w:r>
            <w:r>
              <w:t xml:space="preserve"> </w:t>
            </w:r>
            <w:hyperlink r:id="rId31">
              <w:r>
                <w:rPr>
                  <w:rStyle w:val="Hyperlink"/>
                </w:rPr>
                <w:t xml:space="preserve">[36]</w:t>
              </w:r>
            </w:hyperlink>
          </w:p>
        </w:tc>
        <w:tc>
          <w:tcPr/>
          <w:p>
            <w:pPr>
              <w:pStyle w:val="Compact"/>
            </w:pPr>
            <w:r>
              <w:t xml:space="preserve">Better attribution across steps; can reduce reward sparsity</w:t>
            </w:r>
          </w:p>
        </w:tc>
        <w:tc>
          <w:tcPr/>
          <w:p>
            <w:pPr>
              <w:pStyle w:val="Compact"/>
            </w:pPr>
            <w:r>
              <w:t xml:space="preserve">Still susceptible to reward hacking; requires careful reward-model design</w:t>
            </w:r>
          </w:p>
        </w:tc>
        <w:tc>
          <w:tcPr/>
          <w:p>
            <w:pPr>
              <w:pStyle w:val="Compact"/>
            </w:pPr>
            <w:r>
              <w:t xml:space="preserve">Moderate compute (RL); moderate research effort</w:t>
            </w:r>
          </w:p>
        </w:tc>
        <w:tc>
          <w:tcPr/>
          <w:p>
            <w:pPr>
              <w:pStyle w:val="Compact"/>
            </w:pPr>
            <w:r>
              <w:t xml:space="preserve">~3–9 months to implement and validate</w:t>
            </w:r>
          </w:p>
        </w:tc>
      </w:tr>
      <w:tr>
        <w:tc>
          <w:tcPr/>
          <w:p>
            <w:pPr>
              <w:pStyle w:val="Compact"/>
            </w:pPr>
            <w:r>
              <w:t xml:space="preserve">Workflow stabilisation: incremental verification + memory + backtracking</w:t>
            </w:r>
          </w:p>
        </w:tc>
        <w:tc>
          <w:tcPr/>
          <w:p>
            <w:pPr>
              <w:pStyle w:val="Compact"/>
            </w:pPr>
            <w:r>
              <w:t xml:space="preserve">Paper’s explicit motivation</w:t>
            </w:r>
            <w:r>
              <w:t xml:space="preserve"> </w:t>
            </w:r>
            <w:hyperlink r:id="rId21">
              <w:r>
                <w:rPr>
                  <w:rStyle w:val="Hyperlink"/>
                </w:rPr>
                <w:t xml:space="preserve">[10]</w:t>
              </w:r>
            </w:hyperlink>
            <w:r>
              <w:t xml:space="preserve">; planning/search frameworks such as ReAct / ToT</w:t>
            </w:r>
            <w:r>
              <w:t xml:space="preserve"> </w:t>
            </w:r>
            <w:hyperlink r:id="rId38">
              <w:r>
                <w:rPr>
                  <w:rStyle w:val="Hyperlink"/>
                </w:rPr>
                <w:t xml:space="preserve">[37]</w:t>
              </w:r>
            </w:hyperlink>
          </w:p>
        </w:tc>
        <w:tc>
          <w:tcPr/>
          <w:p>
            <w:pPr>
              <w:pStyle w:val="Compact"/>
            </w:pPr>
            <w:r>
              <w:t xml:space="preserve">Can be applied without training; explainable; safer rollout</w:t>
            </w:r>
          </w:p>
        </w:tc>
        <w:tc>
          <w:tcPr/>
          <w:p>
            <w:pPr>
              <w:pStyle w:val="Compact"/>
            </w:pPr>
            <w:r>
              <w:t xml:space="preserve">Test-time compute and latency; still brittle in high-entropy environments</w:t>
            </w:r>
          </w:p>
        </w:tc>
        <w:tc>
          <w:tcPr/>
          <w:p>
            <w:pPr>
              <w:pStyle w:val="Compact"/>
            </w:pPr>
            <w:r>
              <w:t xml:space="preserve">Moderate engineering; can be low compute if carefully bounded</w:t>
            </w:r>
          </w:p>
        </w:tc>
        <w:tc>
          <w:tcPr/>
          <w:p>
            <w:pPr>
              <w:pStyle w:val="Compact"/>
            </w:pPr>
            <w:r>
              <w:t xml:space="preserve">~1–3 months for meaningful gains in some tasks</w:t>
            </w:r>
          </w:p>
        </w:tc>
      </w:tr>
    </w:tbl>
    <w:p>
      <w:pPr>
        <w:pStyle w:val="BodyText"/>
      </w:pPr>
      <w:r>
        <w:rPr>
          <w:b/>
          <w:bCs/>
        </w:rPr>
        <w:t xml:space="preserve">Feasibility, resources, risks, metrics</w:t>
      </w:r>
    </w:p>
    <w:p>
      <w:pPr>
        <w:pStyle w:val="BodyText"/>
      </w:pPr>
      <w:r>
        <w:t xml:space="preserve">Technical feasibility is</w:t>
      </w:r>
      <w:r>
        <w:t xml:space="preserve"> </w:t>
      </w:r>
      <w:r>
        <w:rPr>
          <w:b/>
          <w:bCs/>
        </w:rPr>
        <w:t xml:space="preserve">medium-to-high</w:t>
      </w:r>
      <w:r>
        <w:t xml:space="preserve"> </w:t>
      </w:r>
      <w:r>
        <w:t xml:space="preserve">for making long-horizon performance strong within a benchmark family; it is</w:t>
      </w:r>
      <w:r>
        <w:t xml:space="preserve"> </w:t>
      </w:r>
      <w:r>
        <w:rPr>
          <w:b/>
          <w:bCs/>
        </w:rPr>
        <w:t xml:space="preserve">medium</w:t>
      </w:r>
      <w:r>
        <w:t xml:space="preserve"> </w:t>
      </w:r>
      <w:r>
        <w:t xml:space="preserve">for cross-environment generalisation (the survey explicitly flags environment specificity of many approaches).</w:t>
      </w:r>
      <w:r>
        <w:t xml:space="preserve"> </w:t>
      </w:r>
      <w:hyperlink r:id="rId21">
        <w:r>
          <w:rPr>
            <w:rStyle w:val="Hyperlink"/>
          </w:rPr>
          <w:t xml:space="preserve">[38]</w:t>
        </w:r>
      </w:hyperlink>
      <w:r>
        <w:t xml:space="preserve"> </w:t>
      </w:r>
      <w:r>
        <w:t xml:space="preserve">Key risks: reward hacking, overfitting to benchmark quirks, and safety issues if agents can take irreversible actions.</w:t>
      </w:r>
      <w:r>
        <w:t xml:space="preserve"> </w:t>
      </w:r>
      <w:hyperlink r:id="rId39">
        <w:r>
          <w:rPr>
            <w:rStyle w:val="Hyperlink"/>
          </w:rPr>
          <w:t xml:space="preserve">[39]</w:t>
        </w:r>
      </w:hyperlink>
      <w:r>
        <w:t xml:space="preserve"> </w:t>
      </w:r>
      <w:r>
        <w:t xml:space="preserve">Core success metrics: task success rate (AppWorld/WebArena/WebArena-Lite), regression of “catastrophic” irreversible errors, and step-level attribution quality (e.g., improved tool-call correctness and fewer invalid actions per episode).</w:t>
      </w:r>
      <w:r>
        <w:t xml:space="preserve"> </w:t>
      </w:r>
      <w:hyperlink r:id="rId37">
        <w:r>
          <w:rPr>
            <w:rStyle w:val="Hyperlink"/>
          </w:rPr>
          <w:t xml:space="preserve">[40]</w:t>
        </w:r>
      </w:hyperlink>
    </w:p>
    <w:bookmarkEnd w:id="40"/>
    <w:bookmarkStart w:id="45" w:name="world-models-for-agentic-reasoning"/>
    <w:p>
      <w:pPr>
        <w:pStyle w:val="Heading3"/>
      </w:pPr>
      <w:r>
        <w:t xml:space="preserve">World models for agentic reasoning</w:t>
      </w:r>
    </w:p>
    <w:p>
      <w:pPr>
        <w:pStyle w:val="FirstParagraph"/>
      </w:pPr>
      <w:r>
        <w:t xml:space="preserve">The survey states that current world-model designs often use ad hoc representations and short-horizon/environment-specific training, raising calibration/generalisation concerns, and explicitly calls out the open problem of jointly training/updating/evaluating world models in non-stationary environments and measuring causal effects on planning reliability.</w:t>
      </w:r>
      <w:r>
        <w:t xml:space="preserve"> </w:t>
      </w:r>
      <w:hyperlink r:id="rId21">
        <w:r>
          <w:rPr>
            <w:rStyle w:val="Hyperlink"/>
          </w:rPr>
          <w:t xml:space="preserve">[41]</w:t>
        </w:r>
      </w:hyperlink>
    </w:p>
    <w:p>
      <w:pPr>
        <w:pStyle w:val="BodyText"/>
      </w:pPr>
      <w:r>
        <w:t xml:space="preserve">There is strong evidence that world models can help reduce myopic or irreversible mistakes in environments where backtracking is expensive. On the RL side, DreamerV3 provides a broad empirical case that imagined rollouts can support long-horizon control across diverse tasks, including domains like Minecraft.</w:t>
      </w:r>
      <w:r>
        <w:t xml:space="preserve"> </w:t>
      </w:r>
      <w:hyperlink r:id="rId41">
        <w:r>
          <w:rPr>
            <w:rStyle w:val="Hyperlink"/>
          </w:rPr>
          <w:t xml:space="preserve">[42]</w:t>
        </w:r>
      </w:hyperlink>
      <w:r>
        <w:t xml:space="preserve"> </w:t>
      </w:r>
      <w:r>
        <w:t xml:space="preserve">For language agents, WorldCoder builds a world model as executable code, aiming for sample/compute efficiency and transfer by editing the world-model program.</w:t>
      </w:r>
      <w:r>
        <w:t xml:space="preserve"> </w:t>
      </w:r>
      <w:hyperlink r:id="rId42">
        <w:r>
          <w:rPr>
            <w:rStyle w:val="Hyperlink"/>
          </w:rPr>
          <w:t xml:space="preserve">[43]</w:t>
        </w:r>
      </w:hyperlink>
      <w:r>
        <w:t xml:space="preserve"> </w:t>
      </w:r>
      <w:r>
        <w:t xml:space="preserve">In web navigation, “Web Agents with World Models” explicitly motivates world models as a way to avoid irreversible actions and introduces an observation-abstraction approach to world-model learning from web transitions.</w:t>
      </w:r>
      <w:r>
        <w:t xml:space="preserve"> </w:t>
      </w:r>
      <w:hyperlink r:id="rId39">
        <w:r>
          <w:rPr>
            <w:rStyle w:val="Hyperlink"/>
          </w:rPr>
          <w:t xml:space="preserve">[44]</w:t>
        </w:r>
      </w:hyperlink>
      <w:r>
        <w:t xml:space="preserve"> </w:t>
      </w:r>
      <w:r>
        <w:t xml:space="preserve">Co-evolution approaches like WebEvolver add a specialised world-model LLM to generate training data and provide lookahead during inference, reporting improvements in live-ish web benchmarks.</w:t>
      </w:r>
      <w:r>
        <w:t xml:space="preserve"> </w:t>
      </w:r>
      <w:hyperlink r:id="rId43">
        <w:r>
          <w:rPr>
            <w:rStyle w:val="Hyperlink"/>
          </w:rPr>
          <w:t xml:space="preserve">[45]</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Model-based RL with learned world model (imagination)</w:t>
            </w:r>
          </w:p>
        </w:tc>
        <w:tc>
          <w:tcPr/>
          <w:p>
            <w:pPr>
              <w:pStyle w:val="Compact"/>
            </w:pPr>
            <w:r>
              <w:t xml:space="preserve">DreamerV3</w:t>
            </w:r>
            <w:r>
              <w:t xml:space="preserve"> </w:t>
            </w:r>
            <w:hyperlink r:id="rId41">
              <w:r>
                <w:rPr>
                  <w:rStyle w:val="Hyperlink"/>
                </w:rPr>
                <w:t xml:space="preserve">[42]</w:t>
              </w:r>
            </w:hyperlink>
          </w:p>
        </w:tc>
        <w:tc>
          <w:tcPr/>
          <w:p>
            <w:pPr>
              <w:pStyle w:val="Compact"/>
            </w:pPr>
            <w:r>
              <w:t xml:space="preserve">Validated long-horizon control pattern; systematic learning objective</w:t>
            </w:r>
          </w:p>
        </w:tc>
        <w:tc>
          <w:tcPr/>
          <w:p>
            <w:pPr>
              <w:pStyle w:val="Compact"/>
            </w:pPr>
            <w:r>
              <w:t xml:space="preserve">Hard to port directly to rich text/web tasks; world-model errors can be exploitable</w:t>
            </w:r>
          </w:p>
        </w:tc>
        <w:tc>
          <w:tcPr/>
          <w:p>
            <w:pPr>
              <w:pStyle w:val="Compact"/>
            </w:pPr>
            <w:r>
              <w:t xml:space="preserve">High compute for training; strong RL expertise</w:t>
            </w:r>
          </w:p>
        </w:tc>
        <w:tc>
          <w:tcPr/>
          <w:p>
            <w:pPr>
              <w:pStyle w:val="Compact"/>
            </w:pPr>
            <w:r>
              <w:t xml:space="preserve">~12–24 months to adapt robustly to complex agentic domains</w:t>
            </w:r>
          </w:p>
        </w:tc>
      </w:tr>
      <w:tr>
        <w:tc>
          <w:tcPr/>
          <w:p>
            <w:pPr>
              <w:pStyle w:val="Compact"/>
            </w:pPr>
            <w:r>
              <w:t xml:space="preserve">Code world models / programmatic environment models</w:t>
            </w:r>
          </w:p>
        </w:tc>
        <w:tc>
          <w:tcPr/>
          <w:p>
            <w:pPr>
              <w:pStyle w:val="Compact"/>
            </w:pPr>
            <w:r>
              <w:t xml:space="preserve">WorldCoder</w:t>
            </w:r>
            <w:r>
              <w:t xml:space="preserve"> </w:t>
            </w:r>
            <w:hyperlink r:id="rId42">
              <w:r>
                <w:rPr>
                  <w:rStyle w:val="Hyperlink"/>
                </w:rPr>
                <w:t xml:space="preserve">[43]</w:t>
              </w:r>
            </w:hyperlink>
            <w:r>
              <w:t xml:space="preserve">; “Code World Models”</w:t>
            </w:r>
            <w:r>
              <w:t xml:space="preserve"> </w:t>
            </w:r>
            <w:hyperlink r:id="rId44">
              <w:r>
                <w:rPr>
                  <w:rStyle w:val="Hyperlink"/>
                </w:rPr>
                <w:t xml:space="preserve">[46]</w:t>
              </w:r>
            </w:hyperlink>
          </w:p>
        </w:tc>
        <w:tc>
          <w:tcPr/>
          <w:p>
            <w:pPr>
              <w:pStyle w:val="Compact"/>
            </w:pPr>
            <w:r>
              <w:t xml:space="preserve">Interpretable world model; fast simulation; easier auditing than opaque latent models</w:t>
            </w:r>
          </w:p>
        </w:tc>
        <w:tc>
          <w:tcPr/>
          <w:p>
            <w:pPr>
              <w:pStyle w:val="Compact"/>
            </w:pPr>
            <w:r>
              <w:t xml:space="preserve">Domain limitation (needs structured state); program induction can fail silently</w:t>
            </w:r>
          </w:p>
        </w:tc>
        <w:tc>
          <w:tcPr/>
          <w:p>
            <w:pPr>
              <w:pStyle w:val="Compact"/>
            </w:pPr>
            <w:r>
              <w:t xml:space="preserve">Moderate research + engineering; less inference cost once compiled</w:t>
            </w:r>
          </w:p>
        </w:tc>
        <w:tc>
          <w:tcPr/>
          <w:p>
            <w:pPr>
              <w:pStyle w:val="Compact"/>
            </w:pPr>
            <w:r>
              <w:t xml:space="preserve">~6–12 months for strong results in structured domains</w:t>
            </w:r>
          </w:p>
        </w:tc>
      </w:tr>
      <w:tr>
        <w:tc>
          <w:tcPr/>
          <w:p>
            <w:pPr>
              <w:pStyle w:val="Compact"/>
            </w:pPr>
            <w:r>
              <w:t xml:space="preserve">Environment-specific world models + abstraction (web/GUI)</w:t>
            </w:r>
          </w:p>
        </w:tc>
        <w:tc>
          <w:tcPr/>
          <w:p>
            <w:pPr>
              <w:pStyle w:val="Compact"/>
            </w:pPr>
            <w:r>
              <w:t xml:space="preserve">Web agents with world models</w:t>
            </w:r>
            <w:r>
              <w:t xml:space="preserve"> </w:t>
            </w:r>
            <w:hyperlink r:id="rId39">
              <w:r>
                <w:rPr>
                  <w:rStyle w:val="Hyperlink"/>
                </w:rPr>
                <w:t xml:space="preserve">[44]</w:t>
              </w:r>
            </w:hyperlink>
            <w:r>
              <w:t xml:space="preserve">; WebEvolver</w:t>
            </w:r>
            <w:r>
              <w:t xml:space="preserve"> </w:t>
            </w:r>
            <w:hyperlink r:id="rId43">
              <w:r>
                <w:rPr>
                  <w:rStyle w:val="Hyperlink"/>
                </w:rPr>
                <w:t xml:space="preserve">[45]</w:t>
              </w:r>
            </w:hyperlink>
          </w:p>
        </w:tc>
        <w:tc>
          <w:tcPr/>
          <w:p>
            <w:pPr>
              <w:pStyle w:val="Compact"/>
            </w:pPr>
            <w:r>
              <w:t xml:space="preserve">Directly targets irreversible web actions; supports planning-time lookahead</w:t>
            </w:r>
          </w:p>
        </w:tc>
        <w:tc>
          <w:tcPr/>
          <w:p>
            <w:pPr>
              <w:pStyle w:val="Compact"/>
            </w:pPr>
            <w:r>
              <w:t xml:space="preserve">Non-stationarity, UI drift; evaluation is difficult; risk of shortcut learning</w:t>
            </w:r>
          </w:p>
        </w:tc>
        <w:tc>
          <w:tcPr/>
          <w:p>
            <w:pPr>
              <w:pStyle w:val="Compact"/>
            </w:pPr>
            <w:r>
              <w:t xml:space="preserve">High data logging + tooling; moderate-to-high compute</w:t>
            </w:r>
          </w:p>
        </w:tc>
        <w:tc>
          <w:tcPr/>
          <w:p>
            <w:pPr>
              <w:pStyle w:val="Compact"/>
            </w:pPr>
            <w:r>
              <w:t xml:space="preserve">~6–18 months depending on environment access</w:t>
            </w:r>
          </w:p>
        </w:tc>
      </w:tr>
    </w:tbl>
    <w:p>
      <w:pPr>
        <w:pStyle w:val="BodyText"/>
      </w:pPr>
      <w:r>
        <w:rPr>
          <w:b/>
          <w:bCs/>
        </w:rPr>
        <w:t xml:space="preserve">Feasibility, resources, risks, metrics</w:t>
      </w:r>
    </w:p>
    <w:p>
      <w:pPr>
        <w:pStyle w:val="BodyText"/>
      </w:pPr>
      <w:r>
        <w:t xml:space="preserve">Technical feasibility is</w:t>
      </w:r>
      <w:r>
        <w:t xml:space="preserve"> </w:t>
      </w:r>
      <w:r>
        <w:rPr>
          <w:b/>
          <w:bCs/>
        </w:rPr>
        <w:t xml:space="preserve">medium</w:t>
      </w:r>
      <w:r>
        <w:t xml:space="preserve"> </w:t>
      </w:r>
      <w:r>
        <w:t xml:space="preserve">today: world models can be useful in bounded environments, but the survey’s “non-stationary update + causal impact measurement” requirement is not yet solved as a general recipe.</w:t>
      </w:r>
      <w:r>
        <w:t xml:space="preserve"> </w:t>
      </w:r>
      <w:hyperlink r:id="rId21">
        <w:r>
          <w:rPr>
            <w:rStyle w:val="Hyperlink"/>
          </w:rPr>
          <w:t xml:space="preserve">[47]</w:t>
        </w:r>
      </w:hyperlink>
      <w:r>
        <w:t xml:space="preserve"> </w:t>
      </w:r>
      <w:r>
        <w:t xml:space="preserve">Key resources: (a) transition logs (state, action, next state/observation), (b) simulator-like replay harnesses, and (c) calibration evaluation (predictive uncertainty vs error).</w:t>
      </w:r>
      <w:r>
        <w:t xml:space="preserve"> </w:t>
      </w:r>
      <w:hyperlink r:id="rId21">
        <w:r>
          <w:rPr>
            <w:rStyle w:val="Hyperlink"/>
          </w:rPr>
          <w:t xml:space="preserve">[48]</w:t>
        </w:r>
      </w:hyperlink>
      <w:r>
        <w:t xml:space="preserve"> </w:t>
      </w:r>
      <w:r>
        <w:t xml:space="preserve">Success metrics: reduction in irreversible/catastrophic actions, improved long-horizon success at fixed tool-call budget, and calibrated prediction error on held-out environment shifts.</w:t>
      </w:r>
      <w:r>
        <w:t xml:space="preserve"> </w:t>
      </w:r>
      <w:hyperlink r:id="rId39">
        <w:r>
          <w:rPr>
            <w:rStyle w:val="Hyperlink"/>
          </w:rPr>
          <w:t xml:space="preserve">[49]</w:t>
        </w:r>
      </w:hyperlink>
    </w:p>
    <w:bookmarkEnd w:id="45"/>
    <w:bookmarkStart w:id="52" w:name="X04c07446c868b0e286b4c00f22c9694e8cafa2b"/>
    <w:p>
      <w:pPr>
        <w:pStyle w:val="Heading3"/>
      </w:pPr>
      <w:r>
        <w:t xml:space="preserve">Scalable multi-agent collaboration, training, and memory co-evolution</w:t>
      </w:r>
    </w:p>
    <w:p>
      <w:pPr>
        <w:pStyle w:val="FirstParagraph"/>
      </w:pPr>
      <w:r>
        <w:t xml:space="preserve">The survey argues that many collaboration structures remain manually designed, and that group-level credit assignment is poorly understood; scaling increases topology adaptation and coordination overhead, plus safety concerns.</w:t>
      </w:r>
      <w:r>
        <w:t xml:space="preserve"> </w:t>
      </w:r>
      <w:hyperlink r:id="rId21">
        <w:r>
          <w:rPr>
            <w:rStyle w:val="Hyperlink"/>
          </w:rPr>
          <w:t xml:space="preserve">[8]</w:t>
        </w:r>
      </w:hyperlink>
      <w:r>
        <w:t xml:space="preserve"> </w:t>
      </w:r>
      <w:r>
        <w:t xml:space="preserve">Separately, it notes that multi-agent memory mechanisms were often overly simplistic and lacked per-agent customisation, and that enabling multi-agent teams to co-evolve memory structures/management via post-training remains open.</w:t>
      </w:r>
      <w:r>
        <w:t xml:space="preserve"> </w:t>
      </w:r>
      <w:hyperlink r:id="rId21">
        <w:r>
          <w:rPr>
            <w:rStyle w:val="Hyperlink"/>
          </w:rPr>
          <w:t xml:space="preserve">[16]</w:t>
        </w:r>
      </w:hyperlink>
    </w:p>
    <w:p>
      <w:pPr>
        <w:pStyle w:val="BodyText"/>
      </w:pPr>
      <w:r>
        <w:t xml:space="preserve">On the practical systems side, multi-agent orchestration frameworks like AutoGen and role-playing designs like CAMEL provide reusable infrastructures for implementing coordination patterns.</w:t>
      </w:r>
      <w:r>
        <w:t xml:space="preserve"> </w:t>
      </w:r>
      <w:hyperlink r:id="rId46">
        <w:r>
          <w:rPr>
            <w:rStyle w:val="Hyperlink"/>
          </w:rPr>
          <w:t xml:space="preserve">[50]</w:t>
        </w:r>
      </w:hyperlink>
      <w:r>
        <w:t xml:space="preserve"> </w:t>
      </w:r>
      <w:r>
        <w:t xml:space="preserve">On the training side, MAPoRL frames collaboration as a post-training objective with RL, aiming to elicit transferable communication strategies rather than relying on “innate” collaboration.</w:t>
      </w:r>
      <w:r>
        <w:t xml:space="preserve"> </w:t>
      </w:r>
      <w:hyperlink r:id="rId47">
        <w:r>
          <w:rPr>
            <w:rStyle w:val="Hyperlink"/>
          </w:rPr>
          <w:t xml:space="preserve">[51]</w:t>
        </w:r>
      </w:hyperlink>
      <w:r>
        <w:t xml:space="preserve"> </w:t>
      </w:r>
      <w:r>
        <w:t xml:space="preserve">For scaling topology, work such as Adaptive Graph Pruning proposes learning the number of agents and communication topology to match task complexity, explicitly targeting the coordination overhead problem.</w:t>
      </w:r>
      <w:r>
        <w:t xml:space="preserve"> </w:t>
      </w:r>
      <w:hyperlink r:id="rId48">
        <w:r>
          <w:rPr>
            <w:rStyle w:val="Hyperlink"/>
          </w:rPr>
          <w:t xml:space="preserve">[52]</w:t>
        </w:r>
      </w:hyperlink>
    </w:p>
    <w:p>
      <w:pPr>
        <w:pStyle w:val="BodyText"/>
      </w:pPr>
      <w:r>
        <w:t xml:space="preserve">For credit assignment, several recent works use an LLM to produce denser, agent-specific rewards or otherwise improve explainability of credit assignment in MARL settings.</w:t>
      </w:r>
      <w:r>
        <w:t xml:space="preserve"> </w:t>
      </w:r>
      <w:hyperlink r:id="rId49">
        <w:r>
          <w:rPr>
            <w:rStyle w:val="Hyperlink"/>
          </w:rPr>
          <w:t xml:space="preserve">[53]</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Engineering frameworks for multi-agent orchestration</w:t>
            </w:r>
          </w:p>
        </w:tc>
        <w:tc>
          <w:tcPr/>
          <w:p>
            <w:pPr>
              <w:pStyle w:val="Compact"/>
            </w:pPr>
            <w:r>
              <w:t xml:space="preserve">AutoGen</w:t>
            </w:r>
            <w:r>
              <w:t xml:space="preserve"> </w:t>
            </w:r>
            <w:hyperlink r:id="rId46">
              <w:r>
                <w:rPr>
                  <w:rStyle w:val="Hyperlink"/>
                </w:rPr>
                <w:t xml:space="preserve">[54]</w:t>
              </w:r>
            </w:hyperlink>
            <w:r>
              <w:t xml:space="preserve">; CAMEL</w:t>
            </w:r>
            <w:r>
              <w:t xml:space="preserve"> </w:t>
            </w:r>
            <w:hyperlink r:id="rId50">
              <w:r>
                <w:rPr>
                  <w:rStyle w:val="Hyperlink"/>
                </w:rPr>
                <w:t xml:space="preserve">[55]</w:t>
              </w:r>
            </w:hyperlink>
          </w:p>
        </w:tc>
        <w:tc>
          <w:tcPr/>
          <w:p>
            <w:pPr>
              <w:pStyle w:val="Compact"/>
            </w:pPr>
            <w:r>
              <w:t xml:space="preserve">Fast to prototype; flexible role design; good for system iteration</w:t>
            </w:r>
          </w:p>
        </w:tc>
        <w:tc>
          <w:tcPr/>
          <w:p>
            <w:pPr>
              <w:pStyle w:val="Compact"/>
            </w:pPr>
            <w:r>
              <w:t xml:space="preserve">Manually designed roles/topologies; can be token-inefficient</w:t>
            </w:r>
          </w:p>
        </w:tc>
        <w:tc>
          <w:tcPr/>
          <w:p>
            <w:pPr>
              <w:pStyle w:val="Compact"/>
            </w:pPr>
            <w:r>
              <w:t xml:space="preserve">Low-to-moderate engineering; mostly inference budget</w:t>
            </w:r>
          </w:p>
        </w:tc>
        <w:tc>
          <w:tcPr/>
          <w:p>
            <w:pPr>
              <w:pStyle w:val="Compact"/>
            </w:pPr>
            <w:r>
              <w:t xml:space="preserve">~1–3 months for usable MAS prototypes</w:t>
            </w:r>
          </w:p>
        </w:tc>
      </w:tr>
      <w:tr>
        <w:tc>
          <w:tcPr/>
          <w:p>
            <w:pPr>
              <w:pStyle w:val="Compact"/>
            </w:pPr>
            <w:r>
              <w:t xml:space="preserve">Multi-agent post-training with RL (collaboration as skill)</w:t>
            </w:r>
          </w:p>
        </w:tc>
        <w:tc>
          <w:tcPr/>
          <w:p>
            <w:pPr>
              <w:pStyle w:val="Compact"/>
            </w:pPr>
            <w:r>
              <w:t xml:space="preserve">MAPoRL</w:t>
            </w:r>
            <w:r>
              <w:t xml:space="preserve"> </w:t>
            </w:r>
            <w:hyperlink r:id="rId47">
              <w:r>
                <w:rPr>
                  <w:rStyle w:val="Hyperlink"/>
                </w:rPr>
                <w:t xml:space="preserve">[51]</w:t>
              </w:r>
            </w:hyperlink>
            <w:r>
              <w:t xml:space="preserve">; MAGRPO-style multi-agent RL</w:t>
            </w:r>
            <w:r>
              <w:t xml:space="preserve"> </w:t>
            </w:r>
            <w:hyperlink r:id="rId51">
              <w:r>
                <w:rPr>
                  <w:rStyle w:val="Hyperlink"/>
                </w:rPr>
                <w:t xml:space="preserve">[56]</w:t>
              </w:r>
            </w:hyperlink>
          </w:p>
        </w:tc>
        <w:tc>
          <w:tcPr/>
          <w:p>
            <w:pPr>
              <w:pStyle w:val="Compact"/>
            </w:pPr>
            <w:r>
              <w:t xml:space="preserve">Learns coordination policies; can generalise within task family</w:t>
            </w:r>
          </w:p>
        </w:tc>
        <w:tc>
          <w:tcPr/>
          <w:p>
            <w:pPr>
              <w:pStyle w:val="Compact"/>
            </w:pPr>
            <w:r>
              <w:t xml:space="preserve">Stability and reward design hard; high compute; evaluation complexity</w:t>
            </w:r>
          </w:p>
        </w:tc>
        <w:tc>
          <w:tcPr/>
          <w:p>
            <w:pPr>
              <w:pStyle w:val="Compact"/>
            </w:pPr>
            <w:r>
              <w:t xml:space="preserve">High compute + RL infra; multi-agent experience</w:t>
            </w:r>
          </w:p>
        </w:tc>
        <w:tc>
          <w:tcPr/>
          <w:p>
            <w:pPr>
              <w:pStyle w:val="Compact"/>
            </w:pPr>
            <w:r>
              <w:t xml:space="preserve">~6–18 months to reach stable, generalisable gains</w:t>
            </w:r>
          </w:p>
        </w:tc>
      </w:tr>
      <w:tr>
        <w:tc>
          <w:tcPr/>
          <w:p>
            <w:pPr>
              <w:pStyle w:val="Compact"/>
            </w:pPr>
            <w:r>
              <w:t xml:space="preserve">Topology/communication adaptation to reduce overhead</w:t>
            </w:r>
          </w:p>
        </w:tc>
        <w:tc>
          <w:tcPr/>
          <w:p>
            <w:pPr>
              <w:pStyle w:val="Compact"/>
            </w:pPr>
            <w:r>
              <w:t xml:space="preserve">Adaptive graph pruning</w:t>
            </w:r>
            <w:r>
              <w:t xml:space="preserve"> </w:t>
            </w:r>
            <w:hyperlink r:id="rId48">
              <w:r>
                <w:rPr>
                  <w:rStyle w:val="Hyperlink"/>
                </w:rPr>
                <w:t xml:space="preserve">[52]</w:t>
              </w:r>
            </w:hyperlink>
          </w:p>
        </w:tc>
        <w:tc>
          <w:tcPr/>
          <w:p>
            <w:pPr>
              <w:pStyle w:val="Compact"/>
            </w:pPr>
            <w:r>
              <w:t xml:space="preserve">Directly targets scalability and cost; improves efficiency</w:t>
            </w:r>
          </w:p>
        </w:tc>
        <w:tc>
          <w:tcPr/>
          <w:p>
            <w:pPr>
              <w:pStyle w:val="Compact"/>
            </w:pPr>
            <w:r>
              <w:t xml:space="preserve">May reduce interpretability; could prune needed diversity</w:t>
            </w:r>
          </w:p>
        </w:tc>
        <w:tc>
          <w:tcPr/>
          <w:p>
            <w:pPr>
              <w:pStyle w:val="Compact"/>
            </w:pPr>
            <w:r>
              <w:t xml:space="preserve">Moderate research+engineering; training overhead</w:t>
            </w:r>
          </w:p>
        </w:tc>
        <w:tc>
          <w:tcPr/>
          <w:p>
            <w:pPr>
              <w:pStyle w:val="Compact"/>
            </w:pPr>
            <w:r>
              <w:t xml:space="preserve">~3–9 months to validate on benchmarks</w:t>
            </w:r>
          </w:p>
        </w:tc>
      </w:tr>
      <w:tr>
        <w:tc>
          <w:tcPr/>
          <w:p>
            <w:pPr>
              <w:pStyle w:val="Compact"/>
            </w:pPr>
            <w:r>
              <w:t xml:space="preserve">Memory co-evolution and per-agent customisation</w:t>
            </w:r>
          </w:p>
        </w:tc>
        <w:tc>
          <w:tcPr/>
          <w:p>
            <w:pPr>
              <w:pStyle w:val="Compact"/>
            </w:pPr>
            <w:r>
              <w:t xml:space="preserve">Survey-identified gap + examples (G-Memory etc.)</w:t>
            </w:r>
            <w:r>
              <w:t xml:space="preserve"> </w:t>
            </w:r>
            <w:hyperlink r:id="rId21">
              <w:r>
                <w:rPr>
                  <w:rStyle w:val="Hyperlink"/>
                </w:rPr>
                <w:t xml:space="preserve">[16]</w:t>
              </w:r>
            </w:hyperlink>
          </w:p>
        </w:tc>
        <w:tc>
          <w:tcPr/>
          <w:p>
            <w:pPr>
              <w:pStyle w:val="Compact"/>
            </w:pPr>
            <w:r>
              <w:t xml:space="preserve">Better long-horizon team coherence; reduces cross-talk</w:t>
            </w:r>
          </w:p>
        </w:tc>
        <w:tc>
          <w:tcPr/>
          <w:p>
            <w:pPr>
              <w:pStyle w:val="Compact"/>
            </w:pPr>
            <w:r>
              <w:t xml:space="preserve">Still early; hard to evaluate; poisoning risks</w:t>
            </w:r>
          </w:p>
        </w:tc>
        <w:tc>
          <w:tcPr/>
          <w:p>
            <w:pPr>
              <w:pStyle w:val="Compact"/>
            </w:pPr>
            <w:r>
              <w:t xml:space="preserve">Significant systems work; moderate-to-high compute</w:t>
            </w:r>
          </w:p>
        </w:tc>
        <w:tc>
          <w:tcPr/>
          <w:p>
            <w:pPr>
              <w:pStyle w:val="Compact"/>
            </w:pPr>
            <w:r>
              <w:t xml:space="preserve">~6–12 months for solid prototypes</w:t>
            </w:r>
          </w:p>
        </w:tc>
      </w:tr>
    </w:tbl>
    <w:p>
      <w:pPr>
        <w:pStyle w:val="BodyText"/>
      </w:pPr>
      <w:r>
        <w:rPr>
          <w:b/>
          <w:bCs/>
        </w:rPr>
        <w:t xml:space="preserve">Feasibility, resources, risks, metrics</w:t>
      </w:r>
    </w:p>
    <w:p>
      <w:pPr>
        <w:pStyle w:val="BodyText"/>
      </w:pPr>
      <w:r>
        <w:t xml:space="preserve">Technical feasibility is</w:t>
      </w:r>
      <w:r>
        <w:t xml:space="preserve"> </w:t>
      </w:r>
      <w:r>
        <w:rPr>
          <w:b/>
          <w:bCs/>
        </w:rPr>
        <w:t xml:space="preserve">medium</w:t>
      </w:r>
      <w:r>
        <w:t xml:space="preserve">: strong improvements are plausible in benchmarked settings, but robust scaling under adversarial conditions is still research-grade.</w:t>
      </w:r>
      <w:r>
        <w:t xml:space="preserve"> </w:t>
      </w:r>
      <w:hyperlink r:id="rId21">
        <w:r>
          <w:rPr>
            <w:rStyle w:val="Hyperlink"/>
          </w:rPr>
          <w:t xml:space="preserve">[57]</w:t>
        </w:r>
      </w:hyperlink>
      <w:r>
        <w:t xml:space="preserve"> </w:t>
      </w:r>
      <w:r>
        <w:t xml:space="preserve">Key risks: emergent miscoordination, hidden collusion, prompt injection propagation between agents, and evaluation non-determinism.</w:t>
      </w:r>
      <w:r>
        <w:t xml:space="preserve"> </w:t>
      </w:r>
      <w:hyperlink r:id="rId21">
        <w:r>
          <w:rPr>
            <w:rStyle w:val="Hyperlink"/>
          </w:rPr>
          <w:t xml:space="preserve">[58]</w:t>
        </w:r>
      </w:hyperlink>
      <w:r>
        <w:t xml:space="preserve"> </w:t>
      </w:r>
      <w:r>
        <w:t xml:space="preserve">Success metrics should track: (i) accuracy/success vs single-agent baseline, (ii) token/call budget per solved task, (iii) robustness under agent dropout or adversarial messages, (iv) memory usefulness per agent (retrieval relevance and harm rate).</w:t>
      </w:r>
      <w:r>
        <w:t xml:space="preserve"> </w:t>
      </w:r>
      <w:hyperlink r:id="rId21">
        <w:r>
          <w:rPr>
            <w:rStyle w:val="Hyperlink"/>
          </w:rPr>
          <w:t xml:space="preserve">[59]</w:t>
        </w:r>
      </w:hyperlink>
    </w:p>
    <w:bookmarkEnd w:id="52"/>
    <w:bookmarkStart w:id="57" w:name="X651cf1fb04ce9250e853a847b1f1bdaf00a6b5d"/>
    <w:p>
      <w:pPr>
        <w:pStyle w:val="Heading3"/>
      </w:pPr>
      <w:r>
        <w:t xml:space="preserve">Latent agentic reasoning and auditability</w:t>
      </w:r>
    </w:p>
    <w:p>
      <w:pPr>
        <w:pStyle w:val="FirstParagraph"/>
      </w:pPr>
      <w:r>
        <w:t xml:space="preserve">The survey frames latent agentic reasoning as potentially more efficient and scalable, but with reduced interpretability and controllability, and calls for learning objectives, probing methods, and benchmarks that make latent reasoning auditable.</w:t>
      </w:r>
      <w:r>
        <w:t xml:space="preserve"> </w:t>
      </w:r>
      <w:hyperlink r:id="rId21">
        <w:r>
          <w:rPr>
            <w:rStyle w:val="Hyperlink"/>
          </w:rPr>
          <w:t xml:space="preserve">[8]</w:t>
        </w:r>
      </w:hyperlink>
    </w:p>
    <w:p>
      <w:pPr>
        <w:pStyle w:val="BodyText"/>
      </w:pPr>
      <w:r>
        <w:t xml:space="preserve">Recent work provides three complementary angles: (i) surveys/taxonomies of latent chain-of-thought reasoning, (ii) mechanistic evidence that latents can contain steerable reasoning features, and (iii) latent-space multi-agent communication frameworks.</w:t>
      </w:r>
    </w:p>
    <w:p>
      <w:pPr>
        <w:pStyle w:val="BodyText"/>
      </w:pPr>
      <w:r>
        <w:t xml:space="preserve">A latent-CoT survey consolidates methods for embedding reasoning in latent space rather than explicit text.</w:t>
      </w:r>
      <w:r>
        <w:t xml:space="preserve"> </w:t>
      </w:r>
      <w:hyperlink r:id="rId53">
        <w:r>
          <w:rPr>
            <w:rStyle w:val="Hyperlink"/>
          </w:rPr>
          <w:t xml:space="preserve">[60]</w:t>
        </w:r>
      </w:hyperlink>
      <w:r>
        <w:t xml:space="preserve"> </w:t>
      </w:r>
      <w:r>
        <w:t xml:space="preserve">Mechanistic work suggests reasoning-related latent features can be identified and steered (e.g., via sparse autoencoders), improving reasoning without explicit CoT.</w:t>
      </w:r>
      <w:r>
        <w:t xml:space="preserve"> </w:t>
      </w:r>
      <w:hyperlink r:id="rId54">
        <w:r>
          <w:rPr>
            <w:rStyle w:val="Hyperlink"/>
          </w:rPr>
          <w:t xml:space="preserve">[61]</w:t>
        </w:r>
      </w:hyperlink>
      <w:r>
        <w:t xml:space="preserve"> </w:t>
      </w:r>
      <w:r>
        <w:t xml:space="preserve">For multi-agent collaboration, LatentMAS proposes training-free latent-space information exchange, claiming both accuracy and efficiency gains while reducing token usage substantially, with released code.</w:t>
      </w:r>
      <w:r>
        <w:t xml:space="preserve"> </w:t>
      </w:r>
      <w:hyperlink r:id="rId55">
        <w:r>
          <w:rPr>
            <w:rStyle w:val="Hyperlink"/>
          </w:rPr>
          <w:t xml:space="preserve">[62]</w:t>
        </w:r>
      </w:hyperlink>
      <w:r>
        <w:t xml:space="preserve"> </w:t>
      </w:r>
      <w:r>
        <w:t xml:space="preserve">Separate work studies feasibility of agents communicating entirely in latent space.</w:t>
      </w:r>
      <w:r>
        <w:t xml:space="preserve"> </w:t>
      </w:r>
      <w:hyperlink r:id="rId56">
        <w:r>
          <w:rPr>
            <w:rStyle w:val="Hyperlink"/>
          </w:rPr>
          <w:t xml:space="preserve">[63]</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Latent-CoT modelling and evaluation taxonomy</w:t>
            </w:r>
          </w:p>
        </w:tc>
        <w:tc>
          <w:tcPr/>
          <w:p>
            <w:pPr>
              <w:pStyle w:val="Compact"/>
            </w:pPr>
            <w:r>
              <w:t xml:space="preserve">Latent-CoT survey</w:t>
            </w:r>
            <w:r>
              <w:t xml:space="preserve"> </w:t>
            </w:r>
            <w:hyperlink r:id="rId53">
              <w:r>
                <w:rPr>
                  <w:rStyle w:val="Hyperlink"/>
                </w:rPr>
                <w:t xml:space="preserve">[60]</w:t>
              </w:r>
            </w:hyperlink>
          </w:p>
        </w:tc>
        <w:tc>
          <w:tcPr/>
          <w:p>
            <w:pPr>
              <w:pStyle w:val="Compact"/>
            </w:pPr>
            <w:r>
              <w:t xml:space="preserve">Clarifies design space; supports systematic eval</w:t>
            </w:r>
          </w:p>
        </w:tc>
        <w:tc>
          <w:tcPr/>
          <w:p>
            <w:pPr>
              <w:pStyle w:val="Compact"/>
            </w:pPr>
            <w:r>
              <w:t xml:space="preserve">Does not by itself solve auditability; field is fast-moving</w:t>
            </w:r>
          </w:p>
        </w:tc>
        <w:tc>
          <w:tcPr/>
          <w:p>
            <w:pPr>
              <w:pStyle w:val="Compact"/>
            </w:pPr>
            <w:r>
              <w:t xml:space="preserve">Low compute (survey adoption), moderate research</w:t>
            </w:r>
          </w:p>
        </w:tc>
        <w:tc>
          <w:tcPr/>
          <w:p>
            <w:pPr>
              <w:pStyle w:val="Compact"/>
            </w:pPr>
            <w:r>
              <w:t xml:space="preserve">Immediate for methodology; longer for results</w:t>
            </w:r>
          </w:p>
        </w:tc>
      </w:tr>
      <w:tr>
        <w:tc>
          <w:tcPr/>
          <w:p>
            <w:pPr>
              <w:pStyle w:val="Compact"/>
            </w:pPr>
            <w:r>
              <w:t xml:space="preserve">Mechanistic probing/steering of reasoning latents</w:t>
            </w:r>
          </w:p>
        </w:tc>
        <w:tc>
          <w:tcPr/>
          <w:p>
            <w:pPr>
              <w:pStyle w:val="Compact"/>
            </w:pPr>
            <w:r>
              <w:t xml:space="preserve">Latent computational mode</w:t>
            </w:r>
            <w:r>
              <w:t xml:space="preserve"> </w:t>
            </w:r>
            <w:hyperlink r:id="rId54">
              <w:r>
                <w:rPr>
                  <w:rStyle w:val="Hyperlink"/>
                </w:rPr>
                <w:t xml:space="preserve">[61]</w:t>
              </w:r>
            </w:hyperlink>
          </w:p>
        </w:tc>
        <w:tc>
          <w:tcPr/>
          <w:p>
            <w:pPr>
              <w:pStyle w:val="Compact"/>
            </w:pPr>
            <w:r>
              <w:t xml:space="preserve">Potentially boosts efficiency; supports “audit via features”</w:t>
            </w:r>
          </w:p>
        </w:tc>
        <w:tc>
          <w:tcPr/>
          <w:p>
            <w:pPr>
              <w:pStyle w:val="Compact"/>
            </w:pPr>
            <w:r>
              <w:t xml:space="preserve">Mechanistic tooling is complex; risk of brittle interventions</w:t>
            </w:r>
          </w:p>
        </w:tc>
        <w:tc>
          <w:tcPr/>
          <w:p>
            <w:pPr>
              <w:pStyle w:val="Compact"/>
            </w:pPr>
            <w:r>
              <w:t xml:space="preserve">Moderate-to-high research sophistication; compute moderate</w:t>
            </w:r>
          </w:p>
        </w:tc>
        <w:tc>
          <w:tcPr/>
          <w:p>
            <w:pPr>
              <w:pStyle w:val="Compact"/>
            </w:pPr>
            <w:r>
              <w:t xml:space="preserve">~6–18 months to build reliable pipelines</w:t>
            </w:r>
          </w:p>
        </w:tc>
      </w:tr>
      <w:tr>
        <w:tc>
          <w:tcPr/>
          <w:p>
            <w:pPr>
              <w:pStyle w:val="Compact"/>
            </w:pPr>
            <w:r>
              <w:t xml:space="preserve">Latent multi-agent communication (token reduction)</w:t>
            </w:r>
          </w:p>
        </w:tc>
        <w:tc>
          <w:tcPr/>
          <w:p>
            <w:pPr>
              <w:pStyle w:val="Compact"/>
            </w:pPr>
            <w:r>
              <w:t xml:space="preserve">LatentMAS</w:t>
            </w:r>
            <w:r>
              <w:t xml:space="preserve"> </w:t>
            </w:r>
            <w:hyperlink r:id="rId55">
              <w:r>
                <w:rPr>
                  <w:rStyle w:val="Hyperlink"/>
                </w:rPr>
                <w:t xml:space="preserve">[62]</w:t>
              </w:r>
            </w:hyperlink>
            <w:r>
              <w:t xml:space="preserve">; Interlat</w:t>
            </w:r>
            <w:r>
              <w:t xml:space="preserve"> </w:t>
            </w:r>
            <w:hyperlink r:id="rId56">
              <w:r>
                <w:rPr>
                  <w:rStyle w:val="Hyperlink"/>
                </w:rPr>
                <w:t xml:space="preserve">[63]</w:t>
              </w:r>
            </w:hyperlink>
          </w:p>
        </w:tc>
        <w:tc>
          <w:tcPr/>
          <w:p>
            <w:pPr>
              <w:pStyle w:val="Compact"/>
            </w:pPr>
            <w:r>
              <w:t xml:space="preserve">Large efficiency gains possible; less tool-call chatter</w:t>
            </w:r>
          </w:p>
        </w:tc>
        <w:tc>
          <w:tcPr/>
          <w:p>
            <w:pPr>
              <w:pStyle w:val="Compact"/>
            </w:pPr>
            <w:r>
              <w:t xml:space="preserve">Auditability and safety unclear; latent leakage risks</w:t>
            </w:r>
          </w:p>
        </w:tc>
        <w:tc>
          <w:tcPr/>
          <w:p>
            <w:pPr>
              <w:pStyle w:val="Compact"/>
            </w:pPr>
            <w:r>
              <w:t xml:space="preserve">Moderate engineering + model access; evaluation overhead</w:t>
            </w:r>
          </w:p>
        </w:tc>
        <w:tc>
          <w:tcPr/>
          <w:p>
            <w:pPr>
              <w:pStyle w:val="Compact"/>
            </w:pPr>
            <w:r>
              <w:t xml:space="preserve">~3–9 months for benchmark replication; longer for safe deployment</w:t>
            </w:r>
          </w:p>
        </w:tc>
      </w:tr>
    </w:tbl>
    <w:p>
      <w:pPr>
        <w:pStyle w:val="BodyText"/>
      </w:pPr>
      <w:r>
        <w:rPr>
          <w:b/>
          <w:bCs/>
        </w:rPr>
        <w:t xml:space="preserve">Feasibility, resources, risks, metrics</w:t>
      </w:r>
    </w:p>
    <w:p>
      <w:pPr>
        <w:pStyle w:val="BodyText"/>
      </w:pPr>
      <w:r>
        <w:t xml:space="preserve">Technical feasibility is</w:t>
      </w:r>
      <w:r>
        <w:t xml:space="preserve"> </w:t>
      </w:r>
      <w:r>
        <w:rPr>
          <w:b/>
          <w:bCs/>
        </w:rPr>
        <w:t xml:space="preserve">medium</w:t>
      </w:r>
      <w:r>
        <w:t xml:space="preserve"> </w:t>
      </w:r>
      <w:r>
        <w:t xml:space="preserve">for efficiency gains; it is</w:t>
      </w:r>
      <w:r>
        <w:t xml:space="preserve"> </w:t>
      </w:r>
      <w:r>
        <w:rPr>
          <w:b/>
          <w:bCs/>
        </w:rPr>
        <w:t xml:space="preserve">low-to-medium</w:t>
      </w:r>
      <w:r>
        <w:t xml:space="preserve"> </w:t>
      </w:r>
      <w:r>
        <w:t xml:space="preserve">for auditability guarantees.</w:t>
      </w:r>
      <w:r>
        <w:t xml:space="preserve"> </w:t>
      </w:r>
      <w:hyperlink r:id="rId21">
        <w:r>
          <w:rPr>
            <w:rStyle w:val="Hyperlink"/>
          </w:rPr>
          <w:t xml:space="preserve">[64]</w:t>
        </w:r>
      </w:hyperlink>
      <w:r>
        <w:t xml:space="preserve"> </w:t>
      </w:r>
      <w:r>
        <w:t xml:space="preserve">Key risks: inability to diagnose failures, hidden policy drift, and increased difficulty of safety monitoring.</w:t>
      </w:r>
      <w:r>
        <w:t xml:space="preserve"> </w:t>
      </w:r>
      <w:hyperlink r:id="rId21">
        <w:r>
          <w:rPr>
            <w:rStyle w:val="Hyperlink"/>
          </w:rPr>
          <w:t xml:space="preserve">[8]</w:t>
        </w:r>
      </w:hyperlink>
      <w:r>
        <w:t xml:space="preserve"> </w:t>
      </w:r>
      <w:r>
        <w:t xml:space="preserve">Success metrics should include: token/cost reduction at iso-success, “explainability coverage” (fraction of failures that can be attributed to identifiable latent factors), and adversarial robustness under hidden-channel attacks.</w:t>
      </w:r>
      <w:r>
        <w:t xml:space="preserve"> </w:t>
      </w:r>
      <w:hyperlink r:id="rId54">
        <w:r>
          <w:rPr>
            <w:rStyle w:val="Hyperlink"/>
          </w:rPr>
          <w:t xml:space="preserve">[65]</w:t>
        </w:r>
      </w:hyperlink>
    </w:p>
    <w:bookmarkEnd w:id="57"/>
    <w:bookmarkStart w:id="60" w:name="X34c8d9a89c4e06270c61cc83f713cf431be6a08"/>
    <w:p>
      <w:pPr>
        <w:pStyle w:val="Heading3"/>
      </w:pPr>
      <w:r>
        <w:t xml:space="preserve">Governance, security, and compliance for real-world deployment</w:t>
      </w:r>
    </w:p>
    <w:p>
      <w:pPr>
        <w:pStyle w:val="FirstParagraph"/>
      </w:pPr>
      <w:r>
        <w:t xml:space="preserve">The survey explicitly states that governance is cross-cutting and that existing benchmarks/guardrails disproportionately target short-horizon behaviour, leaving planning-time failures and multi-agent dynamics underexplored, and calls for governance frameworks spanning model-level, agent-level, and ecosystem-level interactions under realistic deployment.</w:t>
      </w:r>
      <w:r>
        <w:t xml:space="preserve"> </w:t>
      </w:r>
      <w:hyperlink r:id="rId21">
        <w:r>
          <w:rPr>
            <w:rStyle w:val="Hyperlink"/>
          </w:rPr>
          <w:t xml:space="preserve">[9]</w:t>
        </w:r>
      </w:hyperlink>
    </w:p>
    <w:p>
      <w:pPr>
        <w:pStyle w:val="BodyText"/>
      </w:pPr>
      <w:r>
        <w:t xml:space="preserve">A practical governance response generally combines:</w:t>
      </w:r>
      <w:r>
        <w:t xml:space="preserve"> </w:t>
      </w:r>
      <w:r>
        <w:rPr>
          <w:b/>
          <w:bCs/>
        </w:rPr>
        <w:t xml:space="preserve">risk management frameworks</w:t>
      </w:r>
      <w:r>
        <w:t xml:space="preserve">,</w:t>
      </w:r>
      <w:r>
        <w:t xml:space="preserve"> </w:t>
      </w:r>
      <w:r>
        <w:rPr>
          <w:b/>
          <w:bCs/>
        </w:rPr>
        <w:t xml:space="preserve">regulatory compliance</w:t>
      </w:r>
      <w:r>
        <w:t xml:space="preserve">, and</w:t>
      </w:r>
      <w:r>
        <w:t xml:space="preserve"> </w:t>
      </w:r>
      <w:r>
        <w:rPr>
          <w:b/>
          <w:bCs/>
        </w:rPr>
        <w:t xml:space="preserve">technical security controls</w:t>
      </w:r>
      <w:r>
        <w:t xml:space="preserve">. The NIST</w:t>
      </w:r>
      <w:hyperlink r:id="rId21">
        <w:r>
          <w:rPr>
            <w:rStyle w:val="Hyperlink"/>
          </w:rPr>
          <w:t xml:space="preserve">[66]</w:t>
        </w:r>
      </w:hyperlink>
      <w:r>
        <w:t xml:space="preserve"> </w:t>
      </w:r>
      <w:r>
        <w:t xml:space="preserve">AI Risk Management Framework (AI RMF 1.0) provides a structured approach to managing AI risks and improving trustworthiness.</w:t>
      </w:r>
      <w:r>
        <w:t xml:space="preserve"> </w:t>
      </w:r>
      <w:hyperlink r:id="rId33">
        <w:r>
          <w:rPr>
            <w:rStyle w:val="Hyperlink"/>
          </w:rPr>
          <w:t xml:space="preserve">[67]</w:t>
        </w:r>
      </w:hyperlink>
      <w:r>
        <w:t xml:space="preserve"> </w:t>
      </w:r>
      <w:r>
        <w:t xml:space="preserve">The European Union</w:t>
      </w:r>
      <w:hyperlink r:id="rId21">
        <w:r>
          <w:rPr>
            <w:rStyle w:val="Hyperlink"/>
          </w:rPr>
          <w:t xml:space="preserve">[68]</w:t>
        </w:r>
      </w:hyperlink>
      <w:r>
        <w:t xml:space="preserve"> </w:t>
      </w:r>
      <w:r>
        <w:t xml:space="preserve">AI Act establishes harmonised rules for AI, shaping compliance requirements for many deployments.</w:t>
      </w:r>
      <w:r>
        <w:t xml:space="preserve"> </w:t>
      </w:r>
      <w:hyperlink r:id="rId58">
        <w:r>
          <w:rPr>
            <w:rStyle w:val="Hyperlink"/>
          </w:rPr>
          <w:t xml:space="preserve">[69]</w:t>
        </w:r>
      </w:hyperlink>
    </w:p>
    <w:p>
      <w:pPr>
        <w:pStyle w:val="BodyText"/>
      </w:pPr>
      <w:r>
        <w:t xml:space="preserve">On the technical safety side, indirect prompt injection is well documented for agentic systems, and agent-specific benchmarks evaluate such vulnerabilities.</w:t>
      </w:r>
      <w:r>
        <w:t xml:space="preserve"> </w:t>
      </w:r>
      <w:hyperlink r:id="rId27">
        <w:r>
          <w:rPr>
            <w:rStyle w:val="Hyperlink"/>
          </w:rPr>
          <w:t xml:space="preserve">[70]</w:t>
        </w:r>
      </w:hyperlink>
      <w:r>
        <w:t xml:space="preserve"> </w:t>
      </w:r>
      <w:r>
        <w:t xml:space="preserve">This directly impacts the survey’s concern about long-horizon failures that are hard to attribute: a single injected instruction can alter tool selection and action execution deep into a trajectory.</w:t>
      </w:r>
      <w:r>
        <w:t xml:space="preserve"> </w:t>
      </w:r>
      <w:hyperlink r:id="rId59">
        <w:r>
          <w:rPr>
            <w:rStyle w:val="Hyperlink"/>
          </w:rPr>
          <w:t xml:space="preserve">[71]</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Formal risk management + governance processes</w:t>
            </w:r>
          </w:p>
        </w:tc>
        <w:tc>
          <w:tcPr/>
          <w:p>
            <w:pPr>
              <w:pStyle w:val="Compact"/>
            </w:pPr>
            <w:r>
              <w:t xml:space="preserve">AI RMF 1.0</w:t>
            </w:r>
            <w:r>
              <w:t xml:space="preserve"> </w:t>
            </w:r>
            <w:hyperlink r:id="rId33">
              <w:r>
                <w:rPr>
                  <w:rStyle w:val="Hyperlink"/>
                </w:rPr>
                <w:t xml:space="preserve">[67]</w:t>
              </w:r>
            </w:hyperlink>
          </w:p>
        </w:tc>
        <w:tc>
          <w:tcPr/>
          <w:p>
            <w:pPr>
              <w:pStyle w:val="Compact"/>
            </w:pPr>
            <w:r>
              <w:t xml:space="preserve">Establishes repeatable controls, documentation, accountability</w:t>
            </w:r>
          </w:p>
        </w:tc>
        <w:tc>
          <w:tcPr/>
          <w:p>
            <w:pPr>
              <w:pStyle w:val="Compact"/>
            </w:pPr>
            <w:r>
              <w:t xml:space="preserve">Doesn’t automatically prevent technical exploits; requires org maturity</w:t>
            </w:r>
          </w:p>
        </w:tc>
        <w:tc>
          <w:tcPr/>
          <w:p>
            <w:pPr>
              <w:pStyle w:val="Compact"/>
            </w:pPr>
            <w:r>
              <w:t xml:space="preserve">Moderate governance effort; ongoing</w:t>
            </w:r>
          </w:p>
        </w:tc>
        <w:tc>
          <w:tcPr/>
          <w:p>
            <w:pPr>
              <w:pStyle w:val="Compact"/>
            </w:pPr>
            <w:r>
              <w:t xml:space="preserve">~1–3 months to adopt baseline; continuous iteration</w:t>
            </w:r>
          </w:p>
        </w:tc>
      </w:tr>
      <w:tr>
        <w:tc>
          <w:tcPr/>
          <w:p>
            <w:pPr>
              <w:pStyle w:val="Compact"/>
            </w:pPr>
            <w:r>
              <w:t xml:space="preserve">Regulatory compliance engineering</w:t>
            </w:r>
          </w:p>
        </w:tc>
        <w:tc>
          <w:tcPr/>
          <w:p>
            <w:pPr>
              <w:pStyle w:val="Compact"/>
            </w:pPr>
            <w:r>
              <w:t xml:space="preserve">AI Act text</w:t>
            </w:r>
            <w:r>
              <w:t xml:space="preserve"> </w:t>
            </w:r>
            <w:hyperlink r:id="rId58">
              <w:r>
                <w:rPr>
                  <w:rStyle w:val="Hyperlink"/>
                </w:rPr>
                <w:t xml:space="preserve">[69]</w:t>
              </w:r>
            </w:hyperlink>
          </w:p>
        </w:tc>
        <w:tc>
          <w:tcPr/>
          <w:p>
            <w:pPr>
              <w:pStyle w:val="Compact"/>
            </w:pPr>
            <w:r>
              <w:t xml:space="preserve">Defines enforceable obligations; improves user trust/legal readiness</w:t>
            </w:r>
          </w:p>
        </w:tc>
        <w:tc>
          <w:tcPr/>
          <w:p>
            <w:pPr>
              <w:pStyle w:val="Compact"/>
            </w:pPr>
            <w:r>
              <w:t xml:space="preserve">Compliance scope depends on use case; can slow iteration</w:t>
            </w:r>
          </w:p>
        </w:tc>
        <w:tc>
          <w:tcPr/>
          <w:p>
            <w:pPr>
              <w:pStyle w:val="Compact"/>
            </w:pPr>
            <w:r>
              <w:t xml:space="preserve">Legal + engineering collaboration; ongoing</w:t>
            </w:r>
          </w:p>
        </w:tc>
        <w:tc>
          <w:tcPr/>
          <w:p>
            <w:pPr>
              <w:pStyle w:val="Compact"/>
            </w:pPr>
            <w:r>
              <w:t xml:space="preserve">~3–12 months depending on system complexity</w:t>
            </w:r>
          </w:p>
        </w:tc>
      </w:tr>
      <w:tr>
        <w:tc>
          <w:tcPr/>
          <w:p>
            <w:pPr>
              <w:pStyle w:val="Compact"/>
            </w:pPr>
            <w:r>
              <w:t xml:space="preserve">Security controls: prompt-injection defences + sandboxing + monitoring</w:t>
            </w:r>
          </w:p>
        </w:tc>
        <w:tc>
          <w:tcPr/>
          <w:p>
            <w:pPr>
              <w:pStyle w:val="Compact"/>
            </w:pPr>
            <w:r>
              <w:t xml:space="preserve">INJECAGENT</w:t>
            </w:r>
            <w:r>
              <w:t xml:space="preserve"> </w:t>
            </w:r>
            <w:hyperlink r:id="rId27">
              <w:r>
                <w:rPr>
                  <w:rStyle w:val="Hyperlink"/>
                </w:rPr>
                <w:t xml:space="preserve">[72]</w:t>
              </w:r>
            </w:hyperlink>
            <w:r>
              <w:t xml:space="preserve">; prompt injection → tool selection</w:t>
            </w:r>
            <w:r>
              <w:t xml:space="preserve"> </w:t>
            </w:r>
            <w:hyperlink r:id="rId59">
              <w:r>
                <w:rPr>
                  <w:rStyle w:val="Hyperlink"/>
                </w:rPr>
                <w:t xml:space="preserve">[73]</w:t>
              </w:r>
            </w:hyperlink>
          </w:p>
        </w:tc>
        <w:tc>
          <w:tcPr/>
          <w:p>
            <w:pPr>
              <w:pStyle w:val="Compact"/>
            </w:pPr>
            <w:r>
              <w:t xml:space="preserve">Reduces real-world exploitability; measurable via red-teams/benchmarks</w:t>
            </w:r>
          </w:p>
        </w:tc>
        <w:tc>
          <w:tcPr/>
          <w:p>
            <w:pPr>
              <w:pStyle w:val="Compact"/>
            </w:pPr>
            <w:r>
              <w:t xml:space="preserve">Likely not “perfectly solvable”; attackers adapt</w:t>
            </w:r>
          </w:p>
        </w:tc>
        <w:tc>
          <w:tcPr/>
          <w:p>
            <w:pPr>
              <w:pStyle w:val="Compact"/>
            </w:pPr>
            <w:r>
              <w:t xml:space="preserve">High engineering (sandboxing, logging), red-team time</w:t>
            </w:r>
          </w:p>
        </w:tc>
        <w:tc>
          <w:tcPr/>
          <w:p>
            <w:pPr>
              <w:pStyle w:val="Compact"/>
            </w:pPr>
            <w:r>
              <w:t xml:space="preserve">~2–6 months for meaningful reduction in incidents</w:t>
            </w:r>
          </w:p>
        </w:tc>
      </w:tr>
      <w:tr>
        <w:tc>
          <w:tcPr/>
          <w:p>
            <w:pPr>
              <w:pStyle w:val="Compact"/>
            </w:pPr>
            <w:r>
              <w:t xml:space="preserve">Benchmarking governance gaps (planning-time + MAS dynamics)</w:t>
            </w:r>
          </w:p>
        </w:tc>
        <w:tc>
          <w:tcPr/>
          <w:p>
            <w:pPr>
              <w:pStyle w:val="Compact"/>
            </w:pPr>
            <w:r>
              <w:t xml:space="preserve">Survey’s gap statement</w:t>
            </w:r>
            <w:r>
              <w:t xml:space="preserve"> </w:t>
            </w:r>
            <w:hyperlink r:id="rId21">
              <w:r>
                <w:rPr>
                  <w:rStyle w:val="Hyperlink"/>
                </w:rPr>
                <w:t xml:space="preserve">[9]</w:t>
              </w:r>
            </w:hyperlink>
          </w:p>
        </w:tc>
        <w:tc>
          <w:tcPr/>
          <w:p>
            <w:pPr>
              <w:pStyle w:val="Compact"/>
            </w:pPr>
            <w:r>
              <w:t xml:space="preserve">Converts “governance” into measurable test suites</w:t>
            </w:r>
          </w:p>
        </w:tc>
        <w:tc>
          <w:tcPr/>
          <w:p>
            <w:pPr>
              <w:pStyle w:val="Compact"/>
            </w:pPr>
            <w:r>
              <w:t xml:space="preserve">Hard to avoid gaming; needs continuous refresh</w:t>
            </w:r>
          </w:p>
        </w:tc>
        <w:tc>
          <w:tcPr/>
          <w:p>
            <w:pPr>
              <w:pStyle w:val="Compact"/>
            </w:pPr>
            <w:r>
              <w:t xml:space="preserve">Moderate-to-high benchmark engineering</w:t>
            </w:r>
          </w:p>
        </w:tc>
        <w:tc>
          <w:tcPr/>
          <w:p>
            <w:pPr>
              <w:pStyle w:val="Compact"/>
            </w:pPr>
            <w:r>
              <w:t xml:space="preserve">~6–18 months to build credible governance benchmarks</w:t>
            </w:r>
          </w:p>
        </w:tc>
      </w:tr>
    </w:tbl>
    <w:p>
      <w:pPr>
        <w:pStyle w:val="BodyText"/>
      </w:pPr>
      <w:r>
        <w:rPr>
          <w:b/>
          <w:bCs/>
        </w:rPr>
        <w:t xml:space="preserve">Feasibility, resources, risks, metrics</w:t>
      </w:r>
    </w:p>
    <w:p>
      <w:pPr>
        <w:pStyle w:val="BodyText"/>
      </w:pPr>
      <w:r>
        <w:t xml:space="preserve">Governance is</w:t>
      </w:r>
      <w:r>
        <w:t xml:space="preserve"> </w:t>
      </w:r>
      <w:r>
        <w:rPr>
          <w:b/>
          <w:bCs/>
        </w:rPr>
        <w:t xml:space="preserve">not a one-time solvable research problem</w:t>
      </w:r>
      <w:r>
        <w:t xml:space="preserve">, but the combination of risk frameworks, compliance architecture, and technical mitigations is feasible and has clear success metrics (incident rate, red-team pass rate, containment effectiveness, auditability).</w:t>
      </w:r>
      <w:r>
        <w:t xml:space="preserve"> </w:t>
      </w:r>
      <w:hyperlink r:id="rId33">
        <w:r>
          <w:rPr>
            <w:rStyle w:val="Hyperlink"/>
          </w:rPr>
          <w:t xml:space="preserve">[74]</w:t>
        </w:r>
      </w:hyperlink>
    </w:p>
    <w:bookmarkEnd w:id="60"/>
    <w:bookmarkStart w:id="65" w:name="X1f8e78a5953547c003dcbd5889f5fd9ae845093"/>
    <w:p>
      <w:pPr>
        <w:pStyle w:val="Heading3"/>
      </w:pPr>
      <w:r>
        <w:t xml:space="preserve">Tool-use scaling and generalisation (context limits, brittleness, and evaluation diversity)</w:t>
      </w:r>
    </w:p>
    <w:p>
      <w:pPr>
        <w:pStyle w:val="FirstParagraph"/>
      </w:pPr>
      <w:r>
        <w:t xml:space="preserve">The survey explicitly states that performance degrades with large/complex toolsets and that in-context methods are bounded by frozen-model capability and context length.</w:t>
      </w:r>
      <w:r>
        <w:t xml:space="preserve"> </w:t>
      </w:r>
      <w:hyperlink r:id="rId21">
        <w:r>
          <w:rPr>
            <w:rStyle w:val="Hyperlink"/>
          </w:rPr>
          <w:t xml:space="preserve">[11]</w:t>
        </w:r>
      </w:hyperlink>
      <w:r>
        <w:t xml:space="preserve"> </w:t>
      </w:r>
      <w:r>
        <w:t xml:space="preserve">It also notes that SFT can overfit to tool-call patterns and become brittle out-of-distribution, motivating RL-based mastery.</w:t>
      </w:r>
      <w:r>
        <w:t xml:space="preserve"> </w:t>
      </w:r>
      <w:hyperlink r:id="rId21">
        <w:r>
          <w:rPr>
            <w:rStyle w:val="Hyperlink"/>
          </w:rPr>
          <w:t xml:space="preserve">[12]</w:t>
        </w:r>
      </w:hyperlink>
      <w:r>
        <w:t xml:space="preserve"> </w:t>
      </w:r>
      <w:r>
        <w:t xml:space="preserve">Finally, it states that evaluating tool-using models remains an open challenge given task/tool diversity.</w:t>
      </w:r>
      <w:r>
        <w:t xml:space="preserve"> </w:t>
      </w:r>
      <w:hyperlink r:id="rId21">
        <w:r>
          <w:rPr>
            <w:rStyle w:val="Hyperlink"/>
          </w:rPr>
          <w:t xml:space="preserve">[75]</w:t>
        </w:r>
      </w:hyperlink>
    </w:p>
    <w:p>
      <w:pPr>
        <w:pStyle w:val="BodyText"/>
      </w:pPr>
      <w:r>
        <w:t xml:space="preserve">The literature offers a coherent response pattern: (i) tool-use pretraining/fine-tuning datasets and evaluators, (ii) efficient tool selection and prompt optimisation for large toolsets, and (iii) RL tool-use training in interactive benchmarks.</w:t>
      </w:r>
    </w:p>
    <w:p>
      <w:pPr>
        <w:pStyle w:val="BodyText"/>
      </w:pPr>
      <w:r>
        <w:t xml:space="preserve">Toolformer shows a self-supervised approach to teaching models to call tools and incorporate results into generation.</w:t>
      </w:r>
      <w:r>
        <w:t xml:space="preserve"> </w:t>
      </w:r>
      <w:hyperlink r:id="rId61">
        <w:r>
          <w:rPr>
            <w:rStyle w:val="Hyperlink"/>
          </w:rPr>
          <w:t xml:space="preserve">[76]</w:t>
        </w:r>
      </w:hyperlink>
      <w:r>
        <w:t xml:space="preserve"> </w:t>
      </w:r>
      <w:r>
        <w:t xml:space="preserve">ToolLLM/ToolBench provides large-scale API datasets and automatic evaluation (ToolEval).</w:t>
      </w:r>
      <w:r>
        <w:t xml:space="preserve"> </w:t>
      </w:r>
      <w:hyperlink r:id="rId62">
        <w:r>
          <w:rPr>
            <w:rStyle w:val="Hyperlink"/>
          </w:rPr>
          <w:t xml:space="preserve">[77]</w:t>
        </w:r>
      </w:hyperlink>
      <w:r>
        <w:t xml:space="preserve"> </w:t>
      </w:r>
      <w:r>
        <w:t xml:space="preserve">For cost and scaling, GEAR addresses tool resolution efficiency without relying on task-specific demonstrations, and AvaTaR automates prompt optimisation for tool usage via contrastive reasoning (reducing heuristic prompt engineering).</w:t>
      </w:r>
      <w:r>
        <w:t xml:space="preserve"> </w:t>
      </w:r>
      <w:hyperlink r:id="rId63">
        <w:r>
          <w:rPr>
            <w:rStyle w:val="Hyperlink"/>
          </w:rPr>
          <w:t xml:space="preserve">[78]</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Self-supervised / instruction-tuned tool-use training</w:t>
            </w:r>
          </w:p>
        </w:tc>
        <w:tc>
          <w:tcPr/>
          <w:p>
            <w:pPr>
              <w:pStyle w:val="Compact"/>
            </w:pPr>
            <w:r>
              <w:t xml:space="preserve">Toolformer</w:t>
            </w:r>
            <w:r>
              <w:t xml:space="preserve"> </w:t>
            </w:r>
            <w:hyperlink r:id="rId61">
              <w:r>
                <w:rPr>
                  <w:rStyle w:val="Hyperlink"/>
                </w:rPr>
                <w:t xml:space="preserve">[79]</w:t>
              </w:r>
            </w:hyperlink>
            <w:r>
              <w:t xml:space="preserve">; ToolLLM/ToolBench</w:t>
            </w:r>
            <w:r>
              <w:t xml:space="preserve"> </w:t>
            </w:r>
            <w:hyperlink r:id="rId62">
              <w:r>
                <w:rPr>
                  <w:rStyle w:val="Hyperlink"/>
                </w:rPr>
                <w:t xml:space="preserve">[80]</w:t>
              </w:r>
            </w:hyperlink>
          </w:p>
        </w:tc>
        <w:tc>
          <w:tcPr/>
          <w:p>
            <w:pPr>
              <w:pStyle w:val="Compact"/>
            </w:pPr>
            <w:r>
              <w:t xml:space="preserve">Scales tool competence; provides standardised eval datasets</w:t>
            </w:r>
          </w:p>
        </w:tc>
        <w:tc>
          <w:tcPr/>
          <w:p>
            <w:pPr>
              <w:pStyle w:val="Compact"/>
            </w:pPr>
            <w:r>
              <w:t xml:space="preserve">Still can overfit; tool distribution shifts quickly</w:t>
            </w:r>
          </w:p>
        </w:tc>
        <w:tc>
          <w:tcPr/>
          <w:p>
            <w:pPr>
              <w:pStyle w:val="Compact"/>
            </w:pPr>
            <w:r>
              <w:t xml:space="preserve">Moderate-to-high training compute; dataset ops</w:t>
            </w:r>
          </w:p>
        </w:tc>
        <w:tc>
          <w:tcPr/>
          <w:p>
            <w:pPr>
              <w:pStyle w:val="Compact"/>
            </w:pPr>
            <w:r>
              <w:t xml:space="preserve">~3–9 months for strong baseline improvements</w:t>
            </w:r>
          </w:p>
        </w:tc>
      </w:tr>
      <w:tr>
        <w:tc>
          <w:tcPr/>
          <w:p>
            <w:pPr>
              <w:pStyle w:val="Compact"/>
            </w:pPr>
            <w:r>
              <w:t xml:space="preserve">Efficient tool selection / prompt optimisation for large toolsets</w:t>
            </w:r>
          </w:p>
        </w:tc>
        <w:tc>
          <w:tcPr/>
          <w:p>
            <w:pPr>
              <w:pStyle w:val="Compact"/>
            </w:pPr>
            <w:r>
              <w:t xml:space="preserve">GEAR</w:t>
            </w:r>
            <w:r>
              <w:t xml:space="preserve"> </w:t>
            </w:r>
            <w:hyperlink r:id="rId63">
              <w:r>
                <w:rPr>
                  <w:rStyle w:val="Hyperlink"/>
                </w:rPr>
                <w:t xml:space="preserve">[81]</w:t>
              </w:r>
            </w:hyperlink>
            <w:r>
              <w:t xml:space="preserve">; AvaTaR</w:t>
            </w:r>
            <w:r>
              <w:t xml:space="preserve"> </w:t>
            </w:r>
            <w:hyperlink r:id="rId64">
              <w:r>
                <w:rPr>
                  <w:rStyle w:val="Hyperlink"/>
                </w:rPr>
                <w:t xml:space="preserve">[82]</w:t>
              </w:r>
            </w:hyperlink>
          </w:p>
        </w:tc>
        <w:tc>
          <w:tcPr/>
          <w:p>
            <w:pPr>
              <w:pStyle w:val="Compact"/>
            </w:pPr>
            <w:r>
              <w:t xml:space="preserve">Reduces cost; mitigates heuristic prompting</w:t>
            </w:r>
          </w:p>
        </w:tc>
        <w:tc>
          <w:tcPr/>
          <w:p>
            <w:pPr>
              <w:pStyle w:val="Compact"/>
            </w:pPr>
            <w:r>
              <w:t xml:space="preserve">May still fail under novel tools; evaluation dependence</w:t>
            </w:r>
          </w:p>
        </w:tc>
        <w:tc>
          <w:tcPr/>
          <w:p>
            <w:pPr>
              <w:pStyle w:val="Compact"/>
            </w:pPr>
            <w:r>
              <w:t xml:space="preserve">Moderate engineering; modest compute</w:t>
            </w:r>
          </w:p>
        </w:tc>
        <w:tc>
          <w:tcPr/>
          <w:p>
            <w:pPr>
              <w:pStyle w:val="Compact"/>
            </w:pPr>
            <w:r>
              <w:t xml:space="preserve">~1–6 months to integrate and validate</w:t>
            </w:r>
          </w:p>
        </w:tc>
      </w:tr>
      <w:tr>
        <w:tc>
          <w:tcPr/>
          <w:p>
            <w:pPr>
              <w:pStyle w:val="Compact"/>
            </w:pPr>
            <w:r>
              <w:t xml:space="preserve">RL-based mastery for robust tool use</w:t>
            </w:r>
          </w:p>
        </w:tc>
        <w:tc>
          <w:tcPr/>
          <w:p>
            <w:pPr>
              <w:pStyle w:val="Compact"/>
            </w:pPr>
            <w:r>
              <w:t xml:space="preserve">Survey’s RL emphasis</w:t>
            </w:r>
            <w:r>
              <w:t xml:space="preserve"> </w:t>
            </w:r>
            <w:hyperlink r:id="rId21">
              <w:r>
                <w:rPr>
                  <w:rStyle w:val="Hyperlink"/>
                </w:rPr>
                <w:t xml:space="preserve">[12]</w:t>
              </w:r>
            </w:hyperlink>
            <w:r>
              <w:t xml:space="preserve">; long-horizon interactive RL</w:t>
            </w:r>
            <w:r>
              <w:t xml:space="preserve"> </w:t>
            </w:r>
            <w:hyperlink r:id="rId22">
              <w:r>
                <w:rPr>
                  <w:rStyle w:val="Hyperlink"/>
                </w:rPr>
                <w:t xml:space="preserve">[83]</w:t>
              </w:r>
            </w:hyperlink>
          </w:p>
        </w:tc>
        <w:tc>
          <w:tcPr/>
          <w:p>
            <w:pPr>
              <w:pStyle w:val="Compact"/>
            </w:pPr>
            <w:r>
              <w:t xml:space="preserve">Improves adaptivity; can learn recovery and doc-consulting</w:t>
            </w:r>
          </w:p>
        </w:tc>
        <w:tc>
          <w:tcPr/>
          <w:p>
            <w:pPr>
              <w:pStyle w:val="Compact"/>
            </w:pPr>
            <w:r>
              <w:t xml:space="preserve">Expensive rollouts; reward hacking; safety constraints</w:t>
            </w:r>
          </w:p>
        </w:tc>
        <w:tc>
          <w:tcPr/>
          <w:p>
            <w:pPr>
              <w:pStyle w:val="Compact"/>
            </w:pPr>
            <w:r>
              <w:t xml:space="preserve">High infra + compute; RL expertise</w:t>
            </w:r>
          </w:p>
        </w:tc>
        <w:tc>
          <w:tcPr/>
          <w:p>
            <w:pPr>
              <w:pStyle w:val="Compact"/>
            </w:pPr>
            <w:r>
              <w:t xml:space="preserve">~6–18 months depending on task</w:t>
            </w:r>
          </w:p>
        </w:tc>
      </w:tr>
    </w:tbl>
    <w:p>
      <w:pPr>
        <w:pStyle w:val="BodyText"/>
      </w:pPr>
      <w:r>
        <w:rPr>
          <w:b/>
          <w:bCs/>
        </w:rPr>
        <w:t xml:space="preserve">Feasibility, resources, risks, metrics</w:t>
      </w:r>
    </w:p>
    <w:p>
      <w:pPr>
        <w:pStyle w:val="BodyText"/>
      </w:pPr>
      <w:r>
        <w:t xml:space="preserve">Technical feasibility is</w:t>
      </w:r>
      <w:r>
        <w:t xml:space="preserve"> </w:t>
      </w:r>
      <w:r>
        <w:rPr>
          <w:b/>
          <w:bCs/>
        </w:rPr>
        <w:t xml:space="preserve">high</w:t>
      </w:r>
      <w:r>
        <w:t xml:space="preserve"> </w:t>
      </w:r>
      <w:r>
        <w:t xml:space="preserve">for improving tool-use accuracy within a well-specified tool distribution and evaluation harness; it is</w:t>
      </w:r>
      <w:r>
        <w:t xml:space="preserve"> </w:t>
      </w:r>
      <w:r>
        <w:rPr>
          <w:b/>
          <w:bCs/>
        </w:rPr>
        <w:t xml:space="preserve">medium</w:t>
      </w:r>
      <w:r>
        <w:t xml:space="preserve"> </w:t>
      </w:r>
      <w:r>
        <w:t xml:space="preserve">for generalisation to novel tools and adversarial tool outputs.</w:t>
      </w:r>
      <w:r>
        <w:t xml:space="preserve"> </w:t>
      </w:r>
      <w:hyperlink r:id="rId21">
        <w:r>
          <w:rPr>
            <w:rStyle w:val="Hyperlink"/>
          </w:rPr>
          <w:t xml:space="preserve">[84]</w:t>
        </w:r>
      </w:hyperlink>
      <w:r>
        <w:t xml:space="preserve"> </w:t>
      </w:r>
      <w:r>
        <w:t xml:space="preserve">Metrics: tool-call JSON validity, correct tool selection/top-k recall, end-to-end task success, and robustness under tool/API drift.</w:t>
      </w:r>
      <w:r>
        <w:t xml:space="preserve"> </w:t>
      </w:r>
      <w:hyperlink r:id="rId21">
        <w:r>
          <w:rPr>
            <w:rStyle w:val="Hyperlink"/>
          </w:rPr>
          <w:t xml:space="preserve">[85]</w:t>
        </w:r>
      </w:hyperlink>
    </w:p>
    <w:bookmarkEnd w:id="65"/>
    <w:bookmarkStart w:id="67" w:name="Xb319a093705dac8154ae9249b7cf25db34eae16"/>
    <w:p>
      <w:pPr>
        <w:pStyle w:val="Heading3"/>
      </w:pPr>
      <w:r>
        <w:t xml:space="preserve">Search/memory co-evolution and feedback signal quality</w:t>
      </w:r>
    </w:p>
    <w:p>
      <w:pPr>
        <w:pStyle w:val="FirstParagraph"/>
      </w:pPr>
      <w:r>
        <w:t xml:space="preserve">The survey’s explicit limitations are: early search systems were static and lacked adaptive control over memory evolution, and validator-driven feedback is non-diagnostic.</w:t>
      </w:r>
      <w:r>
        <w:t xml:space="preserve"> </w:t>
      </w:r>
      <w:hyperlink r:id="rId21">
        <w:r>
          <w:rPr>
            <w:rStyle w:val="Hyperlink"/>
          </w:rPr>
          <w:t xml:space="preserve">[86]</w:t>
        </w:r>
      </w:hyperlink>
      <w:r>
        <w:t xml:space="preserve"> </w:t>
      </w:r>
      <w:r>
        <w:t xml:space="preserve">It also notes prompt-engineering instability for in-context retrieval methods.</w:t>
      </w:r>
      <w:r>
        <w:t xml:space="preserve"> </w:t>
      </w:r>
      <w:hyperlink r:id="rId21">
        <w:r>
          <w:rPr>
            <w:rStyle w:val="Hyperlink"/>
          </w:rPr>
          <w:t xml:space="preserve">[13]</w:t>
        </w:r>
      </w:hyperlink>
    </w:p>
    <w:p>
      <w:pPr>
        <w:pStyle w:val="BodyText"/>
      </w:pPr>
      <w:r>
        <w:t xml:space="preserve">The responding literature trend is to make memory/search decisions part of the policy (i.e., learnable), and to shift from binary validators to richer process-level signals.</w:t>
      </w:r>
    </w:p>
    <w:p>
      <w:pPr>
        <w:pStyle w:val="BodyText"/>
      </w:pPr>
      <w:r>
        <w:t xml:space="preserve">Memory-focused systems highlight the need for explicit memory management to support long-horizon tasks.</w:t>
      </w:r>
      <w:r>
        <w:t xml:space="preserve"> </w:t>
      </w:r>
      <w:hyperlink r:id="rId29">
        <w:r>
          <w:rPr>
            <w:rStyle w:val="Hyperlink"/>
          </w:rPr>
          <w:t xml:space="preserve">[87]</w:t>
        </w:r>
      </w:hyperlink>
      <w:r>
        <w:t xml:space="preserve"> </w:t>
      </w:r>
      <w:r>
        <w:t xml:space="preserve">On the RL side, turn-level credit assignment for multi-turn agents implicitly supports learning better memory write/retrieve decisions, and the survey itself cites RL-for-memory style approaches in its open problem discussion.</w:t>
      </w:r>
      <w:r>
        <w:t xml:space="preserve"> </w:t>
      </w:r>
      <w:hyperlink r:id="rId36">
        <w:r>
          <w:rPr>
            <w:rStyle w:val="Hyperlink"/>
          </w:rPr>
          <w:t xml:space="preserve">[88]</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Memory managers and multi-tier memory architectures</w:t>
            </w:r>
          </w:p>
        </w:tc>
        <w:tc>
          <w:tcPr/>
          <w:p>
            <w:pPr>
              <w:pStyle w:val="Compact"/>
            </w:pPr>
            <w:r>
              <w:t xml:space="preserve">MemGPT</w:t>
            </w:r>
            <w:r>
              <w:t xml:space="preserve"> </w:t>
            </w:r>
            <w:hyperlink r:id="rId29">
              <w:r>
                <w:rPr>
                  <w:rStyle w:val="Hyperlink"/>
                </w:rPr>
                <w:t xml:space="preserve">[25]</w:t>
              </w:r>
            </w:hyperlink>
            <w:r>
              <w:t xml:space="preserve">; A-Mem</w:t>
            </w:r>
            <w:r>
              <w:t xml:space="preserve"> </w:t>
            </w:r>
            <w:hyperlink r:id="rId66">
              <w:r>
                <w:rPr>
                  <w:rStyle w:val="Hyperlink"/>
                </w:rPr>
                <w:t xml:space="preserve">[89]</w:t>
              </w:r>
            </w:hyperlink>
          </w:p>
        </w:tc>
        <w:tc>
          <w:tcPr/>
          <w:p>
            <w:pPr>
              <w:pStyle w:val="Compact"/>
            </w:pPr>
            <w:r>
              <w:t xml:space="preserve">Concrete engineering path; improves long-horizon recall</w:t>
            </w:r>
          </w:p>
        </w:tc>
        <w:tc>
          <w:tcPr/>
          <w:p>
            <w:pPr>
              <w:pStyle w:val="Compact"/>
            </w:pPr>
            <w:r>
              <w:t xml:space="preserve">Requires careful curation; privacy/poisoning issues</w:t>
            </w:r>
          </w:p>
        </w:tc>
        <w:tc>
          <w:tcPr/>
          <w:p>
            <w:pPr>
              <w:pStyle w:val="Compact"/>
            </w:pPr>
            <w:r>
              <w:t xml:space="preserve">Moderate engineering; moderate inference</w:t>
            </w:r>
          </w:p>
        </w:tc>
        <w:tc>
          <w:tcPr/>
          <w:p>
            <w:pPr>
              <w:pStyle w:val="Compact"/>
            </w:pPr>
            <w:r>
              <w:t xml:space="preserve">~1–6 months for measurable gains</w:t>
            </w:r>
          </w:p>
        </w:tc>
      </w:tr>
      <w:tr>
        <w:tc>
          <w:tcPr/>
          <w:p>
            <w:pPr>
              <w:pStyle w:val="Compact"/>
            </w:pPr>
            <w:r>
              <w:t xml:space="preserve">Learn memory/search actions via RL with better credit assignment</w:t>
            </w:r>
          </w:p>
        </w:tc>
        <w:tc>
          <w:tcPr/>
          <w:p>
            <w:pPr>
              <w:pStyle w:val="Compact"/>
            </w:pPr>
            <w:r>
              <w:t xml:space="preserve">Turn-level credit assignment</w:t>
            </w:r>
            <w:r>
              <w:t xml:space="preserve"> </w:t>
            </w:r>
            <w:hyperlink r:id="rId36">
              <w:r>
                <w:rPr>
                  <w:rStyle w:val="Hyperlink"/>
                </w:rPr>
                <w:t xml:space="preserve">[33]</w:t>
              </w:r>
            </w:hyperlink>
            <w:r>
              <w:t xml:space="preserve">; long-horizon RL agents</w:t>
            </w:r>
            <w:r>
              <w:t xml:space="preserve"> </w:t>
            </w:r>
            <w:hyperlink r:id="rId22">
              <w:r>
                <w:rPr>
                  <w:rStyle w:val="Hyperlink"/>
                </w:rPr>
                <w:t xml:space="preserve">[83]</w:t>
              </w:r>
            </w:hyperlink>
          </w:p>
        </w:tc>
        <w:tc>
          <w:tcPr/>
          <w:p>
            <w:pPr>
              <w:pStyle w:val="Compact"/>
            </w:pPr>
            <w:r>
              <w:t xml:space="preserve">Addresses non-diagnostic feedback by learning action-level attribution</w:t>
            </w:r>
          </w:p>
        </w:tc>
        <w:tc>
          <w:tcPr/>
          <w:p>
            <w:pPr>
              <w:pStyle w:val="Compact"/>
            </w:pPr>
            <w:r>
              <w:t xml:space="preserve">RL complexity; needs environments and safe reward channels</w:t>
            </w:r>
          </w:p>
        </w:tc>
        <w:tc>
          <w:tcPr/>
          <w:p>
            <w:pPr>
              <w:pStyle w:val="Compact"/>
            </w:pPr>
            <w:r>
              <w:t xml:space="preserve">High infra; moderate-to-high compute</w:t>
            </w:r>
          </w:p>
        </w:tc>
        <w:tc>
          <w:tcPr/>
          <w:p>
            <w:pPr>
              <w:pStyle w:val="Compact"/>
            </w:pPr>
            <w:r>
              <w:t xml:space="preserve">~6–12 months</w:t>
            </w:r>
          </w:p>
        </w:tc>
      </w:tr>
      <w:tr>
        <w:tc>
          <w:tcPr/>
          <w:p>
            <w:pPr>
              <w:pStyle w:val="Compact"/>
            </w:pPr>
            <w:r>
              <w:t xml:space="preserve">Structure-enhanced retrieval to reduce prompt brittleness</w:t>
            </w:r>
          </w:p>
        </w:tc>
        <w:tc>
          <w:tcPr/>
          <w:p>
            <w:pPr>
              <w:pStyle w:val="Compact"/>
            </w:pPr>
            <w:r>
              <w:t xml:space="preserve">Paper’s structure-enhanced RAG discussion</w:t>
            </w:r>
            <w:r>
              <w:t xml:space="preserve"> </w:t>
            </w:r>
            <w:hyperlink r:id="rId21">
              <w:r>
                <w:rPr>
                  <w:rStyle w:val="Hyperlink"/>
                </w:rPr>
                <w:t xml:space="preserve">[13]</w:t>
              </w:r>
            </w:hyperlink>
          </w:p>
        </w:tc>
        <w:tc>
          <w:tcPr/>
          <w:p>
            <w:pPr>
              <w:pStyle w:val="Compact"/>
            </w:pPr>
            <w:r>
              <w:t xml:space="preserve">More stable across domains than pure prompting</w:t>
            </w:r>
          </w:p>
        </w:tc>
        <w:tc>
          <w:tcPr/>
          <w:p>
            <w:pPr>
              <w:pStyle w:val="Compact"/>
            </w:pPr>
            <w:r>
              <w:t xml:space="preserve">Additional complexity; can still drift</w:t>
            </w:r>
          </w:p>
        </w:tc>
        <w:tc>
          <w:tcPr/>
          <w:p>
            <w:pPr>
              <w:pStyle w:val="Compact"/>
            </w:pPr>
            <w:r>
              <w:t xml:space="preserve">Moderate engineering</w:t>
            </w:r>
          </w:p>
        </w:tc>
        <w:tc>
          <w:tcPr/>
          <w:p>
            <w:pPr>
              <w:pStyle w:val="Compact"/>
            </w:pPr>
            <w:r>
              <w:t xml:space="preserve">~3–9 months</w:t>
            </w:r>
          </w:p>
        </w:tc>
      </w:tr>
    </w:tbl>
    <w:p>
      <w:pPr>
        <w:pStyle w:val="BodyText"/>
      </w:pPr>
      <w:r>
        <w:rPr>
          <w:b/>
          <w:bCs/>
        </w:rPr>
        <w:t xml:space="preserve">Feasibility, resources, risks, metrics</w:t>
      </w:r>
    </w:p>
    <w:p>
      <w:pPr>
        <w:pStyle w:val="BodyText"/>
      </w:pPr>
      <w:r>
        <w:t xml:space="preserve">Feasibility is</w:t>
      </w:r>
      <w:r>
        <w:t xml:space="preserve"> </w:t>
      </w:r>
      <w:r>
        <w:rPr>
          <w:b/>
          <w:bCs/>
        </w:rPr>
        <w:t xml:space="preserve">high</w:t>
      </w:r>
      <w:r>
        <w:t xml:space="preserve"> </w:t>
      </w:r>
      <w:r>
        <w:t xml:space="preserve">for improved long-horizon retrieval in controlled corpora; it is</w:t>
      </w:r>
      <w:r>
        <w:t xml:space="preserve"> </w:t>
      </w:r>
      <w:r>
        <w:rPr>
          <w:b/>
          <w:bCs/>
        </w:rPr>
        <w:t xml:space="preserve">medium</w:t>
      </w:r>
      <w:r>
        <w:t xml:space="preserve"> </w:t>
      </w:r>
      <w:r>
        <w:t xml:space="preserve">for robust continual memory evolution without degradation or poisoning.</w:t>
      </w:r>
      <w:r>
        <w:t xml:space="preserve"> </w:t>
      </w:r>
      <w:hyperlink r:id="rId21">
        <w:r>
          <w:rPr>
            <w:rStyle w:val="Hyperlink"/>
          </w:rPr>
          <w:t xml:space="preserve">[90]</w:t>
        </w:r>
      </w:hyperlink>
      <w:r>
        <w:t xml:space="preserve"> </w:t>
      </w:r>
      <w:r>
        <w:t xml:space="preserve">Metrics: retrieval relevance, memory write precision (how often saved items later help), hallucination rate with retrieved evidence, and “harmful memory recall” rate.</w:t>
      </w:r>
      <w:r>
        <w:t xml:space="preserve"> </w:t>
      </w:r>
      <w:hyperlink r:id="rId21">
        <w:r>
          <w:rPr>
            <w:rStyle w:val="Hyperlink"/>
          </w:rPr>
          <w:t xml:space="preserve">[91]</w:t>
        </w:r>
      </w:hyperlink>
    </w:p>
    <w:bookmarkEnd w:id="67"/>
    <w:bookmarkStart w:id="70" w:name="evaluation-and-benchmarking-limitations"/>
    <w:p>
      <w:pPr>
        <w:pStyle w:val="Heading3"/>
      </w:pPr>
      <w:r>
        <w:t xml:space="preserve">Evaluation and benchmarking limitations</w:t>
      </w:r>
    </w:p>
    <w:p>
      <w:pPr>
        <w:pStyle w:val="FirstParagraph"/>
      </w:pPr>
      <w:r>
        <w:t xml:space="preserve">The survey explicitly states that traditional math/code benchmark evaluation is showing clear limitations (saturation; insufficiently exploratory; final-answer accuracy is partial), that tool-use evaluation remains an open challenge due to diversity, and that web benchmarks highlight perception/grounding/generalisation challenges.</w:t>
      </w:r>
      <w:r>
        <w:t xml:space="preserve"> </w:t>
      </w:r>
      <w:hyperlink r:id="rId21">
        <w:r>
          <w:rPr>
            <w:rStyle w:val="Hyperlink"/>
          </w:rPr>
          <w:t xml:space="preserve">[92]</w:t>
        </w:r>
      </w:hyperlink>
    </w:p>
    <w:p>
      <w:pPr>
        <w:pStyle w:val="BodyText"/>
      </w:pPr>
      <w:r>
        <w:t xml:space="preserve">The last 5 years have introduced new benchmarks that aim to reduce saturation and improve realism: FrontierMath provides a harder spectrum of maths problems, while interactive environments like AppWorld provide state-based evaluation for multi-step API interactions and collateral damage checks.</w:t>
      </w:r>
      <w:r>
        <w:t xml:space="preserve"> </w:t>
      </w:r>
      <w:hyperlink r:id="rId68">
        <w:r>
          <w:rPr>
            <w:rStyle w:val="Hyperlink"/>
          </w:rPr>
          <w:t xml:space="preserve">[93]</w:t>
        </w:r>
      </w:hyperlink>
      <w:r>
        <w:t xml:space="preserve"> </w:t>
      </w:r>
      <w:r>
        <w:t xml:space="preserve">For tool use specifically, ToolBench/ToolEval supplies large-scale API evaluation infrastructure.</w:t>
      </w:r>
      <w:r>
        <w:t xml:space="preserve"> </w:t>
      </w:r>
      <w:hyperlink r:id="rId69">
        <w:r>
          <w:rPr>
            <w:rStyle w:val="Hyperlink"/>
          </w:rPr>
          <w:t xml:space="preserve">[94]</w:t>
        </w:r>
      </w:hyperlink>
    </w:p>
    <w:p>
      <w:pPr>
        <w:pStyle w:val="BodyText"/>
      </w:pPr>
      <w:r>
        <w:rPr>
          <w:b/>
          <w:bCs/>
        </w:rPr>
        <w:t xml:space="preserve">Candidate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key references</w:t>
            </w:r>
          </w:p>
        </w:tc>
        <w:tc>
          <w:tcPr/>
          <w:p>
            <w:pPr>
              <w:pStyle w:val="Compact"/>
            </w:pPr>
            <w:r>
              <w:t xml:space="preserve">pros</w:t>
            </w:r>
          </w:p>
        </w:tc>
        <w:tc>
          <w:tcPr/>
          <w:p>
            <w:pPr>
              <w:pStyle w:val="Compact"/>
            </w:pPr>
            <w:r>
              <w:t xml:space="preserve">cons</w:t>
            </w:r>
          </w:p>
        </w:tc>
        <w:tc>
          <w:tcPr/>
          <w:p>
            <w:pPr>
              <w:pStyle w:val="Compact"/>
            </w:pPr>
            <w:r>
              <w:t xml:space="preserve">resource estimate</w:t>
            </w:r>
          </w:p>
        </w:tc>
        <w:tc>
          <w:tcPr/>
          <w:p>
            <w:pPr>
              <w:pStyle w:val="Compact"/>
            </w:pPr>
            <w:r>
              <w:t xml:space="preserve">estimated time to impact</w:t>
            </w:r>
          </w:p>
        </w:tc>
      </w:tr>
      <w:tr>
        <w:tc>
          <w:tcPr/>
          <w:p>
            <w:pPr>
              <w:pStyle w:val="Compact"/>
            </w:pPr>
            <w:r>
              <w:t xml:space="preserve">Harder static reasoning benchmarks</w:t>
            </w:r>
          </w:p>
        </w:tc>
        <w:tc>
          <w:tcPr/>
          <w:p>
            <w:pPr>
              <w:pStyle w:val="Compact"/>
            </w:pPr>
            <w:r>
              <w:t xml:space="preserve">FrontierMath</w:t>
            </w:r>
            <w:r>
              <w:t xml:space="preserve"> </w:t>
            </w:r>
            <w:hyperlink r:id="rId68">
              <w:r>
                <w:rPr>
                  <w:rStyle w:val="Hyperlink"/>
                </w:rPr>
                <w:t xml:space="preserve">[95]</w:t>
              </w:r>
            </w:hyperlink>
          </w:p>
        </w:tc>
        <w:tc>
          <w:tcPr/>
          <w:p>
            <w:pPr>
              <w:pStyle w:val="Compact"/>
            </w:pPr>
            <w:r>
              <w:t xml:space="preserve">Slows saturation; better differentiation</w:t>
            </w:r>
          </w:p>
        </w:tc>
        <w:tc>
          <w:tcPr/>
          <w:p>
            <w:pPr>
              <w:pStyle w:val="Compact"/>
            </w:pPr>
            <w:r>
              <w:t xml:space="preserve">Still not “agentic” end-to-end; may be narrow</w:t>
            </w:r>
          </w:p>
        </w:tc>
        <w:tc>
          <w:tcPr/>
          <w:p>
            <w:pPr>
              <w:pStyle w:val="Compact"/>
            </w:pPr>
            <w:r>
              <w:t xml:space="preserve">Low-to-moderate</w:t>
            </w:r>
          </w:p>
        </w:tc>
        <w:tc>
          <w:tcPr/>
          <w:p>
            <w:pPr>
              <w:pStyle w:val="Compact"/>
            </w:pPr>
            <w:r>
              <w:t xml:space="preserve">Immediate adoption</w:t>
            </w:r>
          </w:p>
        </w:tc>
      </w:tr>
      <w:tr>
        <w:tc>
          <w:tcPr/>
          <w:p>
            <w:pPr>
              <w:pStyle w:val="Compact"/>
            </w:pPr>
            <w:r>
              <w:t xml:space="preserve">Stateful interactive benchmarks with unit tests and collateral checks</w:t>
            </w:r>
          </w:p>
        </w:tc>
        <w:tc>
          <w:tcPr/>
          <w:p>
            <w:pPr>
              <w:pStyle w:val="Compact"/>
            </w:pPr>
            <w:r>
              <w:t xml:space="preserve">AppWorld (ACL)</w:t>
            </w:r>
            <w:r>
              <w:t xml:space="preserve"> </w:t>
            </w:r>
            <w:hyperlink r:id="rId37">
              <w:r>
                <w:rPr>
                  <w:rStyle w:val="Hyperlink"/>
                </w:rPr>
                <w:t xml:space="preserve">[96]</w:t>
              </w:r>
            </w:hyperlink>
          </w:p>
        </w:tc>
        <w:tc>
          <w:tcPr/>
          <w:p>
            <w:pPr>
              <w:pStyle w:val="Compact"/>
            </w:pPr>
            <w:r>
              <w:t xml:space="preserve">Measures agent behaviour and side effects; supports RL training</w:t>
            </w:r>
          </w:p>
        </w:tc>
        <w:tc>
          <w:tcPr/>
          <w:p>
            <w:pPr>
              <w:pStyle w:val="Compact"/>
            </w:pPr>
            <w:r>
              <w:t xml:space="preserve">Expensive to run and maintain; environment shift issues</w:t>
            </w:r>
          </w:p>
        </w:tc>
        <w:tc>
          <w:tcPr/>
          <w:p>
            <w:pPr>
              <w:pStyle w:val="Compact"/>
            </w:pPr>
            <w:r>
              <w:t xml:space="preserve">Moderate-to-high infra</w:t>
            </w:r>
          </w:p>
        </w:tc>
        <w:tc>
          <w:tcPr/>
          <w:p>
            <w:pPr>
              <w:pStyle w:val="Compact"/>
            </w:pPr>
            <w:r>
              <w:t xml:space="preserve">~1–3 months to integrate; ongoing</w:t>
            </w:r>
          </w:p>
        </w:tc>
      </w:tr>
      <w:tr>
        <w:tc>
          <w:tcPr/>
          <w:p>
            <w:pPr>
              <w:pStyle w:val="Compact"/>
            </w:pPr>
            <w:r>
              <w:t xml:space="preserve">Tool-use platforms and evaluators</w:t>
            </w:r>
          </w:p>
        </w:tc>
        <w:tc>
          <w:tcPr/>
          <w:p>
            <w:pPr>
              <w:pStyle w:val="Compact"/>
            </w:pPr>
            <w:r>
              <w:t xml:space="preserve">ToolBench/ToolEval</w:t>
            </w:r>
            <w:r>
              <w:t xml:space="preserve"> </w:t>
            </w:r>
            <w:hyperlink r:id="rId69">
              <w:r>
                <w:rPr>
                  <w:rStyle w:val="Hyperlink"/>
                </w:rPr>
                <w:t xml:space="preserve">[94]</w:t>
              </w:r>
            </w:hyperlink>
          </w:p>
        </w:tc>
        <w:tc>
          <w:tcPr/>
          <w:p>
            <w:pPr>
              <w:pStyle w:val="Compact"/>
            </w:pPr>
            <w:r>
              <w:t xml:space="preserve">Standardises tool-use eval; supports generalisation measurement</w:t>
            </w:r>
          </w:p>
        </w:tc>
        <w:tc>
          <w:tcPr/>
          <w:p>
            <w:pPr>
              <w:pStyle w:val="Compact"/>
            </w:pPr>
            <w:r>
              <w:t xml:space="preserve">Tool drift; evaluation still imperfect</w:t>
            </w:r>
          </w:p>
        </w:tc>
        <w:tc>
          <w:tcPr/>
          <w:p>
            <w:pPr>
              <w:pStyle w:val="Compact"/>
            </w:pPr>
            <w:r>
              <w:t xml:space="preserve">Moderate infra; dataset maintenance</w:t>
            </w:r>
          </w:p>
        </w:tc>
        <w:tc>
          <w:tcPr/>
          <w:p>
            <w:pPr>
              <w:pStyle w:val="Compact"/>
            </w:pPr>
            <w:r>
              <w:t xml:space="preserve">~1–6 months</w:t>
            </w:r>
          </w:p>
        </w:tc>
      </w:tr>
    </w:tbl>
    <w:p>
      <w:pPr>
        <w:pStyle w:val="BodyText"/>
      </w:pPr>
      <w:r>
        <w:rPr>
          <w:b/>
          <w:bCs/>
        </w:rPr>
        <w:t xml:space="preserve">Feasibility, resources, risks, metrics</w:t>
      </w:r>
    </w:p>
    <w:p>
      <w:pPr>
        <w:pStyle w:val="BodyText"/>
      </w:pPr>
      <w:r>
        <w:t xml:space="preserve">Improving evaluation is</w:t>
      </w:r>
      <w:r>
        <w:t xml:space="preserve"> </w:t>
      </w:r>
      <w:r>
        <w:rPr>
          <w:b/>
          <w:bCs/>
        </w:rPr>
        <w:t xml:space="preserve">highly feasible</w:t>
      </w:r>
      <w:r>
        <w:t xml:space="preserve">, but maintaining benchmark relevance under rapid ecosystem change is</w:t>
      </w:r>
      <w:r>
        <w:t xml:space="preserve"> </w:t>
      </w:r>
      <w:r>
        <w:rPr>
          <w:b/>
          <w:bCs/>
        </w:rPr>
        <w:t xml:space="preserve">an ongoing cost</w:t>
      </w:r>
      <w:r>
        <w:t xml:space="preserve">.</w:t>
      </w:r>
      <w:r>
        <w:t xml:space="preserve"> </w:t>
      </w:r>
      <w:hyperlink r:id="rId21">
        <w:r>
          <w:rPr>
            <w:rStyle w:val="Hyperlink"/>
          </w:rPr>
          <w:t xml:space="preserve">[97]</w:t>
        </w:r>
      </w:hyperlink>
      <w:r>
        <w:t xml:space="preserve"> </w:t>
      </w:r>
      <w:r>
        <w:t xml:space="preserve">Success metrics: benchmark validity (predictive of real-world success), robustness to gaming, and coverage of planning-time failures and multi-agent dynamics (explicitly identified as underexplored).</w:t>
      </w:r>
      <w:r>
        <w:t xml:space="preserve"> </w:t>
      </w:r>
      <w:hyperlink r:id="rId21">
        <w:r>
          <w:rPr>
            <w:rStyle w:val="Hyperlink"/>
          </w:rPr>
          <w:t xml:space="preserve">[98]</w:t>
        </w:r>
      </w:hyperlink>
    </w:p>
    <w:bookmarkEnd w:id="70"/>
    <w:bookmarkEnd w:id="71"/>
    <w:bookmarkStart w:id="78" w:name="Xdcd324263c356e22e50451070feeea7eacaeb4e"/>
    <w:p>
      <w:pPr>
        <w:pStyle w:val="Heading2"/>
      </w:pPr>
      <w:r>
        <w:t xml:space="preserve">Proposed research and engineering programme for the top five limitations</w:t>
      </w:r>
    </w:p>
    <w:p>
      <w:pPr>
        <w:pStyle w:val="FirstParagraph"/>
      </w:pPr>
      <w:r>
        <w:t xml:space="preserve">The survey’s “top five” forward directions (personalisation, long-horizon interaction, world models, scalable multi-agent training, governance) can be tackled as an integrated programme.</w:t>
      </w:r>
      <w:r>
        <w:t xml:space="preserve"> </w:t>
      </w:r>
      <w:hyperlink r:id="rId21">
        <w:r>
          <w:rPr>
            <w:rStyle w:val="Hyperlink"/>
          </w:rPr>
          <w:t xml:space="preserve">[99]</w:t>
        </w:r>
      </w:hyperlink>
    </w:p>
    <w:bookmarkStart w:id="72" w:name="architecture-and-experiment-blueprint"/>
    <w:p>
      <w:pPr>
        <w:pStyle w:val="Heading3"/>
      </w:pPr>
      <w:r>
        <w:t xml:space="preserve">Architecture and experiment blueprint</w:t>
      </w:r>
    </w:p>
    <w:p>
      <w:pPr>
        <w:pStyle w:val="FirstParagraph"/>
      </w:pPr>
      <w:r>
        <w:t xml:space="preserve">A coherent research architecture is to treat the deployed system as a</w:t>
      </w:r>
      <w:r>
        <w:t xml:space="preserve"> </w:t>
      </w:r>
      <w:r>
        <w:rPr>
          <w:b/>
          <w:bCs/>
        </w:rPr>
        <w:t xml:space="preserve">policy over actions</w:t>
      </w:r>
      <w:r>
        <w:t xml:space="preserve"> </w:t>
      </w:r>
      <w:r>
        <w:t xml:space="preserve">with (i) memory, (ii) tool access, (iii) optional world-model simulation, and (iv) optional multi-agent coordination, wrapped inside a governance layer that constrains and audits actions. This operationalises the survey’s “thought/action” framing and its governance emphasis.</w:t>
      </w:r>
      <w:r>
        <w:t xml:space="preserve"> </w:t>
      </w:r>
      <w:hyperlink r:id="rId21">
        <w:r>
          <w:rPr>
            <w:rStyle w:val="Hyperlink"/>
          </w:rPr>
          <w:t xml:space="preserve">[100]</w:t>
        </w:r>
      </w:hyperlink>
    </w:p>
    <w:p>
      <w:pPr>
        <w:pStyle w:val="SourceCode"/>
      </w:pPr>
      <w:r>
        <w:rPr>
          <w:rStyle w:val="VerbatimChar"/>
        </w:rPr>
        <w:t xml:space="preserve">flowchart TD</w:t>
      </w:r>
      <w:r>
        <w:br/>
      </w:r>
      <w:r>
        <w:rPr>
          <w:rStyle w:val="VerbatimChar"/>
        </w:rPr>
        <w:t xml:space="preserve">  U[User &amp; context] --&gt; P[Agent policy: plan/act loop]</w:t>
      </w:r>
      <w:r>
        <w:br/>
      </w:r>
      <w:r>
        <w:rPr>
          <w:rStyle w:val="VerbatimChar"/>
        </w:rPr>
        <w:t xml:space="preserve">  P --&gt; T[Tools / APIs]</w:t>
      </w:r>
      <w:r>
        <w:br/>
      </w:r>
      <w:r>
        <w:rPr>
          <w:rStyle w:val="VerbatimChar"/>
        </w:rPr>
        <w:t xml:space="preserve">  T --&gt; O[Observations &amp; logs]</w:t>
      </w:r>
      <w:r>
        <w:br/>
      </w:r>
      <w:r>
        <w:rPr>
          <w:rStyle w:val="VerbatimChar"/>
        </w:rPr>
        <w:t xml:space="preserve">  O --&gt; P</w:t>
      </w:r>
      <w:r>
        <w:br/>
      </w:r>
      <w:r>
        <w:rPr>
          <w:rStyle w:val="VerbatimChar"/>
        </w:rPr>
        <w:t xml:space="preserve">  P --&gt; M[Persistent memory]</w:t>
      </w:r>
      <w:r>
        <w:br/>
      </w:r>
      <w:r>
        <w:rPr>
          <w:rStyle w:val="VerbatimChar"/>
        </w:rPr>
        <w:t xml:space="preserve">  M --&gt; P</w:t>
      </w:r>
      <w:r>
        <w:br/>
      </w:r>
      <w:r>
        <w:rPr>
          <w:rStyle w:val="VerbatimChar"/>
        </w:rPr>
        <w:t xml:space="preserve">  P --&gt; WM[World model (optional lookahead)]</w:t>
      </w:r>
      <w:r>
        <w:br/>
      </w:r>
      <w:r>
        <w:rPr>
          <w:rStyle w:val="VerbatimChar"/>
        </w:rPr>
        <w:t xml:space="preserve">  WM --&gt; P</w:t>
      </w:r>
      <w:r>
        <w:br/>
      </w:r>
      <w:r>
        <w:rPr>
          <w:rStyle w:val="VerbatimChar"/>
        </w:rPr>
        <w:t xml:space="preserve">  P --&gt; MA[Multi-agent coordinator (optional)]</w:t>
      </w:r>
      <w:r>
        <w:br/>
      </w:r>
      <w:r>
        <w:rPr>
          <w:rStyle w:val="VerbatimChar"/>
        </w:rPr>
        <w:t xml:space="preserve">  MA --&gt; P</w:t>
      </w:r>
      <w:r>
        <w:br/>
      </w:r>
      <w:r>
        <w:rPr>
          <w:rStyle w:val="VerbatimChar"/>
        </w:rPr>
        <w:t xml:space="preserve">  O --&gt; G[Governance layer: permissions, auditing, red-team tests]</w:t>
      </w:r>
      <w:r>
        <w:br/>
      </w:r>
      <w:r>
        <w:rPr>
          <w:rStyle w:val="VerbatimChar"/>
        </w:rPr>
        <w:t xml:space="preserve">  G --&gt; P</w:t>
      </w:r>
    </w:p>
    <w:bookmarkEnd w:id="72"/>
    <w:bookmarkStart w:id="73" w:name="personalisation-concrete-approach"/>
    <w:p>
      <w:pPr>
        <w:pStyle w:val="Heading3"/>
      </w:pPr>
      <w:r>
        <w:t xml:space="preserve">Personalisation: concrete approach</w:t>
      </w:r>
    </w:p>
    <w:p>
      <w:pPr>
        <w:pStyle w:val="FirstParagraph"/>
      </w:pPr>
      <w:r>
        <w:t xml:space="preserve">A practical approach is to combine:</w:t>
      </w:r>
    </w:p>
    <w:p>
      <w:pPr>
        <w:pStyle w:val="Compact"/>
        <w:numPr>
          <w:ilvl w:val="0"/>
          <w:numId w:val="1003"/>
        </w:numPr>
      </w:pPr>
      <w:r>
        <w:rPr>
          <w:b/>
          <w:bCs/>
        </w:rPr>
        <w:t xml:space="preserve">Persistent memory with explicit write policies</w:t>
      </w:r>
      <w:r>
        <w:t xml:space="preserve"> </w:t>
      </w:r>
      <w:r>
        <w:t xml:space="preserve">(what to store, when to summarise, when to forget), building on memory-tier ideas.</w:t>
      </w:r>
      <w:r>
        <w:t xml:space="preserve"> </w:t>
      </w:r>
      <w:hyperlink r:id="rId29">
        <w:r>
          <w:rPr>
            <w:rStyle w:val="Hyperlink"/>
          </w:rPr>
          <w:t xml:space="preserve">[101]</w:t>
        </w:r>
      </w:hyperlink>
    </w:p>
    <w:p>
      <w:pPr>
        <w:pStyle w:val="Compact"/>
        <w:numPr>
          <w:ilvl w:val="0"/>
          <w:numId w:val="1003"/>
        </w:numPr>
      </w:pPr>
      <w:r>
        <w:rPr>
          <w:b/>
          <w:bCs/>
        </w:rPr>
        <w:t xml:space="preserve">Preference-learning objective / evaluation harness</w:t>
      </w:r>
      <w:r>
        <w:t xml:space="preserve"> </w:t>
      </w:r>
      <w:r>
        <w:t xml:space="preserve">using preference benchmarks (e.g., PersonalLLM) and adding long-term interaction tasks.</w:t>
      </w:r>
      <w:r>
        <w:t xml:space="preserve"> </w:t>
      </w:r>
      <w:hyperlink r:id="rId30">
        <w:r>
          <w:rPr>
            <w:rStyle w:val="Hyperlink"/>
          </w:rPr>
          <w:t xml:space="preserve">[102]</w:t>
        </w:r>
      </w:hyperlink>
    </w:p>
    <w:p>
      <w:pPr>
        <w:pStyle w:val="Compact"/>
        <w:numPr>
          <w:ilvl w:val="0"/>
          <w:numId w:val="1003"/>
        </w:numPr>
      </w:pPr>
      <w:r>
        <w:rPr>
          <w:b/>
          <w:bCs/>
        </w:rPr>
        <w:t xml:space="preserve">User-centric RL in simulated environments</w:t>
      </w:r>
      <w:r>
        <w:t xml:space="preserve"> </w:t>
      </w:r>
      <w:r>
        <w:t xml:space="preserve">to learn long-horizon “assist the user” behaviours, adopting reward-shaping insights and simulator choice considerations.</w:t>
      </w:r>
      <w:r>
        <w:t xml:space="preserve"> </w:t>
      </w:r>
      <w:hyperlink r:id="rId31">
        <w:r>
          <w:rPr>
            <w:rStyle w:val="Hyperlink"/>
          </w:rPr>
          <w:t xml:space="preserve">[103]</w:t>
        </w:r>
      </w:hyperlink>
    </w:p>
    <w:p>
      <w:pPr>
        <w:pStyle w:val="FirstParagraph"/>
      </w:pPr>
      <w:r>
        <w:t xml:space="preserve">Milestones (approximate effort, assuming no strict compute limit):</w:t>
      </w:r>
    </w:p>
    <w:p>
      <w:pPr>
        <w:pStyle w:val="Compact"/>
        <w:numPr>
          <w:ilvl w:val="0"/>
          <w:numId w:val="1004"/>
        </w:numPr>
      </w:pPr>
      <w:r>
        <w:t xml:space="preserve">Baseline: memory + retrieval + per-session user profile (4–6 person-weeks).</w:t>
      </w:r>
      <w:r>
        <w:t xml:space="preserve"> </w:t>
      </w:r>
      <w:hyperlink r:id="rId29">
        <w:r>
          <w:rPr>
            <w:rStyle w:val="Hyperlink"/>
          </w:rPr>
          <w:t xml:space="preserve">[25]</w:t>
        </w:r>
      </w:hyperlink>
    </w:p>
    <w:p>
      <w:pPr>
        <w:pStyle w:val="Compact"/>
        <w:numPr>
          <w:ilvl w:val="0"/>
          <w:numId w:val="1004"/>
        </w:numPr>
      </w:pPr>
      <w:r>
        <w:t xml:space="preserve">Add preference-eval harness (PersonalLLM-style) + regression tests (2–4 person-weeks).</w:t>
      </w:r>
      <w:r>
        <w:t xml:space="preserve"> </w:t>
      </w:r>
      <w:hyperlink r:id="rId30">
        <w:r>
          <w:rPr>
            <w:rStyle w:val="Hyperlink"/>
          </w:rPr>
          <w:t xml:space="preserve">[104]</w:t>
        </w:r>
      </w:hyperlink>
    </w:p>
    <w:p>
      <w:pPr>
        <w:pStyle w:val="Compact"/>
        <w:numPr>
          <w:ilvl w:val="0"/>
          <w:numId w:val="1004"/>
        </w:numPr>
      </w:pPr>
      <w:r>
        <w:t xml:space="preserve">Add UserRL-like training loop in a user simulator + ablations on reward assignment (8–16 person-weeks + sustained compute).</w:t>
      </w:r>
      <w:r>
        <w:t xml:space="preserve"> </w:t>
      </w:r>
      <w:hyperlink r:id="rId31">
        <w:r>
          <w:rPr>
            <w:rStyle w:val="Hyperlink"/>
          </w:rPr>
          <w:t xml:space="preserve">[36]</w:t>
        </w:r>
      </w:hyperlink>
    </w:p>
    <w:p>
      <w:pPr>
        <w:pStyle w:val="FirstParagraph"/>
      </w:pPr>
      <w:r>
        <w:t xml:space="preserve">Success metrics: preference satisfaction, memory usefulness rates, and stability under user drift (measured by time-split evaluation where preferences change).</w:t>
      </w:r>
      <w:r>
        <w:t xml:space="preserve"> </w:t>
      </w:r>
      <w:hyperlink r:id="rId21">
        <w:r>
          <w:rPr>
            <w:rStyle w:val="Hyperlink"/>
          </w:rPr>
          <w:t xml:space="preserve">[105]</w:t>
        </w:r>
      </w:hyperlink>
    </w:p>
    <w:bookmarkEnd w:id="73"/>
    <w:bookmarkStart w:id="74" w:name="Xa21334e09893e8c44f418eb846c765b8b5f8661"/>
    <w:p>
      <w:pPr>
        <w:pStyle w:val="Heading3"/>
      </w:pPr>
      <w:r>
        <w:t xml:space="preserve">Long-horizon interaction and credit assignment: concrete approach</w:t>
      </w:r>
    </w:p>
    <w:p>
      <w:pPr>
        <w:pStyle w:val="FirstParagraph"/>
      </w:pPr>
      <w:r>
        <w:t xml:space="preserve">The most leverage comes from combining an interactive benchmark family with an RL algorithm that supports fine-grained credit assignment.</w:t>
      </w:r>
    </w:p>
    <w:p>
      <w:pPr>
        <w:pStyle w:val="Compact"/>
        <w:numPr>
          <w:ilvl w:val="0"/>
          <w:numId w:val="1005"/>
        </w:numPr>
      </w:pPr>
      <w:r>
        <w:t xml:space="preserve">Adopt an interactive environment with state-based evaluation (AppWorld for API-based apps; WebArena-like web tasks; or both).</w:t>
      </w:r>
      <w:r>
        <w:t xml:space="preserve"> </w:t>
      </w:r>
      <w:hyperlink r:id="rId37">
        <w:r>
          <w:rPr>
            <w:rStyle w:val="Hyperlink"/>
          </w:rPr>
          <w:t xml:space="preserve">[106]</w:t>
        </w:r>
      </w:hyperlink>
    </w:p>
    <w:p>
      <w:pPr>
        <w:pStyle w:val="Compact"/>
        <w:numPr>
          <w:ilvl w:val="0"/>
          <w:numId w:val="1005"/>
        </w:numPr>
      </w:pPr>
      <w:r>
        <w:t xml:space="preserve">Implement RL training in-environment (LOOP-like memory-efficient training or end-to-end multi-turn RL).</w:t>
      </w:r>
      <w:r>
        <w:t xml:space="preserve"> </w:t>
      </w:r>
      <w:hyperlink r:id="rId22">
        <w:r>
          <w:rPr>
            <w:rStyle w:val="Hyperlink"/>
          </w:rPr>
          <w:t xml:space="preserve">[107]</w:t>
        </w:r>
      </w:hyperlink>
    </w:p>
    <w:p>
      <w:pPr>
        <w:pStyle w:val="Compact"/>
        <w:numPr>
          <w:ilvl w:val="0"/>
          <w:numId w:val="1005"/>
        </w:numPr>
      </w:pPr>
      <w:r>
        <w:t xml:space="preserve">Add turn-level credit assignment (or step-level reward models) to reduce attribution blur across long trajectories.</w:t>
      </w:r>
      <w:r>
        <w:t xml:space="preserve"> </w:t>
      </w:r>
      <w:hyperlink r:id="rId36">
        <w:r>
          <w:rPr>
            <w:rStyle w:val="Hyperlink"/>
          </w:rPr>
          <w:t xml:space="preserve">[88]</w:t>
        </w:r>
      </w:hyperlink>
    </w:p>
    <w:p>
      <w:pPr>
        <w:pStyle w:val="FirstParagraph"/>
      </w:pPr>
      <w:r>
        <w:t xml:space="preserve">Milestones:</w:t>
      </w:r>
    </w:p>
    <w:p>
      <w:pPr>
        <w:pStyle w:val="Compact"/>
        <w:numPr>
          <w:ilvl w:val="0"/>
          <w:numId w:val="1006"/>
        </w:numPr>
      </w:pPr>
      <w:r>
        <w:t xml:space="preserve">Reproduce baseline prompted agent + workflow verification (4–8 person-weeks).</w:t>
      </w:r>
      <w:r>
        <w:t xml:space="preserve"> </w:t>
      </w:r>
      <w:hyperlink r:id="rId21">
        <w:r>
          <w:rPr>
            <w:rStyle w:val="Hyperlink"/>
          </w:rPr>
          <w:t xml:space="preserve">[108]</w:t>
        </w:r>
      </w:hyperlink>
    </w:p>
    <w:p>
      <w:pPr>
        <w:pStyle w:val="Compact"/>
        <w:numPr>
          <w:ilvl w:val="0"/>
          <w:numId w:val="1006"/>
        </w:numPr>
      </w:pPr>
      <w:r>
        <w:t xml:space="preserve">Integrate RL training infrastructure with logging, replay, and safety sandbox (8–12 person-weeks).</w:t>
      </w:r>
      <w:r>
        <w:t xml:space="preserve"> </w:t>
      </w:r>
      <w:hyperlink r:id="rId22">
        <w:r>
          <w:rPr>
            <w:rStyle w:val="Hyperlink"/>
          </w:rPr>
          <w:t xml:space="preserve">[83]</w:t>
        </w:r>
      </w:hyperlink>
    </w:p>
    <w:p>
      <w:pPr>
        <w:pStyle w:val="Compact"/>
        <w:numPr>
          <w:ilvl w:val="0"/>
          <w:numId w:val="1006"/>
        </w:numPr>
      </w:pPr>
      <w:r>
        <w:t xml:space="preserve">Add turn-level credit assignment + policy/value diagnostics (6–10 person-weeks).</w:t>
      </w:r>
      <w:r>
        <w:t xml:space="preserve"> </w:t>
      </w:r>
      <w:hyperlink r:id="rId36">
        <w:r>
          <w:rPr>
            <w:rStyle w:val="Hyperlink"/>
          </w:rPr>
          <w:t xml:space="preserve">[33]</w:t>
        </w:r>
      </w:hyperlink>
    </w:p>
    <w:p>
      <w:pPr>
        <w:pStyle w:val="FirstParagraph"/>
      </w:pPr>
      <w:r>
        <w:t xml:space="preserve">Success metrics: success rate vs baseline at fixed budget; reduced irreversible errors; improved tool-call validity; and learning curves that generalise across task subsets.</w:t>
      </w:r>
      <w:r>
        <w:t xml:space="preserve"> </w:t>
      </w:r>
      <w:hyperlink r:id="rId22">
        <w:r>
          <w:rPr>
            <w:rStyle w:val="Hyperlink"/>
          </w:rPr>
          <w:t xml:space="preserve">[109]</w:t>
        </w:r>
      </w:hyperlink>
    </w:p>
    <w:bookmarkEnd w:id="74"/>
    <w:bookmarkStart w:id="75" w:name="world-models-concrete-approach"/>
    <w:p>
      <w:pPr>
        <w:pStyle w:val="Heading3"/>
      </w:pPr>
      <w:r>
        <w:t xml:space="preserve">World models: concrete approach</w:t>
      </w:r>
    </w:p>
    <w:p>
      <w:pPr>
        <w:pStyle w:val="FirstParagraph"/>
      </w:pPr>
      <w:r>
        <w:t xml:space="preserve">A concrete, testable plan is to build</w:t>
      </w:r>
      <w:r>
        <w:t xml:space="preserve"> </w:t>
      </w:r>
      <w:r>
        <w:rPr>
          <w:b/>
          <w:bCs/>
        </w:rPr>
        <w:t xml:space="preserve">action-conditioned prediction models</w:t>
      </w:r>
      <w:r>
        <w:t xml:space="preserve"> </w:t>
      </w:r>
      <w:r>
        <w:t xml:space="preserve">for a small set of environments and evaluate them along two axes: predictive quality and downstream planning benefit.</w:t>
      </w:r>
    </w:p>
    <w:p>
      <w:pPr>
        <w:pStyle w:val="Compact"/>
        <w:numPr>
          <w:ilvl w:val="0"/>
          <w:numId w:val="1007"/>
        </w:numPr>
      </w:pPr>
      <w:r>
        <w:t xml:space="preserve">Start with environments with well-defined transition logging (web navigation or app APIs).</w:t>
      </w:r>
      <w:r>
        <w:t xml:space="preserve"> </w:t>
      </w:r>
      <w:hyperlink r:id="rId39">
        <w:r>
          <w:rPr>
            <w:rStyle w:val="Hyperlink"/>
          </w:rPr>
          <w:t xml:space="preserve">[110]</w:t>
        </w:r>
      </w:hyperlink>
    </w:p>
    <w:p>
      <w:pPr>
        <w:pStyle w:val="Compact"/>
        <w:numPr>
          <w:ilvl w:val="0"/>
          <w:numId w:val="1007"/>
        </w:numPr>
      </w:pPr>
      <w:r>
        <w:t xml:space="preserve">Implement an</w:t>
      </w:r>
      <w:r>
        <w:t xml:space="preserve"> </w:t>
      </w:r>
      <w:r>
        <w:rPr>
          <w:b/>
          <w:bCs/>
        </w:rPr>
        <w:t xml:space="preserve">observation abstraction</w:t>
      </w:r>
      <w:r>
        <w:t xml:space="preserve"> </w:t>
      </w:r>
      <w:r>
        <w:t xml:space="preserve">(predict deltas / important state changes) to reduce input length and focus learning, consistent with web world-model work.</w:t>
      </w:r>
      <w:r>
        <w:t xml:space="preserve"> </w:t>
      </w:r>
      <w:hyperlink r:id="rId39">
        <w:r>
          <w:rPr>
            <w:rStyle w:val="Hyperlink"/>
          </w:rPr>
          <w:t xml:space="preserve">[111]</w:t>
        </w:r>
      </w:hyperlink>
    </w:p>
    <w:p>
      <w:pPr>
        <w:pStyle w:val="Compact"/>
        <w:numPr>
          <w:ilvl w:val="0"/>
          <w:numId w:val="1007"/>
        </w:numPr>
      </w:pPr>
      <w:r>
        <w:t xml:space="preserve">Compare</w:t>
      </w:r>
      <w:r>
        <w:t xml:space="preserve"> </w:t>
      </w:r>
      <w:r>
        <w:rPr>
          <w:b/>
          <w:bCs/>
        </w:rPr>
        <w:t xml:space="preserve">code world models</w:t>
      </w:r>
      <w:r>
        <w:t xml:space="preserve"> </w:t>
      </w:r>
      <w:r>
        <w:t xml:space="preserve">vs</w:t>
      </w:r>
      <w:r>
        <w:t xml:space="preserve"> </w:t>
      </w:r>
      <w:r>
        <w:rPr>
          <w:b/>
          <w:bCs/>
        </w:rPr>
        <w:t xml:space="preserve">latent/neural world models</w:t>
      </w:r>
      <w:r>
        <w:t xml:space="preserve"> </w:t>
      </w:r>
      <w:r>
        <w:t xml:space="preserve">for calibration and auditability, using WorldCoder-like programmatic representations.</w:t>
      </w:r>
      <w:r>
        <w:t xml:space="preserve"> </w:t>
      </w:r>
      <w:hyperlink r:id="rId42">
        <w:r>
          <w:rPr>
            <w:rStyle w:val="Hyperlink"/>
          </w:rPr>
          <w:t xml:space="preserve">[112]</w:t>
        </w:r>
      </w:hyperlink>
    </w:p>
    <w:p>
      <w:pPr>
        <w:pStyle w:val="Compact"/>
        <w:numPr>
          <w:ilvl w:val="0"/>
          <w:numId w:val="1007"/>
        </w:numPr>
      </w:pPr>
      <w:r>
        <w:t xml:space="preserve">Evaluate co-evolutionary approaches (world model generating imagined trajectories for training), inspired by WebEvolver.</w:t>
      </w:r>
      <w:r>
        <w:t xml:space="preserve"> </w:t>
      </w:r>
      <w:hyperlink r:id="rId43">
        <w:r>
          <w:rPr>
            <w:rStyle w:val="Hyperlink"/>
          </w:rPr>
          <w:t xml:space="preserve">[113]</w:t>
        </w:r>
      </w:hyperlink>
    </w:p>
    <w:p>
      <w:pPr>
        <w:pStyle w:val="FirstParagraph"/>
      </w:pPr>
      <w:r>
        <w:t xml:space="preserve">Milestones:</w:t>
      </w:r>
    </w:p>
    <w:p>
      <w:pPr>
        <w:pStyle w:val="Compact"/>
        <w:numPr>
          <w:ilvl w:val="0"/>
          <w:numId w:val="1008"/>
        </w:numPr>
      </w:pPr>
      <w:r>
        <w:t xml:space="preserve">Data pipeline and transition dataset for chosen environment(s) (4–8 person-weeks).</w:t>
      </w:r>
      <w:r>
        <w:t xml:space="preserve"> </w:t>
      </w:r>
      <w:hyperlink r:id="rId21">
        <w:r>
          <w:rPr>
            <w:rStyle w:val="Hyperlink"/>
          </w:rPr>
          <w:t xml:space="preserve">[48]</w:t>
        </w:r>
      </w:hyperlink>
    </w:p>
    <w:p>
      <w:pPr>
        <w:pStyle w:val="Compact"/>
        <w:numPr>
          <w:ilvl w:val="0"/>
          <w:numId w:val="1008"/>
        </w:numPr>
      </w:pPr>
      <w:r>
        <w:t xml:space="preserve">Train baseline world model + calibration evaluation (8–12 person-weeks + compute).</w:t>
      </w:r>
      <w:r>
        <w:t xml:space="preserve"> </w:t>
      </w:r>
      <w:hyperlink r:id="rId39">
        <w:r>
          <w:rPr>
            <w:rStyle w:val="Hyperlink"/>
          </w:rPr>
          <w:t xml:space="preserve">[114]</w:t>
        </w:r>
      </w:hyperlink>
    </w:p>
    <w:p>
      <w:pPr>
        <w:pStyle w:val="Compact"/>
        <w:numPr>
          <w:ilvl w:val="0"/>
          <w:numId w:val="1008"/>
        </w:numPr>
      </w:pPr>
      <w:r>
        <w:t xml:space="preserve">Integrate lookahead into planning policy and quantify causal downstream benefit via controlled ablations (8–16 person-weeks).</w:t>
      </w:r>
      <w:r>
        <w:t xml:space="preserve"> </w:t>
      </w:r>
      <w:hyperlink r:id="rId21">
        <w:r>
          <w:rPr>
            <w:rStyle w:val="Hyperlink"/>
          </w:rPr>
          <w:t xml:space="preserve">[115]</w:t>
        </w:r>
      </w:hyperlink>
    </w:p>
    <w:p>
      <w:pPr>
        <w:pStyle w:val="FirstParagraph"/>
      </w:pPr>
      <w:r>
        <w:t xml:space="preserve">Success metrics: improvement in long-horizon success at fixed interaction count; calibrated prediction uncertainty; reduced irreversible mistake rate.</w:t>
      </w:r>
      <w:r>
        <w:t xml:space="preserve"> </w:t>
      </w:r>
      <w:hyperlink r:id="rId39">
        <w:r>
          <w:rPr>
            <w:rStyle w:val="Hyperlink"/>
          </w:rPr>
          <w:t xml:space="preserve">[111]</w:t>
        </w:r>
      </w:hyperlink>
    </w:p>
    <w:bookmarkEnd w:id="75"/>
    <w:bookmarkStart w:id="76" w:name="Xf50b26a0d37c613606b4e0da524090ff2fc7e3c"/>
    <w:p>
      <w:pPr>
        <w:pStyle w:val="Heading3"/>
      </w:pPr>
      <w:r>
        <w:t xml:space="preserve">Scalable multi-agent training: concrete approach</w:t>
      </w:r>
    </w:p>
    <w:p>
      <w:pPr>
        <w:pStyle w:val="FirstParagraph"/>
      </w:pPr>
      <w:r>
        <w:t xml:space="preserve">A concrete approach is to pair a multi-agent orchestration framework with a trainable collaboration objective and topology optimisation.</w:t>
      </w:r>
    </w:p>
    <w:p>
      <w:pPr>
        <w:pStyle w:val="Compact"/>
        <w:numPr>
          <w:ilvl w:val="0"/>
          <w:numId w:val="1009"/>
        </w:numPr>
      </w:pPr>
      <w:r>
        <w:t xml:space="preserve">Use a production-grade orchestration baseline (AutoGen-like conversation patterns) to define roles/tools, then systematically ablate roles and message topologies.</w:t>
      </w:r>
      <w:r>
        <w:t xml:space="preserve"> </w:t>
      </w:r>
      <w:hyperlink r:id="rId46">
        <w:r>
          <w:rPr>
            <w:rStyle w:val="Hyperlink"/>
          </w:rPr>
          <w:t xml:space="preserve">[116]</w:t>
        </w:r>
      </w:hyperlink>
    </w:p>
    <w:p>
      <w:pPr>
        <w:pStyle w:val="Compact"/>
        <w:numPr>
          <w:ilvl w:val="0"/>
          <w:numId w:val="1009"/>
        </w:numPr>
      </w:pPr>
      <w:r>
        <w:t xml:space="preserve">Implement collaboration post-training with RL (MAPoRL-like verifier-driven rewards).</w:t>
      </w:r>
      <w:r>
        <w:t xml:space="preserve"> </w:t>
      </w:r>
      <w:hyperlink r:id="rId47">
        <w:r>
          <w:rPr>
            <w:rStyle w:val="Hyperlink"/>
          </w:rPr>
          <w:t xml:space="preserve">[117]</w:t>
        </w:r>
      </w:hyperlink>
    </w:p>
    <w:p>
      <w:pPr>
        <w:pStyle w:val="Compact"/>
        <w:numPr>
          <w:ilvl w:val="0"/>
          <w:numId w:val="1009"/>
        </w:numPr>
      </w:pPr>
      <w:r>
        <w:t xml:space="preserve">Add topology adaptation (adaptive graph pruning) to reduce coordination overhead and improve scalability.</w:t>
      </w:r>
      <w:r>
        <w:t xml:space="preserve"> </w:t>
      </w:r>
      <w:hyperlink r:id="rId48">
        <w:r>
          <w:rPr>
            <w:rStyle w:val="Hyperlink"/>
          </w:rPr>
          <w:t xml:space="preserve">[118]</w:t>
        </w:r>
      </w:hyperlink>
    </w:p>
    <w:p>
      <w:pPr>
        <w:pStyle w:val="Compact"/>
        <w:numPr>
          <w:ilvl w:val="0"/>
          <w:numId w:val="1009"/>
        </w:numPr>
      </w:pPr>
      <w:r>
        <w:t xml:space="preserve">Introduce memory co-evolution experiments: per-agent memory templates vs shared memory, and (if feasible) RL-driven memory management.</w:t>
      </w:r>
      <w:r>
        <w:t xml:space="preserve"> </w:t>
      </w:r>
      <w:hyperlink r:id="rId21">
        <w:r>
          <w:rPr>
            <w:rStyle w:val="Hyperlink"/>
          </w:rPr>
          <w:t xml:space="preserve">[16]</w:t>
        </w:r>
      </w:hyperlink>
    </w:p>
    <w:p>
      <w:pPr>
        <w:pStyle w:val="FirstParagraph"/>
      </w:pPr>
      <w:r>
        <w:t xml:space="preserve">Milestones:</w:t>
      </w:r>
    </w:p>
    <w:p>
      <w:pPr>
        <w:pStyle w:val="Compact"/>
        <w:numPr>
          <w:ilvl w:val="0"/>
          <w:numId w:val="1010"/>
        </w:numPr>
      </w:pPr>
      <w:r>
        <w:t xml:space="preserve">Multi-agent baseline with deterministic evaluation harness (4–8 person-weeks).</w:t>
      </w:r>
      <w:r>
        <w:t xml:space="preserve"> </w:t>
      </w:r>
      <w:hyperlink r:id="rId46">
        <w:r>
          <w:rPr>
            <w:rStyle w:val="Hyperlink"/>
          </w:rPr>
          <w:t xml:space="preserve">[119]</w:t>
        </w:r>
      </w:hyperlink>
    </w:p>
    <w:p>
      <w:pPr>
        <w:pStyle w:val="Compact"/>
        <w:numPr>
          <w:ilvl w:val="0"/>
          <w:numId w:val="1010"/>
        </w:numPr>
      </w:pPr>
      <w:r>
        <w:t xml:space="preserve">Collaboration RL training loop + stable reward design (10–20 person-weeks + compute).</w:t>
      </w:r>
      <w:r>
        <w:t xml:space="preserve"> </w:t>
      </w:r>
      <w:hyperlink r:id="rId47">
        <w:r>
          <w:rPr>
            <w:rStyle w:val="Hyperlink"/>
          </w:rPr>
          <w:t xml:space="preserve">[120]</w:t>
        </w:r>
      </w:hyperlink>
    </w:p>
    <w:p>
      <w:pPr>
        <w:pStyle w:val="Compact"/>
        <w:numPr>
          <w:ilvl w:val="0"/>
          <w:numId w:val="1010"/>
        </w:numPr>
      </w:pPr>
      <w:r>
        <w:t xml:space="preserve">Topology adaptation + robustness tests (6–12 person-weeks).</w:t>
      </w:r>
      <w:r>
        <w:t xml:space="preserve"> </w:t>
      </w:r>
      <w:hyperlink r:id="rId48">
        <w:r>
          <w:rPr>
            <w:rStyle w:val="Hyperlink"/>
          </w:rPr>
          <w:t xml:space="preserve">[52]</w:t>
        </w:r>
      </w:hyperlink>
    </w:p>
    <w:p>
      <w:pPr>
        <w:pStyle w:val="FirstParagraph"/>
      </w:pPr>
      <w:r>
        <w:t xml:space="preserve">Success metrics: performance uplift vs single agent; success per token/tool call; robustness under partial observability and adversarial messages; stability across seeds.</w:t>
      </w:r>
      <w:r>
        <w:t xml:space="preserve"> </w:t>
      </w:r>
      <w:hyperlink r:id="rId21">
        <w:r>
          <w:rPr>
            <w:rStyle w:val="Hyperlink"/>
          </w:rPr>
          <w:t xml:space="preserve">[121]</w:t>
        </w:r>
      </w:hyperlink>
    </w:p>
    <w:bookmarkEnd w:id="76"/>
    <w:bookmarkStart w:id="77" w:name="governance-concrete-approach"/>
    <w:p>
      <w:pPr>
        <w:pStyle w:val="Heading3"/>
      </w:pPr>
      <w:r>
        <w:t xml:space="preserve">Governance: concrete approach</w:t>
      </w:r>
    </w:p>
    <w:p>
      <w:pPr>
        <w:pStyle w:val="FirstParagraph"/>
      </w:pPr>
      <w:r>
        <w:t xml:space="preserve">Treat governance as a continuously evaluated set of controls, aligned with risk management and legal obligations, and measured using agent-specific security and safety benchmarks.</w:t>
      </w:r>
    </w:p>
    <w:p>
      <w:pPr>
        <w:pStyle w:val="Compact"/>
        <w:numPr>
          <w:ilvl w:val="0"/>
          <w:numId w:val="1011"/>
        </w:numPr>
      </w:pPr>
      <w:r>
        <w:t xml:space="preserve">Threat model tool-using agents, including indirect prompt injection; include explicit evaluation harnesses (INJECAGENT-like tests and tool-selection injection attacks).</w:t>
      </w:r>
      <w:r>
        <w:t xml:space="preserve"> </w:t>
      </w:r>
      <w:hyperlink r:id="rId27">
        <w:r>
          <w:rPr>
            <w:rStyle w:val="Hyperlink"/>
          </w:rPr>
          <w:t xml:space="preserve">[70]</w:t>
        </w:r>
      </w:hyperlink>
    </w:p>
    <w:p>
      <w:pPr>
        <w:pStyle w:val="Compact"/>
        <w:numPr>
          <w:ilvl w:val="0"/>
          <w:numId w:val="1011"/>
        </w:numPr>
      </w:pPr>
      <w:r>
        <w:t xml:space="preserve">Integrate a “governance layer” that enforces: tool permissioning, execution sandboxing, data minimisation, logging, and incident response playbooks.</w:t>
      </w:r>
      <w:r>
        <w:t xml:space="preserve"> </w:t>
      </w:r>
      <w:hyperlink r:id="rId21">
        <w:r>
          <w:rPr>
            <w:rStyle w:val="Hyperlink"/>
          </w:rPr>
          <w:t xml:space="preserve">[122]</w:t>
        </w:r>
      </w:hyperlink>
    </w:p>
    <w:p>
      <w:pPr>
        <w:pStyle w:val="Compact"/>
        <w:numPr>
          <w:ilvl w:val="0"/>
          <w:numId w:val="1011"/>
        </w:numPr>
      </w:pPr>
      <w:r>
        <w:t xml:space="preserve">Expand evaluation beyond short-horizon outcomes to planning-time failure discovery and multi-agent dynamics (explicitly called underexplored by the survey).</w:t>
      </w:r>
      <w:r>
        <w:t xml:space="preserve"> </w:t>
      </w:r>
      <w:hyperlink r:id="rId21">
        <w:r>
          <w:rPr>
            <w:rStyle w:val="Hyperlink"/>
          </w:rPr>
          <w:t xml:space="preserve">[9]</w:t>
        </w:r>
      </w:hyperlink>
    </w:p>
    <w:p>
      <w:pPr>
        <w:pStyle w:val="FirstParagraph"/>
      </w:pPr>
      <w:r>
        <w:t xml:space="preserve">Milestones:</w:t>
      </w:r>
    </w:p>
    <w:p>
      <w:pPr>
        <w:pStyle w:val="Compact"/>
        <w:numPr>
          <w:ilvl w:val="0"/>
          <w:numId w:val="1012"/>
        </w:numPr>
      </w:pPr>
      <w:r>
        <w:t xml:space="preserve">Establish risk register + control mapping; implement logging and audit trails (4–6 person-weeks).</w:t>
      </w:r>
      <w:r>
        <w:t xml:space="preserve"> </w:t>
      </w:r>
      <w:hyperlink r:id="rId33">
        <w:r>
          <w:rPr>
            <w:rStyle w:val="Hyperlink"/>
          </w:rPr>
          <w:t xml:space="preserve">[123]</w:t>
        </w:r>
      </w:hyperlink>
    </w:p>
    <w:p>
      <w:pPr>
        <w:pStyle w:val="Compact"/>
        <w:numPr>
          <w:ilvl w:val="0"/>
          <w:numId w:val="1012"/>
        </w:numPr>
      </w:pPr>
      <w:r>
        <w:t xml:space="preserve">Build prompt-injection test suite for core tools + continuous red-team pipeline (6–12 person-weeks).</w:t>
      </w:r>
      <w:r>
        <w:t xml:space="preserve"> </w:t>
      </w:r>
      <w:hyperlink r:id="rId27">
        <w:r>
          <w:rPr>
            <w:rStyle w:val="Hyperlink"/>
          </w:rPr>
          <w:t xml:space="preserve">[70]</w:t>
        </w:r>
      </w:hyperlink>
    </w:p>
    <w:p>
      <w:pPr>
        <w:pStyle w:val="Compact"/>
        <w:numPr>
          <w:ilvl w:val="0"/>
          <w:numId w:val="1012"/>
        </w:numPr>
      </w:pPr>
      <w:r>
        <w:t xml:space="preserve">Governance benchmark expansion to long-horizon and MAS dynamics (8–16 person-weeks).</w:t>
      </w:r>
      <w:r>
        <w:t xml:space="preserve"> </w:t>
      </w:r>
      <w:hyperlink r:id="rId21">
        <w:r>
          <w:rPr>
            <w:rStyle w:val="Hyperlink"/>
          </w:rPr>
          <w:t xml:space="preserve">[9]</w:t>
        </w:r>
      </w:hyperlink>
    </w:p>
    <w:p>
      <w:pPr>
        <w:pStyle w:val="FirstParagraph"/>
      </w:pPr>
      <w:r>
        <w:t xml:space="preserve">Success metrics: exploit success rate under injection tests, containment success (damage prevented), auditability (time-to-root-cause), and compliance readiness indicators.</w:t>
      </w:r>
      <w:r>
        <w:t xml:space="preserve"> </w:t>
      </w:r>
      <w:hyperlink r:id="rId27">
        <w:r>
          <w:rPr>
            <w:rStyle w:val="Hyperlink"/>
          </w:rPr>
          <w:t xml:space="preserve">[124]</w:t>
        </w:r>
      </w:hyperlink>
    </w:p>
    <w:bookmarkEnd w:id="77"/>
    <w:bookmarkEnd w:id="78"/>
    <w:bookmarkStart w:id="82" w:name="X1684dd5a503ae580a3e9c68de6186de2fa5f704"/>
    <w:p>
      <w:pPr>
        <w:pStyle w:val="Heading2"/>
      </w:pPr>
      <w:r>
        <w:t xml:space="preserve">Prioritised roadmap and decision criteria</w:t>
      </w:r>
    </w:p>
    <w:bookmarkStart w:id="79" w:name="roadmap"/>
    <w:p>
      <w:pPr>
        <w:pStyle w:val="Heading3"/>
      </w:pPr>
      <w:r>
        <w:t xml:space="preserve">Roadmap</w:t>
      </w:r>
    </w:p>
    <w:p>
      <w:pPr>
        <w:pStyle w:val="FirstParagraph"/>
      </w:pPr>
      <w:r>
        <w:t xml:space="preserve">The roadmap below assumes</w:t>
      </w:r>
      <w:r>
        <w:t xml:space="preserve"> </w:t>
      </w:r>
      <w:r>
        <w:rPr>
          <w:i/>
          <w:iCs/>
        </w:rPr>
        <w:t xml:space="preserve">no specific constraint</w:t>
      </w:r>
      <w:r>
        <w:t xml:space="preserve"> </w:t>
      </w:r>
      <w:r>
        <w:t xml:space="preserve">on team size and compute, but notes sensitivity to resource tiers afterwards.</w:t>
      </w:r>
    </w:p>
    <w:p>
      <w:pPr>
        <w:pStyle w:val="SourceCode"/>
      </w:pPr>
      <w:r>
        <w:rPr>
          <w:rStyle w:val="VerbatimChar"/>
        </w:rPr>
        <w:t xml:space="preserve">gantt</w:t>
      </w:r>
      <w:r>
        <w:br/>
      </w:r>
      <w:r>
        <w:rPr>
          <w:rStyle w:val="VerbatimChar"/>
        </w:rPr>
        <w:t xml:space="preserve">dateFormat  YYYY-MM-DD</w:t>
      </w:r>
      <w:r>
        <w:br/>
      </w:r>
      <w:r>
        <w:rPr>
          <w:rStyle w:val="VerbatimChar"/>
        </w:rPr>
        <w:t xml:space="preserve">title Agentic reasoning R&amp;D roadmap (illustrative)</w:t>
      </w:r>
      <w:r>
        <w:br/>
      </w:r>
      <w:r>
        <w:rPr>
          <w:rStyle w:val="VerbatimChar"/>
        </w:rPr>
        <w:t xml:space="preserve">section Foundation</w:t>
      </w:r>
      <w:r>
        <w:br/>
      </w:r>
      <w:r>
        <w:rPr>
          <w:rStyle w:val="VerbatimChar"/>
        </w:rPr>
        <w:t xml:space="preserve">Unified evaluation harness &amp; logging    :a1, 2026-03-01, 60d</w:t>
      </w:r>
      <w:r>
        <w:br/>
      </w:r>
      <w:r>
        <w:rPr>
          <w:rStyle w:val="VerbatimChar"/>
        </w:rPr>
        <w:t xml:space="preserve">Tool sandbox + permission model         :a2, 2026-03-15, 90d</w:t>
      </w:r>
      <w:r>
        <w:br/>
      </w:r>
      <w:r>
        <w:rPr>
          <w:rStyle w:val="VerbatimChar"/>
        </w:rPr>
        <w:t xml:space="preserve">section Long-horizon competence</w:t>
      </w:r>
      <w:r>
        <w:br/>
      </w:r>
      <w:r>
        <w:rPr>
          <w:rStyle w:val="VerbatimChar"/>
        </w:rPr>
        <w:t xml:space="preserve">Baseline RL in AppWorld/Web tasks       :b1, after a1, 120d</w:t>
      </w:r>
      <w:r>
        <w:br/>
      </w:r>
      <w:r>
        <w:rPr>
          <w:rStyle w:val="VerbatimChar"/>
        </w:rPr>
        <w:t xml:space="preserve">Turn-level credit assignment ablations  :b2, after b1, 90d</w:t>
      </w:r>
      <w:r>
        <w:br/>
      </w:r>
      <w:r>
        <w:rPr>
          <w:rStyle w:val="VerbatimChar"/>
        </w:rPr>
        <w:t xml:space="preserve">section Personalisation</w:t>
      </w:r>
      <w:r>
        <w:br/>
      </w:r>
      <w:r>
        <w:rPr>
          <w:rStyle w:val="VerbatimChar"/>
        </w:rPr>
        <w:t xml:space="preserve">Persistent memory + user profiles       :c1, after a1, 90d</w:t>
      </w:r>
      <w:r>
        <w:br/>
      </w:r>
      <w:r>
        <w:rPr>
          <w:rStyle w:val="VerbatimChar"/>
        </w:rPr>
        <w:t xml:space="preserve">User-centric RL training (sim users)    :c2, after c1, 120d</w:t>
      </w:r>
      <w:r>
        <w:br/>
      </w:r>
      <w:r>
        <w:rPr>
          <w:rStyle w:val="VerbatimChar"/>
        </w:rPr>
        <w:t xml:space="preserve">section World models</w:t>
      </w:r>
      <w:r>
        <w:br/>
      </w:r>
      <w:r>
        <w:rPr>
          <w:rStyle w:val="VerbatimChar"/>
        </w:rPr>
        <w:t xml:space="preserve">World model data pipeline + abstraction :d1, after a1, 90d</w:t>
      </w:r>
      <w:r>
        <w:br/>
      </w:r>
      <w:r>
        <w:rPr>
          <w:rStyle w:val="VerbatimChar"/>
        </w:rPr>
        <w:t xml:space="preserve">Integrate lookahead &amp; causal eval       :d2, after d1, 150d</w:t>
      </w:r>
      <w:r>
        <w:br/>
      </w:r>
      <w:r>
        <w:rPr>
          <w:rStyle w:val="VerbatimChar"/>
        </w:rPr>
        <w:t xml:space="preserve">section Multi-agent scaling</w:t>
      </w:r>
      <w:r>
        <w:br/>
      </w:r>
      <w:r>
        <w:rPr>
          <w:rStyle w:val="VerbatimChar"/>
        </w:rPr>
        <w:t xml:space="preserve">MAS baseline + topology adaptation      :e1, after a1, 120d</w:t>
      </w:r>
      <w:r>
        <w:br/>
      </w:r>
      <w:r>
        <w:rPr>
          <w:rStyle w:val="VerbatimChar"/>
        </w:rPr>
        <w:t xml:space="preserve">Multi-agent post-training (RL)          :e2, after e1, 180d</w:t>
      </w:r>
      <w:r>
        <w:br/>
      </w:r>
      <w:r>
        <w:rPr>
          <w:rStyle w:val="VerbatimChar"/>
        </w:rPr>
        <w:t xml:space="preserve">section Governance maturity</w:t>
      </w:r>
      <w:r>
        <w:br/>
      </w:r>
      <w:r>
        <w:rPr>
          <w:rStyle w:val="VerbatimChar"/>
        </w:rPr>
        <w:t xml:space="preserve">Prompt injection benchmark + red-team   :f1, after a2, 180d</w:t>
      </w:r>
      <w:r>
        <w:br/>
      </w:r>
      <w:r>
        <w:rPr>
          <w:rStyle w:val="VerbatimChar"/>
        </w:rPr>
        <w:t xml:space="preserve">Planning-time failure governance tests  :f2, after f1, 180d</w:t>
      </w:r>
    </w:p>
    <w:p>
      <w:pPr>
        <w:pStyle w:val="FirstParagraph"/>
      </w:pPr>
      <w:r>
        <w:t xml:space="preserve">This ordering reflects that reliable evaluation + safe execution infrastructure tends to unblock the rest (it reduces iteration cost and reduces the chance that improvements are illusory).</w:t>
      </w:r>
      <w:r>
        <w:t xml:space="preserve"> </w:t>
      </w:r>
      <w:hyperlink r:id="rId21">
        <w:r>
          <w:rPr>
            <w:rStyle w:val="Hyperlink"/>
          </w:rPr>
          <w:t xml:space="preserve">[125]</w:t>
        </w:r>
      </w:hyperlink>
    </w:p>
    <w:bookmarkEnd w:id="79"/>
    <w:bookmarkStart w:id="80" w:name="decision-criteria"/>
    <w:p>
      <w:pPr>
        <w:pStyle w:val="Heading3"/>
      </w:pPr>
      <w:r>
        <w:t xml:space="preserve">Decision criteria</w:t>
      </w:r>
    </w:p>
    <w:p>
      <w:pPr>
        <w:pStyle w:val="FirstParagraph"/>
      </w:pPr>
      <w:r>
        <w:t xml:space="preserve">Use “go/no-go” criteria that map directly to the survey’s limitations:</w:t>
      </w:r>
    </w:p>
    <w:p>
      <w:pPr>
        <w:pStyle w:val="Compact"/>
        <w:numPr>
          <w:ilvl w:val="0"/>
          <w:numId w:val="1013"/>
        </w:numPr>
      </w:pPr>
      <w:r>
        <w:rPr>
          <w:b/>
          <w:bCs/>
        </w:rPr>
        <w:t xml:space="preserve">Generalisation threshold</w:t>
      </w:r>
      <w:r>
        <w:t xml:space="preserve">: improvements must transfer to at least one held-out task set or environment variant; otherwise treat as environment-specific progress (the survey repeatedly flags environment specificity as a limitation).</w:t>
      </w:r>
      <w:r>
        <w:t xml:space="preserve"> </w:t>
      </w:r>
      <w:hyperlink r:id="rId21">
        <w:r>
          <w:rPr>
            <w:rStyle w:val="Hyperlink"/>
          </w:rPr>
          <w:t xml:space="preserve">[126]</w:t>
        </w:r>
      </w:hyperlink>
    </w:p>
    <w:p>
      <w:pPr>
        <w:pStyle w:val="Compact"/>
        <w:numPr>
          <w:ilvl w:val="0"/>
          <w:numId w:val="1013"/>
        </w:numPr>
      </w:pPr>
      <w:r>
        <w:rPr>
          <w:b/>
          <w:bCs/>
        </w:rPr>
        <w:t xml:space="preserve">Cost ceiling</w:t>
      </w:r>
      <w:r>
        <w:t xml:space="preserve">: require measurable gains at a bounded inference budget (tool calls, tokens, wall-clock), because many approaches (search, multi-agent, world-model simulation) can succeed by brute-force compute.</w:t>
      </w:r>
      <w:r>
        <w:t xml:space="preserve"> </w:t>
      </w:r>
      <w:hyperlink r:id="rId21">
        <w:r>
          <w:rPr>
            <w:rStyle w:val="Hyperlink"/>
          </w:rPr>
          <w:t xml:space="preserve">[127]</w:t>
        </w:r>
      </w:hyperlink>
    </w:p>
    <w:p>
      <w:pPr>
        <w:pStyle w:val="Compact"/>
        <w:numPr>
          <w:ilvl w:val="0"/>
          <w:numId w:val="1013"/>
        </w:numPr>
      </w:pPr>
      <w:r>
        <w:rPr>
          <w:b/>
          <w:bCs/>
        </w:rPr>
        <w:t xml:space="preserve">Safety bar</w:t>
      </w:r>
      <w:r>
        <w:t xml:space="preserve">: any capability gain must not increase exploit success under injection tests or increase irreversible mistake rates; governance is treated as a first-class metric, not a post-hoc patch.</w:t>
      </w:r>
      <w:r>
        <w:t xml:space="preserve"> </w:t>
      </w:r>
      <w:hyperlink r:id="rId21">
        <w:r>
          <w:rPr>
            <w:rStyle w:val="Hyperlink"/>
          </w:rPr>
          <w:t xml:space="preserve">[128]</w:t>
        </w:r>
      </w:hyperlink>
    </w:p>
    <w:p>
      <w:pPr>
        <w:pStyle w:val="Compact"/>
        <w:numPr>
          <w:ilvl w:val="0"/>
          <w:numId w:val="1013"/>
        </w:numPr>
      </w:pPr>
      <w:r>
        <w:rPr>
          <w:b/>
          <w:bCs/>
        </w:rPr>
        <w:t xml:space="preserve">Attribution/auditability</w:t>
      </w:r>
      <w:r>
        <w:t xml:space="preserve">: require that failures can be diagnosed within a bounded time, using logged traces, memory diffs, and (if applicable) world-model explanations; this directly targets the survey’s “attribution and auditing difficult” concern.</w:t>
      </w:r>
      <w:r>
        <w:t xml:space="preserve"> </w:t>
      </w:r>
      <w:hyperlink r:id="rId21">
        <w:r>
          <w:rPr>
            <w:rStyle w:val="Hyperlink"/>
          </w:rPr>
          <w:t xml:space="preserve">[129]</w:t>
        </w:r>
      </w:hyperlink>
    </w:p>
    <w:bookmarkEnd w:id="80"/>
    <w:bookmarkStart w:id="81" w:name="resource-tier-sensitivity"/>
    <w:p>
      <w:pPr>
        <w:pStyle w:val="Heading3"/>
      </w:pPr>
      <w:r>
        <w:t xml:space="preserve">Resource-tier sensitivity</w:t>
      </w:r>
    </w:p>
    <w:p>
      <w:pPr>
        <w:pStyle w:val="FirstParagraph"/>
      </w:pPr>
      <w:r>
        <w:t xml:space="preserve">Because the user specified “no specific constraint”, feasibility is described across tiers:</w:t>
      </w:r>
    </w:p>
    <w:p>
      <w:pPr>
        <w:pStyle w:val="Compact"/>
        <w:numPr>
          <w:ilvl w:val="0"/>
          <w:numId w:val="1014"/>
        </w:numPr>
      </w:pPr>
      <w:r>
        <w:rPr>
          <w:b/>
          <w:bCs/>
        </w:rPr>
        <w:t xml:space="preserve">Small team / modest compute</w:t>
      </w:r>
      <w:r>
        <w:t xml:space="preserve">: prioritise in-context workflow stabilisation, memory engineering, and benchmark-driven iteration; avoid heavy RL or wide world-model training unless environments are cheap and deterministic. This aligns with the survey’s note that in-context methods can be effective but are bounded by context and still need stabilising verification/memory.</w:t>
      </w:r>
      <w:r>
        <w:t xml:space="preserve"> </w:t>
      </w:r>
      <w:hyperlink r:id="rId21">
        <w:r>
          <w:rPr>
            <w:rStyle w:val="Hyperlink"/>
          </w:rPr>
          <w:t xml:space="preserve">[130]</w:t>
        </w:r>
      </w:hyperlink>
    </w:p>
    <w:p>
      <w:pPr>
        <w:pStyle w:val="Compact"/>
        <w:numPr>
          <w:ilvl w:val="0"/>
          <w:numId w:val="1014"/>
        </w:numPr>
      </w:pPr>
      <w:r>
        <w:rPr>
          <w:b/>
          <w:bCs/>
        </w:rPr>
        <w:t xml:space="preserve">Medium lab / dedicated GPUs</w:t>
      </w:r>
      <w:r>
        <w:t xml:space="preserve">: feasible to run RL in one or two benchmark families (AppWorld or web) and to train environment-specific world models; multi-agent RL becomes plausible but should be tightly scoped.</w:t>
      </w:r>
      <w:r>
        <w:t xml:space="preserve"> </w:t>
      </w:r>
      <w:hyperlink r:id="rId22">
        <w:r>
          <w:rPr>
            <w:rStyle w:val="Hyperlink"/>
          </w:rPr>
          <w:t xml:space="preserve">[131]</w:t>
        </w:r>
      </w:hyperlink>
    </w:p>
    <w:p>
      <w:pPr>
        <w:pStyle w:val="Compact"/>
        <w:numPr>
          <w:ilvl w:val="0"/>
          <w:numId w:val="1014"/>
        </w:numPr>
      </w:pPr>
      <w:r>
        <w:rPr>
          <w:b/>
          <w:bCs/>
        </w:rPr>
        <w:t xml:space="preserve">Large-scale industrial compute</w:t>
      </w:r>
      <w:r>
        <w:t xml:space="preserve">: feasible to run multi-environment RL, co-evolving world models, and extensive red-teaming; however, governance and compliance complexity scale as fast as capability.</w:t>
      </w:r>
      <w:r>
        <w:t xml:space="preserve"> </w:t>
      </w:r>
      <w:hyperlink r:id="rId21">
        <w:r>
          <w:rPr>
            <w:rStyle w:val="Hyperlink"/>
          </w:rPr>
          <w:t xml:space="preserve">[132]</w:t>
        </w:r>
      </w:hyperlink>
    </w:p>
    <w:p>
      <w:pPr>
        <w:pStyle w:val="FirstParagraph"/>
      </w:pPr>
      <w:r>
        <w:t xml:space="preserve">Overall, the paper’s future scope is</w:t>
      </w:r>
      <w:r>
        <w:t xml:space="preserve"> </w:t>
      </w:r>
      <w:r>
        <w:rPr>
          <w:b/>
          <w:bCs/>
        </w:rPr>
        <w:t xml:space="preserve">largely addressable in the sense of building increasingly robust, measurable, and safer agentic systems within bounded environments</w:t>
      </w:r>
      <w:r>
        <w:t xml:space="preserve">, but it is</w:t>
      </w:r>
      <w:r>
        <w:t xml:space="preserve"> </w:t>
      </w:r>
      <w:r>
        <w:rPr>
          <w:b/>
          <w:bCs/>
        </w:rPr>
        <w:t xml:space="preserve">not likely to be “fully solved” as a universal capability</w:t>
      </w:r>
      <w:r>
        <w:t xml:space="preserve">—especially for governance, security, and non-stationary open-world deployment.</w:t>
      </w:r>
      <w:r>
        <w:t xml:space="preserve"> </w:t>
      </w:r>
      <w:hyperlink r:id="rId21">
        <w:r>
          <w:rPr>
            <w:rStyle w:val="Hyperlink"/>
          </w:rPr>
          <w:t xml:space="preserve">[133]</w:t>
        </w:r>
      </w:hyperlink>
    </w:p>
    <w:bookmarkEnd w:id="81"/>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[27]</w:t>
        </w:r>
      </w:hyperlink>
      <w:r>
        <w:t xml:space="preserve"> </w:t>
      </w:r>
      <w:hyperlink r:id="rId21">
        <w:r>
          <w:rPr>
            <w:rStyle w:val="Hyperlink"/>
          </w:rPr>
          <w:t xml:space="preserve">[30]</w:t>
        </w:r>
      </w:hyperlink>
      <w:r>
        <w:t xml:space="preserve"> </w:t>
      </w:r>
      <w:hyperlink r:id="rId21">
        <w:r>
          <w:rPr>
            <w:rStyle w:val="Hyperlink"/>
          </w:rPr>
          <w:t xml:space="preserve">[38]</w:t>
        </w:r>
      </w:hyperlink>
      <w:r>
        <w:t xml:space="preserve"> </w:t>
      </w:r>
      <w:hyperlink r:id="rId21">
        <w:r>
          <w:rPr>
            <w:rStyle w:val="Hyperlink"/>
          </w:rPr>
          <w:t xml:space="preserve">[41]</w:t>
        </w:r>
      </w:hyperlink>
      <w:r>
        <w:t xml:space="preserve"> </w:t>
      </w:r>
      <w:hyperlink r:id="rId21">
        <w:r>
          <w:rPr>
            <w:rStyle w:val="Hyperlink"/>
          </w:rPr>
          <w:t xml:space="preserve">[47]</w:t>
        </w:r>
      </w:hyperlink>
      <w:r>
        <w:t xml:space="preserve"> </w:t>
      </w:r>
      <w:hyperlink r:id="rId21">
        <w:r>
          <w:rPr>
            <w:rStyle w:val="Hyperlink"/>
          </w:rPr>
          <w:t xml:space="preserve">[48]</w:t>
        </w:r>
      </w:hyperlink>
      <w:r>
        <w:t xml:space="preserve"> </w:t>
      </w:r>
      <w:hyperlink r:id="rId21">
        <w:r>
          <w:rPr>
            <w:rStyle w:val="Hyperlink"/>
          </w:rPr>
          <w:t xml:space="preserve">[57]</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21">
        <w:r>
          <w:rPr>
            <w:rStyle w:val="Hyperlink"/>
          </w:rPr>
          <w:t xml:space="preserve">[64]</w:t>
        </w:r>
      </w:hyperlink>
      <w:r>
        <w:t xml:space="preserve"> </w:t>
      </w:r>
      <w:hyperlink r:id="rId21">
        <w:r>
          <w:rPr>
            <w:rStyle w:val="Hyperlink"/>
          </w:rPr>
          <w:t xml:space="preserve">[66]</w:t>
        </w:r>
      </w:hyperlink>
      <w:r>
        <w:t xml:space="preserve"> </w:t>
      </w:r>
      <w:hyperlink r:id="rId21">
        <w:r>
          <w:rPr>
            <w:rStyle w:val="Hyperlink"/>
          </w:rPr>
          <w:t xml:space="preserve">[68]</w:t>
        </w:r>
      </w:hyperlink>
      <w:r>
        <w:t xml:space="preserve"> </w:t>
      </w:r>
      <w:hyperlink r:id="rId21">
        <w:r>
          <w:rPr>
            <w:rStyle w:val="Hyperlink"/>
          </w:rPr>
          <w:t xml:space="preserve">[75]</w:t>
        </w:r>
      </w:hyperlink>
      <w:r>
        <w:t xml:space="preserve"> </w:t>
      </w:r>
      <w:hyperlink r:id="rId21">
        <w:r>
          <w:rPr>
            <w:rStyle w:val="Hyperlink"/>
          </w:rPr>
          <w:t xml:space="preserve">[84]</w:t>
        </w:r>
      </w:hyperlink>
      <w:r>
        <w:t xml:space="preserve"> </w:t>
      </w:r>
      <w:hyperlink r:id="rId21">
        <w:r>
          <w:rPr>
            <w:rStyle w:val="Hyperlink"/>
          </w:rPr>
          <w:t xml:space="preserve">[85]</w:t>
        </w:r>
      </w:hyperlink>
      <w:r>
        <w:t xml:space="preserve"> </w:t>
      </w:r>
      <w:hyperlink r:id="rId21">
        <w:r>
          <w:rPr>
            <w:rStyle w:val="Hyperlink"/>
          </w:rPr>
          <w:t xml:space="preserve">[86]</w:t>
        </w:r>
      </w:hyperlink>
      <w:r>
        <w:t xml:space="preserve"> </w:t>
      </w:r>
      <w:hyperlink r:id="rId21">
        <w:r>
          <w:rPr>
            <w:rStyle w:val="Hyperlink"/>
          </w:rPr>
          <w:t xml:space="preserve">[90]</w:t>
        </w:r>
      </w:hyperlink>
      <w:r>
        <w:t xml:space="preserve"> </w:t>
      </w:r>
      <w:hyperlink r:id="rId21">
        <w:r>
          <w:rPr>
            <w:rStyle w:val="Hyperlink"/>
          </w:rPr>
          <w:t xml:space="preserve">[91]</w:t>
        </w:r>
      </w:hyperlink>
      <w:r>
        <w:t xml:space="preserve"> </w:t>
      </w:r>
      <w:hyperlink r:id="rId21">
        <w:r>
          <w:rPr>
            <w:rStyle w:val="Hyperlink"/>
          </w:rPr>
          <w:t xml:space="preserve">[92]</w:t>
        </w:r>
      </w:hyperlink>
      <w:r>
        <w:t xml:space="preserve"> </w:t>
      </w:r>
      <w:hyperlink r:id="rId21">
        <w:r>
          <w:rPr>
            <w:rStyle w:val="Hyperlink"/>
          </w:rPr>
          <w:t xml:space="preserve">[97]</w:t>
        </w:r>
      </w:hyperlink>
      <w:r>
        <w:t xml:space="preserve"> </w:t>
      </w:r>
      <w:hyperlink r:id="rId21">
        <w:r>
          <w:rPr>
            <w:rStyle w:val="Hyperlink"/>
          </w:rPr>
          <w:t xml:space="preserve">[98]</w:t>
        </w:r>
      </w:hyperlink>
      <w:r>
        <w:t xml:space="preserve"> </w:t>
      </w:r>
      <w:hyperlink r:id="rId21">
        <w:r>
          <w:rPr>
            <w:rStyle w:val="Hyperlink"/>
          </w:rPr>
          <w:t xml:space="preserve">[99]</w:t>
        </w:r>
      </w:hyperlink>
      <w:r>
        <w:t xml:space="preserve"> </w:t>
      </w:r>
      <w:hyperlink r:id="rId21">
        <w:r>
          <w:rPr>
            <w:rStyle w:val="Hyperlink"/>
          </w:rPr>
          <w:t xml:space="preserve">[100]</w:t>
        </w:r>
      </w:hyperlink>
      <w:r>
        <w:t xml:space="preserve"> </w:t>
      </w:r>
      <w:hyperlink r:id="rId21">
        <w:r>
          <w:rPr>
            <w:rStyle w:val="Hyperlink"/>
          </w:rPr>
          <w:t xml:space="preserve">[105]</w:t>
        </w:r>
      </w:hyperlink>
      <w:r>
        <w:t xml:space="preserve"> </w:t>
      </w:r>
      <w:hyperlink r:id="rId21">
        <w:r>
          <w:rPr>
            <w:rStyle w:val="Hyperlink"/>
          </w:rPr>
          <w:t xml:space="preserve">[108]</w:t>
        </w:r>
      </w:hyperlink>
      <w:r>
        <w:t xml:space="preserve"> </w:t>
      </w:r>
      <w:hyperlink r:id="rId21">
        <w:r>
          <w:rPr>
            <w:rStyle w:val="Hyperlink"/>
          </w:rPr>
          <w:t xml:space="preserve">[115]</w:t>
        </w:r>
      </w:hyperlink>
      <w:r>
        <w:t xml:space="preserve"> </w:t>
      </w:r>
      <w:hyperlink r:id="rId21">
        <w:r>
          <w:rPr>
            <w:rStyle w:val="Hyperlink"/>
          </w:rPr>
          <w:t xml:space="preserve">[121]</w:t>
        </w:r>
      </w:hyperlink>
      <w:r>
        <w:t xml:space="preserve"> </w:t>
      </w:r>
      <w:hyperlink r:id="rId21">
        <w:r>
          <w:rPr>
            <w:rStyle w:val="Hyperlink"/>
          </w:rPr>
          <w:t xml:space="preserve">[122]</w:t>
        </w:r>
      </w:hyperlink>
      <w:r>
        <w:t xml:space="preserve"> </w:t>
      </w:r>
      <w:hyperlink r:id="rId21">
        <w:r>
          <w:rPr>
            <w:rStyle w:val="Hyperlink"/>
          </w:rPr>
          <w:t xml:space="preserve">[125]</w:t>
        </w:r>
      </w:hyperlink>
      <w:r>
        <w:t xml:space="preserve"> </w:t>
      </w:r>
      <w:hyperlink r:id="rId21">
        <w:r>
          <w:rPr>
            <w:rStyle w:val="Hyperlink"/>
          </w:rPr>
          <w:t xml:space="preserve">[126]</w:t>
        </w:r>
      </w:hyperlink>
      <w:r>
        <w:t xml:space="preserve"> </w:t>
      </w:r>
      <w:hyperlink r:id="rId21">
        <w:r>
          <w:rPr>
            <w:rStyle w:val="Hyperlink"/>
          </w:rPr>
          <w:t xml:space="preserve">[127]</w:t>
        </w:r>
      </w:hyperlink>
      <w:r>
        <w:t xml:space="preserve"> </w:t>
      </w:r>
      <w:hyperlink r:id="rId21">
        <w:r>
          <w:rPr>
            <w:rStyle w:val="Hyperlink"/>
          </w:rPr>
          <w:t xml:space="preserve">[128]</w:t>
        </w:r>
      </w:hyperlink>
      <w:r>
        <w:t xml:space="preserve"> </w:t>
      </w:r>
      <w:hyperlink r:id="rId21">
        <w:r>
          <w:rPr>
            <w:rStyle w:val="Hyperlink"/>
          </w:rPr>
          <w:t xml:space="preserve">[129]</w:t>
        </w:r>
      </w:hyperlink>
      <w:r>
        <w:t xml:space="preserve"> </w:t>
      </w:r>
      <w:hyperlink r:id="rId21">
        <w:r>
          <w:rPr>
            <w:rStyle w:val="Hyperlink"/>
          </w:rPr>
          <w:t xml:space="preserve">[130]</w:t>
        </w:r>
      </w:hyperlink>
      <w:r>
        <w:t xml:space="preserve"> </w:t>
      </w:r>
      <w:hyperlink r:id="rId21">
        <w:r>
          <w:rPr>
            <w:rStyle w:val="Hyperlink"/>
          </w:rPr>
          <w:t xml:space="preserve">[132]</w:t>
        </w:r>
      </w:hyperlink>
      <w:r>
        <w:t xml:space="preserve"> </w:t>
      </w:r>
      <w:hyperlink r:id="rId21">
        <w:r>
          <w:rPr>
            <w:rStyle w:val="Hyperlink"/>
          </w:rPr>
          <w:t xml:space="preserve">[133]</w:t>
        </w:r>
      </w:hyperlink>
      <w:r>
        <w:t xml:space="preserve"> </w:t>
      </w:r>
      <w:r>
        <w:t xml:space="preserve">https://ar5iv.org/pdf/2601.12538</w:t>
      </w:r>
    </w:p>
    <w:p>
      <w:pPr>
        <w:pStyle w:val="BodyText"/>
      </w:pPr>
      <w:hyperlink r:id="rId21">
        <w:r>
          <w:rPr>
            <w:rStyle w:val="Hyperlink"/>
          </w:rPr>
          <w:t xml:space="preserve">https://ar5iv.org/pdf/2601.12538</w:t>
        </w:r>
      </w:hyperlink>
    </w:p>
    <w:p>
      <w:pPr>
        <w:pStyle w:val="BodyText"/>
      </w:pPr>
      <w:hyperlink r:id="rId22">
        <w:r>
          <w:rPr>
            <w:rStyle w:val="Hyperlink"/>
          </w:rPr>
          <w:t xml:space="preserve">[2]</w:t>
        </w:r>
      </w:hyperlink>
      <w:r>
        <w:t xml:space="preserve"> </w:t>
      </w:r>
      <w:hyperlink r:id="rId22">
        <w:r>
          <w:rPr>
            <w:rStyle w:val="Hyperlink"/>
          </w:rPr>
          <w:t xml:space="preserve">[31]</w:t>
        </w:r>
      </w:hyperlink>
      <w:r>
        <w:t xml:space="preserve"> </w:t>
      </w:r>
      <w:hyperlink r:id="rId22">
        <w:r>
          <w:rPr>
            <w:rStyle w:val="Hyperlink"/>
          </w:rPr>
          <w:t xml:space="preserve">[34]</w:t>
        </w:r>
      </w:hyperlink>
      <w:r>
        <w:t xml:space="preserve"> </w:t>
      </w:r>
      <w:hyperlink r:id="rId22">
        <w:r>
          <w:rPr>
            <w:rStyle w:val="Hyperlink"/>
          </w:rPr>
          <w:t xml:space="preserve">[83]</w:t>
        </w:r>
      </w:hyperlink>
      <w:r>
        <w:t xml:space="preserve"> </w:t>
      </w:r>
      <w:hyperlink r:id="rId22">
        <w:r>
          <w:rPr>
            <w:rStyle w:val="Hyperlink"/>
          </w:rPr>
          <w:t xml:space="preserve">[107]</w:t>
        </w:r>
      </w:hyperlink>
      <w:r>
        <w:t xml:space="preserve"> </w:t>
      </w:r>
      <w:hyperlink r:id="rId22">
        <w:r>
          <w:rPr>
            <w:rStyle w:val="Hyperlink"/>
          </w:rPr>
          <w:t xml:space="preserve">[109]</w:t>
        </w:r>
      </w:hyperlink>
      <w:r>
        <w:t xml:space="preserve"> </w:t>
      </w:r>
      <w:hyperlink r:id="rId22">
        <w:r>
          <w:rPr>
            <w:rStyle w:val="Hyperlink"/>
          </w:rPr>
          <w:t xml:space="preserve">[131]</w:t>
        </w:r>
      </w:hyperlink>
      <w:r>
        <w:t xml:space="preserve"> </w:t>
      </w:r>
      <w:r>
        <w:t xml:space="preserve">https://arxiv.org/abs/2502.01600</w:t>
      </w:r>
    </w:p>
    <w:p>
      <w:pPr>
        <w:pStyle w:val="BodyText"/>
      </w:pPr>
      <w:hyperlink r:id="rId22">
        <w:r>
          <w:rPr>
            <w:rStyle w:val="Hyperlink"/>
          </w:rPr>
          <w:t xml:space="preserve">https://arxiv.org/abs/2502.01600</w:t>
        </w:r>
      </w:hyperlink>
    </w:p>
    <w:p>
      <w:pPr>
        <w:pStyle w:val="BodyText"/>
      </w:pPr>
      <w:hyperlink r:id="rId27">
        <w:r>
          <w:rPr>
            <w:rStyle w:val="Hyperlink"/>
          </w:rPr>
          <w:t xml:space="preserve">[18]</w:t>
        </w:r>
      </w:hyperlink>
      <w:r>
        <w:t xml:space="preserve"> </w:t>
      </w:r>
      <w:hyperlink r:id="rId27">
        <w:r>
          <w:rPr>
            <w:rStyle w:val="Hyperlink"/>
          </w:rPr>
          <w:t xml:space="preserve">[70]</w:t>
        </w:r>
      </w:hyperlink>
      <w:r>
        <w:t xml:space="preserve"> </w:t>
      </w:r>
      <w:hyperlink r:id="rId27">
        <w:r>
          <w:rPr>
            <w:rStyle w:val="Hyperlink"/>
          </w:rPr>
          <w:t xml:space="preserve">[72]</w:t>
        </w:r>
      </w:hyperlink>
      <w:r>
        <w:t xml:space="preserve"> </w:t>
      </w:r>
      <w:hyperlink r:id="rId27">
        <w:r>
          <w:rPr>
            <w:rStyle w:val="Hyperlink"/>
          </w:rPr>
          <w:t xml:space="preserve">[124]</w:t>
        </w:r>
      </w:hyperlink>
      <w:r>
        <w:t xml:space="preserve"> </w:t>
      </w:r>
      <w:r>
        <w:t xml:space="preserve">https://aclanthology.org/2024.findings-acl.624.pdf</w:t>
      </w:r>
    </w:p>
    <w:p>
      <w:pPr>
        <w:pStyle w:val="BodyText"/>
      </w:pPr>
      <w:hyperlink r:id="rId27">
        <w:r>
          <w:rPr>
            <w:rStyle w:val="Hyperlink"/>
          </w:rPr>
          <w:t xml:space="preserve">https://aclanthology.org/2024.findings-acl.624.pdf</w:t>
        </w:r>
      </w:hyperlink>
    </w:p>
    <w:p>
      <w:pPr>
        <w:pStyle w:val="BodyText"/>
      </w:pPr>
      <w:hyperlink r:id="rId29">
        <w:r>
          <w:rPr>
            <w:rStyle w:val="Hyperlink"/>
          </w:rPr>
          <w:t xml:space="preserve">[22]</w:t>
        </w:r>
      </w:hyperlink>
      <w:r>
        <w:t xml:space="preserve"> </w:t>
      </w:r>
      <w:hyperlink r:id="rId29">
        <w:r>
          <w:rPr>
            <w:rStyle w:val="Hyperlink"/>
          </w:rPr>
          <w:t xml:space="preserve">[25]</w:t>
        </w:r>
      </w:hyperlink>
      <w:r>
        <w:t xml:space="preserve"> </w:t>
      </w:r>
      <w:hyperlink r:id="rId29">
        <w:r>
          <w:rPr>
            <w:rStyle w:val="Hyperlink"/>
          </w:rPr>
          <w:t xml:space="preserve">[87]</w:t>
        </w:r>
      </w:hyperlink>
      <w:r>
        <w:t xml:space="preserve"> </w:t>
      </w:r>
      <w:hyperlink r:id="rId29">
        <w:r>
          <w:rPr>
            <w:rStyle w:val="Hyperlink"/>
          </w:rPr>
          <w:t xml:space="preserve">[101]</w:t>
        </w:r>
      </w:hyperlink>
      <w:r>
        <w:t xml:space="preserve"> </w:t>
      </w:r>
      <w:r>
        <w:t xml:space="preserve">https://arxiv.org/abs/2310.08560</w:t>
      </w:r>
    </w:p>
    <w:p>
      <w:pPr>
        <w:pStyle w:val="BodyText"/>
      </w:pPr>
      <w:hyperlink r:id="rId29">
        <w:r>
          <w:rPr>
            <w:rStyle w:val="Hyperlink"/>
          </w:rPr>
          <w:t xml:space="preserve">https://arxiv.org/abs/2310.08560</w:t>
        </w:r>
      </w:hyperlink>
    </w:p>
    <w:p>
      <w:pPr>
        <w:pStyle w:val="BodyText"/>
      </w:pPr>
      <w:hyperlink r:id="rId30">
        <w:r>
          <w:rPr>
            <w:rStyle w:val="Hyperlink"/>
          </w:rPr>
          <w:t xml:space="preserve">[23]</w:t>
        </w:r>
      </w:hyperlink>
      <w:r>
        <w:t xml:space="preserve"> </w:t>
      </w:r>
      <w:hyperlink r:id="rId30">
        <w:r>
          <w:rPr>
            <w:rStyle w:val="Hyperlink"/>
          </w:rPr>
          <w:t xml:space="preserve">[29]</w:t>
        </w:r>
      </w:hyperlink>
      <w:r>
        <w:t xml:space="preserve"> </w:t>
      </w:r>
      <w:hyperlink r:id="rId30">
        <w:r>
          <w:rPr>
            <w:rStyle w:val="Hyperlink"/>
          </w:rPr>
          <w:t xml:space="preserve">[102]</w:t>
        </w:r>
      </w:hyperlink>
      <w:r>
        <w:t xml:space="preserve"> </w:t>
      </w:r>
      <w:hyperlink r:id="rId30">
        <w:r>
          <w:rPr>
            <w:rStyle w:val="Hyperlink"/>
          </w:rPr>
          <w:t xml:space="preserve">[104]</w:t>
        </w:r>
      </w:hyperlink>
      <w:r>
        <w:t xml:space="preserve"> </w:t>
      </w:r>
      <w:r>
        <w:t xml:space="preserve">https://proceedings.iclr.cc/paper_files/paper/2025/file/a730abbcd6cf4a371ca9545db5922442-Paper-Conference.pdf</w:t>
      </w:r>
    </w:p>
    <w:p>
      <w:pPr>
        <w:pStyle w:val="BodyText"/>
      </w:pPr>
      <w:hyperlink r:id="rId30">
        <w:r>
          <w:rPr>
            <w:rStyle w:val="Hyperlink"/>
          </w:rPr>
          <w:t xml:space="preserve">https://proceedings.iclr.cc/paper_files/paper/2025/file/a730abbcd6cf4a371ca9545db5922442-Paper-Conference.pdf</w:t>
        </w:r>
      </w:hyperlink>
    </w:p>
    <w:p>
      <w:pPr>
        <w:pStyle w:val="BodyText"/>
      </w:pPr>
      <w:hyperlink r:id="rId31">
        <w:r>
          <w:rPr>
            <w:rStyle w:val="Hyperlink"/>
          </w:rPr>
          <w:t xml:space="preserve">[24]</w:t>
        </w:r>
      </w:hyperlink>
      <w:r>
        <w:t xml:space="preserve"> </w:t>
      </w:r>
      <w:hyperlink r:id="rId31">
        <w:r>
          <w:rPr>
            <w:rStyle w:val="Hyperlink"/>
          </w:rPr>
          <w:t xml:space="preserve">[36]</w:t>
        </w:r>
      </w:hyperlink>
      <w:r>
        <w:t xml:space="preserve"> </w:t>
      </w:r>
      <w:hyperlink r:id="rId31">
        <w:r>
          <w:rPr>
            <w:rStyle w:val="Hyperlink"/>
          </w:rPr>
          <w:t xml:space="preserve">[103]</w:t>
        </w:r>
      </w:hyperlink>
      <w:r>
        <w:t xml:space="preserve"> </w:t>
      </w:r>
      <w:r>
        <w:t xml:space="preserve">https://arxiv.org/abs/2509.19736</w:t>
      </w:r>
    </w:p>
    <w:p>
      <w:pPr>
        <w:pStyle w:val="BodyText"/>
      </w:pPr>
      <w:hyperlink r:id="rId31">
        <w:r>
          <w:rPr>
            <w:rStyle w:val="Hyperlink"/>
          </w:rPr>
          <w:t xml:space="preserve">https://arxiv.org/abs/2509.19736</w:t>
        </w:r>
      </w:hyperlink>
    </w:p>
    <w:p>
      <w:pPr>
        <w:pStyle w:val="BodyText"/>
      </w:pPr>
      <w:hyperlink r:id="rId32">
        <w:r>
          <w:rPr>
            <w:rStyle w:val="Hyperlink"/>
          </w:rPr>
          <w:t xml:space="preserve">[26]</w:t>
        </w:r>
      </w:hyperlink>
      <w:r>
        <w:t xml:space="preserve"> </w:t>
      </w:r>
      <w:r>
        <w:t xml:space="preserve">https://arxiv.org/abs/2510.07925</w:t>
      </w:r>
    </w:p>
    <w:p>
      <w:pPr>
        <w:pStyle w:val="BodyText"/>
      </w:pPr>
      <w:hyperlink r:id="rId32">
        <w:r>
          <w:rPr>
            <w:rStyle w:val="Hyperlink"/>
          </w:rPr>
          <w:t xml:space="preserve">https://arxiv.org/abs/2510.07925</w:t>
        </w:r>
      </w:hyperlink>
    </w:p>
    <w:p>
      <w:pPr>
        <w:pStyle w:val="BodyText"/>
      </w:pPr>
      <w:hyperlink r:id="rId33">
        <w:r>
          <w:rPr>
            <w:rStyle w:val="Hyperlink"/>
          </w:rPr>
          <w:t xml:space="preserve">[28]</w:t>
        </w:r>
      </w:hyperlink>
      <w:r>
        <w:t xml:space="preserve"> </w:t>
      </w:r>
      <w:hyperlink r:id="rId33">
        <w:r>
          <w:rPr>
            <w:rStyle w:val="Hyperlink"/>
          </w:rPr>
          <w:t xml:space="preserve">[67]</w:t>
        </w:r>
      </w:hyperlink>
      <w:r>
        <w:t xml:space="preserve"> </w:t>
      </w:r>
      <w:hyperlink r:id="rId33">
        <w:r>
          <w:rPr>
            <w:rStyle w:val="Hyperlink"/>
          </w:rPr>
          <w:t xml:space="preserve">[74]</w:t>
        </w:r>
      </w:hyperlink>
      <w:r>
        <w:t xml:space="preserve"> </w:t>
      </w:r>
      <w:hyperlink r:id="rId33">
        <w:r>
          <w:rPr>
            <w:rStyle w:val="Hyperlink"/>
          </w:rPr>
          <w:t xml:space="preserve">[123]</w:t>
        </w:r>
      </w:hyperlink>
      <w:r>
        <w:t xml:space="preserve"> </w:t>
      </w:r>
      <w:r>
        <w:t xml:space="preserve">https://nvlpubs.nist.gov/nistpubs/ai/nist.ai.100-1.pdf</w:t>
      </w:r>
    </w:p>
    <w:p>
      <w:pPr>
        <w:pStyle w:val="BodyText"/>
      </w:pPr>
      <w:hyperlink r:id="rId33">
        <w:r>
          <w:rPr>
            <w:rStyle w:val="Hyperlink"/>
          </w:rPr>
          <w:t xml:space="preserve">https://nvlpubs.nist.gov/nistpubs/ai/nist.ai.100-1.pdf</w:t>
        </w:r>
      </w:hyperlink>
    </w:p>
    <w:p>
      <w:pPr>
        <w:pStyle w:val="BodyText"/>
      </w:pPr>
      <w:hyperlink r:id="rId35">
        <w:r>
          <w:rPr>
            <w:rStyle w:val="Hyperlink"/>
          </w:rPr>
          <w:t xml:space="preserve">[32]</w:t>
        </w:r>
      </w:hyperlink>
      <w:r>
        <w:t xml:space="preserve"> </w:t>
      </w:r>
      <w:r>
        <w:t xml:space="preserve">https://arxiv.org/abs/2505.16421</w:t>
      </w:r>
    </w:p>
    <w:p>
      <w:pPr>
        <w:pStyle w:val="BodyText"/>
      </w:pPr>
      <w:hyperlink r:id="rId35">
        <w:r>
          <w:rPr>
            <w:rStyle w:val="Hyperlink"/>
          </w:rPr>
          <w:t xml:space="preserve">https://arxiv.org/abs/2505.16421</w:t>
        </w:r>
      </w:hyperlink>
    </w:p>
    <w:p>
      <w:pPr>
        <w:pStyle w:val="BodyText"/>
      </w:pPr>
      <w:hyperlink r:id="rId36">
        <w:r>
          <w:rPr>
            <w:rStyle w:val="Hyperlink"/>
          </w:rPr>
          <w:t xml:space="preserve">[33]</w:t>
        </w:r>
      </w:hyperlink>
      <w:r>
        <w:t xml:space="preserve"> </w:t>
      </w:r>
      <w:hyperlink r:id="rId36">
        <w:r>
          <w:rPr>
            <w:rStyle w:val="Hyperlink"/>
          </w:rPr>
          <w:t xml:space="preserve">[88]</w:t>
        </w:r>
      </w:hyperlink>
      <w:r>
        <w:t xml:space="preserve"> </w:t>
      </w:r>
      <w:r>
        <w:t xml:space="preserve">https://arxiv.org/abs/2505.11821</w:t>
      </w:r>
    </w:p>
    <w:p>
      <w:pPr>
        <w:pStyle w:val="BodyText"/>
      </w:pPr>
      <w:hyperlink r:id="rId36">
        <w:r>
          <w:rPr>
            <w:rStyle w:val="Hyperlink"/>
          </w:rPr>
          <w:t xml:space="preserve">https://arxiv.org/abs/2505.11821</w:t>
        </w:r>
      </w:hyperlink>
    </w:p>
    <w:p>
      <w:pPr>
        <w:pStyle w:val="BodyText"/>
      </w:pPr>
      <w:hyperlink r:id="rId37">
        <w:r>
          <w:rPr>
            <w:rStyle w:val="Hyperlink"/>
          </w:rPr>
          <w:t xml:space="preserve">[35]</w:t>
        </w:r>
      </w:hyperlink>
      <w:r>
        <w:t xml:space="preserve"> </w:t>
      </w:r>
      <w:hyperlink r:id="rId37">
        <w:r>
          <w:rPr>
            <w:rStyle w:val="Hyperlink"/>
          </w:rPr>
          <w:t xml:space="preserve">[40]</w:t>
        </w:r>
      </w:hyperlink>
      <w:r>
        <w:t xml:space="preserve"> </w:t>
      </w:r>
      <w:hyperlink r:id="rId37">
        <w:r>
          <w:rPr>
            <w:rStyle w:val="Hyperlink"/>
          </w:rPr>
          <w:t xml:space="preserve">[96]</w:t>
        </w:r>
      </w:hyperlink>
      <w:r>
        <w:t xml:space="preserve"> </w:t>
      </w:r>
      <w:hyperlink r:id="rId37">
        <w:r>
          <w:rPr>
            <w:rStyle w:val="Hyperlink"/>
          </w:rPr>
          <w:t xml:space="preserve">[106]</w:t>
        </w:r>
      </w:hyperlink>
      <w:r>
        <w:t xml:space="preserve"> </w:t>
      </w:r>
      <w:r>
        <w:t xml:space="preserve">https://aclanthology.org/2024.acl-long.850/</w:t>
      </w:r>
    </w:p>
    <w:p>
      <w:pPr>
        <w:pStyle w:val="BodyText"/>
      </w:pPr>
      <w:hyperlink r:id="rId37">
        <w:r>
          <w:rPr>
            <w:rStyle w:val="Hyperlink"/>
          </w:rPr>
          <w:t xml:space="preserve">https://aclanthology.org/2024.acl-long.850/</w:t>
        </w:r>
      </w:hyperlink>
    </w:p>
    <w:p>
      <w:pPr>
        <w:pStyle w:val="BodyText"/>
      </w:pPr>
      <w:hyperlink r:id="rId38">
        <w:r>
          <w:rPr>
            <w:rStyle w:val="Hyperlink"/>
          </w:rPr>
          <w:t xml:space="preserve">[37]</w:t>
        </w:r>
      </w:hyperlink>
      <w:r>
        <w:t xml:space="preserve"> </w:t>
      </w:r>
      <w:r>
        <w:t xml:space="preserve">https://arxiv.org/abs/2210.03629</w:t>
      </w:r>
    </w:p>
    <w:p>
      <w:pPr>
        <w:pStyle w:val="BodyText"/>
      </w:pPr>
      <w:hyperlink r:id="rId38">
        <w:r>
          <w:rPr>
            <w:rStyle w:val="Hyperlink"/>
          </w:rPr>
          <w:t xml:space="preserve">https://arxiv.org/abs/2210.03629</w:t>
        </w:r>
      </w:hyperlink>
    </w:p>
    <w:p>
      <w:pPr>
        <w:pStyle w:val="BodyText"/>
      </w:pPr>
      <w:hyperlink r:id="rId39">
        <w:r>
          <w:rPr>
            <w:rStyle w:val="Hyperlink"/>
          </w:rPr>
          <w:t xml:space="preserve">[39]</w:t>
        </w:r>
      </w:hyperlink>
      <w:r>
        <w:t xml:space="preserve"> </w:t>
      </w:r>
      <w:hyperlink r:id="rId39">
        <w:r>
          <w:rPr>
            <w:rStyle w:val="Hyperlink"/>
          </w:rPr>
          <w:t xml:space="preserve">[44]</w:t>
        </w:r>
      </w:hyperlink>
      <w:r>
        <w:t xml:space="preserve"> </w:t>
      </w:r>
      <w:hyperlink r:id="rId39">
        <w:r>
          <w:rPr>
            <w:rStyle w:val="Hyperlink"/>
          </w:rPr>
          <w:t xml:space="preserve">[49]</w:t>
        </w:r>
      </w:hyperlink>
      <w:r>
        <w:t xml:space="preserve"> </w:t>
      </w:r>
      <w:hyperlink r:id="rId39">
        <w:r>
          <w:rPr>
            <w:rStyle w:val="Hyperlink"/>
          </w:rPr>
          <w:t xml:space="preserve">[110]</w:t>
        </w:r>
      </w:hyperlink>
      <w:r>
        <w:t xml:space="preserve"> </w:t>
      </w:r>
      <w:hyperlink r:id="rId39">
        <w:r>
          <w:rPr>
            <w:rStyle w:val="Hyperlink"/>
          </w:rPr>
          <w:t xml:space="preserve">[111]</w:t>
        </w:r>
      </w:hyperlink>
      <w:r>
        <w:t xml:space="preserve"> </w:t>
      </w:r>
      <w:hyperlink r:id="rId39">
        <w:r>
          <w:rPr>
            <w:rStyle w:val="Hyperlink"/>
          </w:rPr>
          <w:t xml:space="preserve">[114]</w:t>
        </w:r>
      </w:hyperlink>
      <w:r>
        <w:t xml:space="preserve"> </w:t>
      </w:r>
      <w:r>
        <w:t xml:space="preserve">https://arxiv.org/abs/2410.13232</w:t>
      </w:r>
    </w:p>
    <w:p>
      <w:pPr>
        <w:pStyle w:val="BodyText"/>
      </w:pPr>
      <w:hyperlink r:id="rId39">
        <w:r>
          <w:rPr>
            <w:rStyle w:val="Hyperlink"/>
          </w:rPr>
          <w:t xml:space="preserve">https://arxiv.org/abs/2410.13232</w:t>
        </w:r>
      </w:hyperlink>
    </w:p>
    <w:p>
      <w:pPr>
        <w:pStyle w:val="BodyText"/>
      </w:pPr>
      <w:hyperlink r:id="rId41">
        <w:r>
          <w:rPr>
            <w:rStyle w:val="Hyperlink"/>
          </w:rPr>
          <w:t xml:space="preserve">[42]</w:t>
        </w:r>
      </w:hyperlink>
      <w:r>
        <w:t xml:space="preserve"> </w:t>
      </w:r>
      <w:r>
        <w:t xml:space="preserve">https://arxiv.org/abs/2301.04104</w:t>
      </w:r>
    </w:p>
    <w:p>
      <w:pPr>
        <w:pStyle w:val="BodyText"/>
      </w:pPr>
      <w:hyperlink r:id="rId41">
        <w:r>
          <w:rPr>
            <w:rStyle w:val="Hyperlink"/>
          </w:rPr>
          <w:t xml:space="preserve">https://arxiv.org/abs/2301.04104</w:t>
        </w:r>
      </w:hyperlink>
    </w:p>
    <w:p>
      <w:pPr>
        <w:pStyle w:val="BodyText"/>
      </w:pPr>
      <w:hyperlink r:id="rId42">
        <w:r>
          <w:rPr>
            <w:rStyle w:val="Hyperlink"/>
          </w:rPr>
          <w:t xml:space="preserve">[43]</w:t>
        </w:r>
      </w:hyperlink>
      <w:r>
        <w:t xml:space="preserve"> </w:t>
      </w:r>
      <w:hyperlink r:id="rId42">
        <w:r>
          <w:rPr>
            <w:rStyle w:val="Hyperlink"/>
          </w:rPr>
          <w:t xml:space="preserve">[112]</w:t>
        </w:r>
      </w:hyperlink>
      <w:r>
        <w:t xml:space="preserve"> </w:t>
      </w:r>
      <w:r>
        <w:t xml:space="preserve">https://arxiv.org/abs/2402.12275</w:t>
      </w:r>
    </w:p>
    <w:p>
      <w:pPr>
        <w:pStyle w:val="BodyText"/>
      </w:pPr>
      <w:hyperlink r:id="rId42">
        <w:r>
          <w:rPr>
            <w:rStyle w:val="Hyperlink"/>
          </w:rPr>
          <w:t xml:space="preserve">https://arxiv.org/abs/2402.12275</w:t>
        </w:r>
      </w:hyperlink>
    </w:p>
    <w:p>
      <w:pPr>
        <w:pStyle w:val="BodyText"/>
      </w:pPr>
      <w:hyperlink r:id="rId43">
        <w:r>
          <w:rPr>
            <w:rStyle w:val="Hyperlink"/>
          </w:rPr>
          <w:t xml:space="preserve">[45]</w:t>
        </w:r>
      </w:hyperlink>
      <w:r>
        <w:t xml:space="preserve"> </w:t>
      </w:r>
      <w:hyperlink r:id="rId43">
        <w:r>
          <w:rPr>
            <w:rStyle w:val="Hyperlink"/>
          </w:rPr>
          <w:t xml:space="preserve">[113]</w:t>
        </w:r>
      </w:hyperlink>
      <w:r>
        <w:t xml:space="preserve"> </w:t>
      </w:r>
      <w:r>
        <w:t xml:space="preserve">https://arxiv.org/abs/2504.21024</w:t>
      </w:r>
    </w:p>
    <w:p>
      <w:pPr>
        <w:pStyle w:val="BodyText"/>
      </w:pPr>
      <w:hyperlink r:id="rId43">
        <w:r>
          <w:rPr>
            <w:rStyle w:val="Hyperlink"/>
          </w:rPr>
          <w:t xml:space="preserve">https://arxiv.org/abs/2504.21024</w:t>
        </w:r>
      </w:hyperlink>
    </w:p>
    <w:p>
      <w:pPr>
        <w:pStyle w:val="BodyText"/>
      </w:pPr>
      <w:hyperlink r:id="rId44">
        <w:r>
          <w:rPr>
            <w:rStyle w:val="Hyperlink"/>
          </w:rPr>
          <w:t xml:space="preserve">[46]</w:t>
        </w:r>
      </w:hyperlink>
      <w:r>
        <w:t xml:space="preserve"> </w:t>
      </w:r>
      <w:r>
        <w:t xml:space="preserve">https://arxiv.org/pdf/2405.15383</w:t>
      </w:r>
    </w:p>
    <w:p>
      <w:pPr>
        <w:pStyle w:val="BodyText"/>
      </w:pPr>
      <w:hyperlink r:id="rId44">
        <w:r>
          <w:rPr>
            <w:rStyle w:val="Hyperlink"/>
          </w:rPr>
          <w:t xml:space="preserve">https://arxiv.org/pdf/2405.15383</w:t>
        </w:r>
      </w:hyperlink>
    </w:p>
    <w:p>
      <w:pPr>
        <w:pStyle w:val="BodyText"/>
      </w:pPr>
      <w:hyperlink r:id="rId46">
        <w:r>
          <w:rPr>
            <w:rStyle w:val="Hyperlink"/>
          </w:rPr>
          <w:t xml:space="preserve">[50]</w:t>
        </w:r>
      </w:hyperlink>
      <w:r>
        <w:t xml:space="preserve"> </w:t>
      </w:r>
      <w:hyperlink r:id="rId46">
        <w:r>
          <w:rPr>
            <w:rStyle w:val="Hyperlink"/>
          </w:rPr>
          <w:t xml:space="preserve">[54]</w:t>
        </w:r>
      </w:hyperlink>
      <w:r>
        <w:t xml:space="preserve"> </w:t>
      </w:r>
      <w:hyperlink r:id="rId46">
        <w:r>
          <w:rPr>
            <w:rStyle w:val="Hyperlink"/>
          </w:rPr>
          <w:t xml:space="preserve">[116]</w:t>
        </w:r>
      </w:hyperlink>
      <w:r>
        <w:t xml:space="preserve"> </w:t>
      </w:r>
      <w:hyperlink r:id="rId46">
        <w:r>
          <w:rPr>
            <w:rStyle w:val="Hyperlink"/>
          </w:rPr>
          <w:t xml:space="preserve">[119]</w:t>
        </w:r>
      </w:hyperlink>
      <w:r>
        <w:t xml:space="preserve"> </w:t>
      </w:r>
      <w:r>
        <w:t xml:space="preserve">https://arxiv.org/abs/2308.08155</w:t>
      </w:r>
    </w:p>
    <w:p>
      <w:pPr>
        <w:pStyle w:val="BodyText"/>
      </w:pPr>
      <w:hyperlink r:id="rId46">
        <w:r>
          <w:rPr>
            <w:rStyle w:val="Hyperlink"/>
          </w:rPr>
          <w:t xml:space="preserve">https://arxiv.org/abs/2308.08155</w:t>
        </w:r>
      </w:hyperlink>
    </w:p>
    <w:p>
      <w:pPr>
        <w:pStyle w:val="BodyText"/>
      </w:pPr>
      <w:hyperlink r:id="rId47">
        <w:r>
          <w:rPr>
            <w:rStyle w:val="Hyperlink"/>
          </w:rPr>
          <w:t xml:space="preserve">[51]</w:t>
        </w:r>
      </w:hyperlink>
      <w:r>
        <w:t xml:space="preserve"> </w:t>
      </w:r>
      <w:hyperlink r:id="rId47">
        <w:r>
          <w:rPr>
            <w:rStyle w:val="Hyperlink"/>
          </w:rPr>
          <w:t xml:space="preserve">[117]</w:t>
        </w:r>
      </w:hyperlink>
      <w:r>
        <w:t xml:space="preserve"> </w:t>
      </w:r>
      <w:hyperlink r:id="rId47">
        <w:r>
          <w:rPr>
            <w:rStyle w:val="Hyperlink"/>
          </w:rPr>
          <w:t xml:space="preserve">[120]</w:t>
        </w:r>
      </w:hyperlink>
      <w:r>
        <w:t xml:space="preserve"> </w:t>
      </w:r>
      <w:r>
        <w:t xml:space="preserve">https://arxiv.org/abs/2502.18439</w:t>
      </w:r>
    </w:p>
    <w:p>
      <w:pPr>
        <w:pStyle w:val="BodyText"/>
      </w:pPr>
      <w:hyperlink r:id="rId47">
        <w:r>
          <w:rPr>
            <w:rStyle w:val="Hyperlink"/>
          </w:rPr>
          <w:t xml:space="preserve">https://arxiv.org/abs/2502.18439</w:t>
        </w:r>
      </w:hyperlink>
    </w:p>
    <w:p>
      <w:pPr>
        <w:pStyle w:val="BodyText"/>
      </w:pPr>
      <w:hyperlink r:id="rId48">
        <w:r>
          <w:rPr>
            <w:rStyle w:val="Hyperlink"/>
          </w:rPr>
          <w:t xml:space="preserve">[52]</w:t>
        </w:r>
      </w:hyperlink>
      <w:r>
        <w:t xml:space="preserve"> </w:t>
      </w:r>
      <w:hyperlink r:id="rId48">
        <w:r>
          <w:rPr>
            <w:rStyle w:val="Hyperlink"/>
          </w:rPr>
          <w:t xml:space="preserve">[118]</w:t>
        </w:r>
      </w:hyperlink>
      <w:r>
        <w:t xml:space="preserve"> </w:t>
      </w:r>
      <w:r>
        <w:t xml:space="preserve">Adaptive Graph Pruning for Multi-Agent Communication</w:t>
      </w:r>
    </w:p>
    <w:p>
      <w:pPr>
        <w:pStyle w:val="BodyText"/>
      </w:pPr>
      <w:hyperlink r:id="rId48">
        <w:r>
          <w:rPr>
            <w:rStyle w:val="Hyperlink"/>
          </w:rPr>
          <w:t xml:space="preserve">https://arxiv.org/abs/2506.02951?utm_source=chatgpt.com</w:t>
        </w:r>
      </w:hyperlink>
    </w:p>
    <w:p>
      <w:pPr>
        <w:pStyle w:val="BodyText"/>
      </w:pPr>
      <w:hyperlink r:id="rId49">
        <w:r>
          <w:rPr>
            <w:rStyle w:val="Hyperlink"/>
          </w:rPr>
          <w:t xml:space="preserve">[53]</w:t>
        </w:r>
      </w:hyperlink>
      <w:r>
        <w:t xml:space="preserve"> </w:t>
      </w:r>
      <w:r>
        <w:t xml:space="preserve">Leveraging Large Language Models for Effective and ...</w:t>
      </w:r>
    </w:p>
    <w:p>
      <w:pPr>
        <w:pStyle w:val="BodyText"/>
      </w:pPr>
      <w:hyperlink r:id="rId49">
        <w:r>
          <w:rPr>
            <w:rStyle w:val="Hyperlink"/>
          </w:rPr>
          <w:t xml:space="preserve">https://www.ifaamas.org/Proceedings/aamas2025/pdfs/p1501.pdf?utm_source=chatgpt.com</w:t>
        </w:r>
      </w:hyperlink>
    </w:p>
    <w:p>
      <w:pPr>
        <w:pStyle w:val="BodyText"/>
      </w:pPr>
      <w:hyperlink r:id="rId50">
        <w:r>
          <w:rPr>
            <w:rStyle w:val="Hyperlink"/>
          </w:rPr>
          <w:t xml:space="preserve">[55]</w:t>
        </w:r>
      </w:hyperlink>
      <w:r>
        <w:t xml:space="preserve"> </w:t>
      </w:r>
      <w:r>
        <w:t xml:space="preserve">https://arxiv.org/abs/2303.17760</w:t>
      </w:r>
    </w:p>
    <w:p>
      <w:pPr>
        <w:pStyle w:val="BodyText"/>
      </w:pPr>
      <w:hyperlink r:id="rId50">
        <w:r>
          <w:rPr>
            <w:rStyle w:val="Hyperlink"/>
          </w:rPr>
          <w:t xml:space="preserve">https://arxiv.org/abs/2303.17760</w:t>
        </w:r>
      </w:hyperlink>
    </w:p>
    <w:p>
      <w:pPr>
        <w:pStyle w:val="BodyText"/>
      </w:pPr>
      <w:hyperlink r:id="rId51">
        <w:r>
          <w:rPr>
            <w:rStyle w:val="Hyperlink"/>
          </w:rPr>
          <w:t xml:space="preserve">[56]</w:t>
        </w:r>
      </w:hyperlink>
      <w:r>
        <w:t xml:space="preserve"> </w:t>
      </w:r>
      <w:r>
        <w:t xml:space="preserve">https://arxiv.org/html/2508.04652v1</w:t>
      </w:r>
    </w:p>
    <w:p>
      <w:pPr>
        <w:pStyle w:val="BodyText"/>
      </w:pPr>
      <w:hyperlink r:id="rId51">
        <w:r>
          <w:rPr>
            <w:rStyle w:val="Hyperlink"/>
          </w:rPr>
          <w:t xml:space="preserve">https://arxiv.org/html/2508.04652v1</w:t>
        </w:r>
      </w:hyperlink>
    </w:p>
    <w:p>
      <w:pPr>
        <w:pStyle w:val="BodyText"/>
      </w:pPr>
      <w:hyperlink r:id="rId53">
        <w:r>
          <w:rPr>
            <w:rStyle w:val="Hyperlink"/>
          </w:rPr>
          <w:t xml:space="preserve">[60]</w:t>
        </w:r>
      </w:hyperlink>
      <w:r>
        <w:t xml:space="preserve"> </w:t>
      </w:r>
      <w:r>
        <w:t xml:space="preserve">https://arxiv.org/abs/2505.16782</w:t>
      </w:r>
    </w:p>
    <w:p>
      <w:pPr>
        <w:pStyle w:val="BodyText"/>
      </w:pPr>
      <w:hyperlink r:id="rId53">
        <w:r>
          <w:rPr>
            <w:rStyle w:val="Hyperlink"/>
          </w:rPr>
          <w:t xml:space="preserve">https://arxiv.org/abs/2505.16782</w:t>
        </w:r>
      </w:hyperlink>
    </w:p>
    <w:p>
      <w:pPr>
        <w:pStyle w:val="BodyText"/>
      </w:pPr>
      <w:hyperlink r:id="rId54">
        <w:r>
          <w:rPr>
            <w:rStyle w:val="Hyperlink"/>
          </w:rPr>
          <w:t xml:space="preserve">[61]</w:t>
        </w:r>
      </w:hyperlink>
      <w:r>
        <w:t xml:space="preserve"> </w:t>
      </w:r>
      <w:hyperlink r:id="rId54">
        <w:r>
          <w:rPr>
            <w:rStyle w:val="Hyperlink"/>
          </w:rPr>
          <w:t xml:space="preserve">[65]</w:t>
        </w:r>
      </w:hyperlink>
      <w:r>
        <w:t xml:space="preserve"> </w:t>
      </w:r>
      <w:r>
        <w:t xml:space="preserve">https://arxiv.org/abs/2601.08058</w:t>
      </w:r>
    </w:p>
    <w:p>
      <w:pPr>
        <w:pStyle w:val="BodyText"/>
      </w:pPr>
      <w:hyperlink r:id="rId54">
        <w:r>
          <w:rPr>
            <w:rStyle w:val="Hyperlink"/>
          </w:rPr>
          <w:t xml:space="preserve">https://arxiv.org/abs/2601.08058</w:t>
        </w:r>
      </w:hyperlink>
    </w:p>
    <w:p>
      <w:pPr>
        <w:pStyle w:val="BodyText"/>
      </w:pPr>
      <w:hyperlink r:id="rId55">
        <w:r>
          <w:rPr>
            <w:rStyle w:val="Hyperlink"/>
          </w:rPr>
          <w:t xml:space="preserve">[62]</w:t>
        </w:r>
      </w:hyperlink>
      <w:r>
        <w:t xml:space="preserve"> </w:t>
      </w:r>
      <w:r>
        <w:t xml:space="preserve">https://arxiv.org/abs/2511.20639</w:t>
      </w:r>
    </w:p>
    <w:p>
      <w:pPr>
        <w:pStyle w:val="BodyText"/>
      </w:pPr>
      <w:hyperlink r:id="rId55">
        <w:r>
          <w:rPr>
            <w:rStyle w:val="Hyperlink"/>
          </w:rPr>
          <w:t xml:space="preserve">https://arxiv.org/abs/2511.20639</w:t>
        </w:r>
      </w:hyperlink>
    </w:p>
    <w:p>
      <w:pPr>
        <w:pStyle w:val="BodyText"/>
      </w:pPr>
      <w:hyperlink r:id="rId56">
        <w:r>
          <w:rPr>
            <w:rStyle w:val="Hyperlink"/>
          </w:rPr>
          <w:t xml:space="preserve">[63]</w:t>
        </w:r>
      </w:hyperlink>
      <w:r>
        <w:t xml:space="preserve"> </w:t>
      </w:r>
      <w:r>
        <w:t xml:space="preserve">https://openreview.net/pdf/7dea46986504f39b3cf19004fa57e80fc5471806.pdf</w:t>
      </w:r>
    </w:p>
    <w:p>
      <w:pPr>
        <w:pStyle w:val="BodyText"/>
      </w:pPr>
      <w:hyperlink r:id="rId56">
        <w:r>
          <w:rPr>
            <w:rStyle w:val="Hyperlink"/>
          </w:rPr>
          <w:t xml:space="preserve">https://openreview.net/pdf/7dea46986504f39b3cf19004fa57e80fc5471806.pdf</w:t>
        </w:r>
      </w:hyperlink>
    </w:p>
    <w:p>
      <w:pPr>
        <w:pStyle w:val="BodyText"/>
      </w:pPr>
      <w:hyperlink r:id="rId58">
        <w:r>
          <w:rPr>
            <w:rStyle w:val="Hyperlink"/>
          </w:rPr>
          <w:t xml:space="preserve">[69]</w:t>
        </w:r>
      </w:hyperlink>
      <w:r>
        <w:t xml:space="preserve"> </w:t>
      </w:r>
      <w:r>
        <w:t xml:space="preserve">https://eur-lex.europa.eu/eli/reg/2024/1689/oj/eng</w:t>
      </w:r>
    </w:p>
    <w:p>
      <w:pPr>
        <w:pStyle w:val="BodyText"/>
      </w:pPr>
      <w:hyperlink r:id="rId58">
        <w:r>
          <w:rPr>
            <w:rStyle w:val="Hyperlink"/>
          </w:rPr>
          <w:t xml:space="preserve">https://eur-lex.europa.eu/eli/reg/2024/1689/oj/eng</w:t>
        </w:r>
      </w:hyperlink>
    </w:p>
    <w:p>
      <w:pPr>
        <w:pStyle w:val="BodyText"/>
      </w:pPr>
      <w:hyperlink r:id="rId59">
        <w:r>
          <w:rPr>
            <w:rStyle w:val="Hyperlink"/>
          </w:rPr>
          <w:t xml:space="preserve">[71]</w:t>
        </w:r>
      </w:hyperlink>
      <w:r>
        <w:t xml:space="preserve"> </w:t>
      </w:r>
      <w:hyperlink r:id="rId59">
        <w:r>
          <w:rPr>
            <w:rStyle w:val="Hyperlink"/>
          </w:rPr>
          <w:t xml:space="preserve">[73]</w:t>
        </w:r>
      </w:hyperlink>
      <w:r>
        <w:t xml:space="preserve"> </w:t>
      </w:r>
      <w:r>
        <w:t xml:space="preserve">https://arxiv.org/html/2504.19793v2</w:t>
      </w:r>
    </w:p>
    <w:p>
      <w:pPr>
        <w:pStyle w:val="BodyText"/>
      </w:pPr>
      <w:hyperlink r:id="rId59">
        <w:r>
          <w:rPr>
            <w:rStyle w:val="Hyperlink"/>
          </w:rPr>
          <w:t xml:space="preserve">https://arxiv.org/html/2504.19793v2</w:t>
        </w:r>
      </w:hyperlink>
    </w:p>
    <w:p>
      <w:pPr>
        <w:pStyle w:val="BodyText"/>
      </w:pPr>
      <w:hyperlink r:id="rId61">
        <w:r>
          <w:rPr>
            <w:rStyle w:val="Hyperlink"/>
          </w:rPr>
          <w:t xml:space="preserve">[76]</w:t>
        </w:r>
      </w:hyperlink>
      <w:r>
        <w:t xml:space="preserve"> </w:t>
      </w:r>
      <w:hyperlink r:id="rId61">
        <w:r>
          <w:rPr>
            <w:rStyle w:val="Hyperlink"/>
          </w:rPr>
          <w:t xml:space="preserve">[79]</w:t>
        </w:r>
      </w:hyperlink>
      <w:r>
        <w:t xml:space="preserve"> </w:t>
      </w:r>
      <w:r>
        <w:t xml:space="preserve">https://arxiv.org/abs/2302.04761</w:t>
      </w:r>
    </w:p>
    <w:p>
      <w:pPr>
        <w:pStyle w:val="BodyText"/>
      </w:pPr>
      <w:hyperlink r:id="rId61">
        <w:r>
          <w:rPr>
            <w:rStyle w:val="Hyperlink"/>
          </w:rPr>
          <w:t xml:space="preserve">https://arxiv.org/abs/2302.04761</w:t>
        </w:r>
      </w:hyperlink>
    </w:p>
    <w:p>
      <w:pPr>
        <w:pStyle w:val="BodyText"/>
      </w:pPr>
      <w:hyperlink r:id="rId62">
        <w:r>
          <w:rPr>
            <w:rStyle w:val="Hyperlink"/>
          </w:rPr>
          <w:t xml:space="preserve">[77]</w:t>
        </w:r>
      </w:hyperlink>
      <w:r>
        <w:t xml:space="preserve"> </w:t>
      </w:r>
      <w:hyperlink r:id="rId62">
        <w:r>
          <w:rPr>
            <w:rStyle w:val="Hyperlink"/>
          </w:rPr>
          <w:t xml:space="preserve">[80]</w:t>
        </w:r>
      </w:hyperlink>
      <w:r>
        <w:t xml:space="preserve"> </w:t>
      </w:r>
      <w:r>
        <w:t xml:space="preserve">https://arxiv.org/abs/2307.16789</w:t>
      </w:r>
    </w:p>
    <w:p>
      <w:pPr>
        <w:pStyle w:val="BodyText"/>
      </w:pPr>
      <w:hyperlink r:id="rId62">
        <w:r>
          <w:rPr>
            <w:rStyle w:val="Hyperlink"/>
          </w:rPr>
          <w:t xml:space="preserve">https://arxiv.org/abs/2307.16789</w:t>
        </w:r>
      </w:hyperlink>
    </w:p>
    <w:p>
      <w:pPr>
        <w:pStyle w:val="BodyText"/>
      </w:pPr>
      <w:hyperlink r:id="rId63">
        <w:r>
          <w:rPr>
            <w:rStyle w:val="Hyperlink"/>
          </w:rPr>
          <w:t xml:space="preserve">[78]</w:t>
        </w:r>
      </w:hyperlink>
      <w:r>
        <w:t xml:space="preserve"> </w:t>
      </w:r>
      <w:hyperlink r:id="rId63">
        <w:r>
          <w:rPr>
            <w:rStyle w:val="Hyperlink"/>
          </w:rPr>
          <w:t xml:space="preserve">[81]</w:t>
        </w:r>
      </w:hyperlink>
      <w:r>
        <w:t xml:space="preserve"> </w:t>
      </w:r>
      <w:r>
        <w:t xml:space="preserve">https://arxiv.org/abs/2307.08775</w:t>
      </w:r>
    </w:p>
    <w:p>
      <w:pPr>
        <w:pStyle w:val="BodyText"/>
      </w:pPr>
      <w:hyperlink r:id="rId63">
        <w:r>
          <w:rPr>
            <w:rStyle w:val="Hyperlink"/>
          </w:rPr>
          <w:t xml:space="preserve">https://arxiv.org/abs/2307.08775</w:t>
        </w:r>
      </w:hyperlink>
    </w:p>
    <w:p>
      <w:pPr>
        <w:pStyle w:val="BodyText"/>
      </w:pPr>
      <w:hyperlink r:id="rId64">
        <w:r>
          <w:rPr>
            <w:rStyle w:val="Hyperlink"/>
          </w:rPr>
          <w:t xml:space="preserve">[82]</w:t>
        </w:r>
      </w:hyperlink>
      <w:r>
        <w:t xml:space="preserve"> </w:t>
      </w:r>
      <w:r>
        <w:t xml:space="preserve">https://arxiv.org/abs/2406.11200</w:t>
      </w:r>
    </w:p>
    <w:p>
      <w:pPr>
        <w:pStyle w:val="BodyText"/>
      </w:pPr>
      <w:hyperlink r:id="rId64">
        <w:r>
          <w:rPr>
            <w:rStyle w:val="Hyperlink"/>
          </w:rPr>
          <w:t xml:space="preserve">https://arxiv.org/abs/2406.11200</w:t>
        </w:r>
      </w:hyperlink>
    </w:p>
    <w:p>
      <w:pPr>
        <w:pStyle w:val="BodyText"/>
      </w:pPr>
      <w:hyperlink r:id="rId66">
        <w:r>
          <w:rPr>
            <w:rStyle w:val="Hyperlink"/>
          </w:rPr>
          <w:t xml:space="preserve">[89]</w:t>
        </w:r>
      </w:hyperlink>
      <w:r>
        <w:t xml:space="preserve"> </w:t>
      </w:r>
      <w:r>
        <w:t xml:space="preserve">https://openreview.net/pdf?id=FiM0M8gcct</w:t>
      </w:r>
    </w:p>
    <w:p>
      <w:pPr>
        <w:pStyle w:val="BodyText"/>
      </w:pPr>
      <w:hyperlink r:id="rId66">
        <w:r>
          <w:rPr>
            <w:rStyle w:val="Hyperlink"/>
          </w:rPr>
          <w:t xml:space="preserve">https://openreview.net/pdf?id=FiM0M8gcct</w:t>
        </w:r>
      </w:hyperlink>
    </w:p>
    <w:p>
      <w:pPr>
        <w:pStyle w:val="BodyText"/>
      </w:pPr>
      <w:hyperlink r:id="rId68">
        <w:r>
          <w:rPr>
            <w:rStyle w:val="Hyperlink"/>
          </w:rPr>
          <w:t xml:space="preserve">[93]</w:t>
        </w:r>
      </w:hyperlink>
      <w:r>
        <w:t xml:space="preserve"> </w:t>
      </w:r>
      <w:hyperlink r:id="rId68">
        <w:r>
          <w:rPr>
            <w:rStyle w:val="Hyperlink"/>
          </w:rPr>
          <w:t xml:space="preserve">[95]</w:t>
        </w:r>
      </w:hyperlink>
      <w:r>
        <w:t xml:space="preserve"> </w:t>
      </w:r>
      <w:r>
        <w:t xml:space="preserve">https://arxiv.org/abs/2411.04872</w:t>
      </w:r>
    </w:p>
    <w:p>
      <w:pPr>
        <w:pStyle w:val="BodyText"/>
      </w:pPr>
      <w:hyperlink r:id="rId68">
        <w:r>
          <w:rPr>
            <w:rStyle w:val="Hyperlink"/>
          </w:rPr>
          <w:t xml:space="preserve">https://arxiv.org/abs/2411.04872</w:t>
        </w:r>
      </w:hyperlink>
    </w:p>
    <w:p>
      <w:pPr>
        <w:pStyle w:val="BodyText"/>
      </w:pPr>
      <w:hyperlink r:id="rId69">
        <w:r>
          <w:rPr>
            <w:rStyle w:val="Hyperlink"/>
          </w:rPr>
          <w:t xml:space="preserve">[94]</w:t>
        </w:r>
      </w:hyperlink>
      <w:r>
        <w:t xml:space="preserve"> </w:t>
      </w:r>
      <w:r>
        <w:t xml:space="preserve">https://proceedings.iclr.cc/paper_files/paper/2024/file/28e50ee5b72e90b50e7196fde8ea260e-Paper-Conference.pdf</w:t>
      </w:r>
    </w:p>
    <w:p>
      <w:pPr>
        <w:pStyle w:val="BodyText"/>
      </w:pPr>
      <w:hyperlink r:id="rId69">
        <w:r>
          <w:rPr>
            <w:rStyle w:val="Hyperlink"/>
          </w:rPr>
          <w:t xml:space="preserve">https://proceedings.iclr.cc/paper_files/paper/2024/file/28e50ee5b72e90b50e7196fde8ea260e-Paper-Conference.pdf</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clanthology.org/2024.acl-long.850/" TargetMode="External" /><Relationship Type="http://schemas.openxmlformats.org/officeDocument/2006/relationships/hyperlink" Id="rId27" Target="https://aclanthology.org/2024.findings-acl.624.pdf" TargetMode="External" /><Relationship Type="http://schemas.openxmlformats.org/officeDocument/2006/relationships/hyperlink" Id="rId21" Target="https://ar5iv.org/pdf/2601.12538" TargetMode="External" /><Relationship Type="http://schemas.openxmlformats.org/officeDocument/2006/relationships/hyperlink" Id="rId38" Target="https://arxiv.org/abs/2210.03629" TargetMode="External" /><Relationship Type="http://schemas.openxmlformats.org/officeDocument/2006/relationships/hyperlink" Id="rId41" Target="https://arxiv.org/abs/2301.04104" TargetMode="External" /><Relationship Type="http://schemas.openxmlformats.org/officeDocument/2006/relationships/hyperlink" Id="rId61" Target="https://arxiv.org/abs/2302.04761" TargetMode="External" /><Relationship Type="http://schemas.openxmlformats.org/officeDocument/2006/relationships/hyperlink" Id="rId50" Target="https://arxiv.org/abs/2303.17760" TargetMode="External" /><Relationship Type="http://schemas.openxmlformats.org/officeDocument/2006/relationships/hyperlink" Id="rId63" Target="https://arxiv.org/abs/2307.08775" TargetMode="External" /><Relationship Type="http://schemas.openxmlformats.org/officeDocument/2006/relationships/hyperlink" Id="rId62" Target="https://arxiv.org/abs/2307.16789" TargetMode="External" /><Relationship Type="http://schemas.openxmlformats.org/officeDocument/2006/relationships/hyperlink" Id="rId46" Target="https://arxiv.org/abs/2308.08155" TargetMode="External" /><Relationship Type="http://schemas.openxmlformats.org/officeDocument/2006/relationships/hyperlink" Id="rId29" Target="https://arxiv.org/abs/2310.08560" TargetMode="External" /><Relationship Type="http://schemas.openxmlformats.org/officeDocument/2006/relationships/hyperlink" Id="rId42" Target="https://arxiv.org/abs/2402.12275" TargetMode="External" /><Relationship Type="http://schemas.openxmlformats.org/officeDocument/2006/relationships/hyperlink" Id="rId64" Target="https://arxiv.org/abs/2406.11200" TargetMode="External" /><Relationship Type="http://schemas.openxmlformats.org/officeDocument/2006/relationships/hyperlink" Id="rId39" Target="https://arxiv.org/abs/2410.13232" TargetMode="External" /><Relationship Type="http://schemas.openxmlformats.org/officeDocument/2006/relationships/hyperlink" Id="rId68" Target="https://arxiv.org/abs/2411.04872" TargetMode="External" /><Relationship Type="http://schemas.openxmlformats.org/officeDocument/2006/relationships/hyperlink" Id="rId22" Target="https://arxiv.org/abs/2502.01600" TargetMode="External" /><Relationship Type="http://schemas.openxmlformats.org/officeDocument/2006/relationships/hyperlink" Id="rId47" Target="https://arxiv.org/abs/2502.18439" TargetMode="External" /><Relationship Type="http://schemas.openxmlformats.org/officeDocument/2006/relationships/hyperlink" Id="rId43" Target="https://arxiv.org/abs/2504.21024" TargetMode="External" /><Relationship Type="http://schemas.openxmlformats.org/officeDocument/2006/relationships/hyperlink" Id="rId36" Target="https://arxiv.org/abs/2505.11821" TargetMode="External" /><Relationship Type="http://schemas.openxmlformats.org/officeDocument/2006/relationships/hyperlink" Id="rId35" Target="https://arxiv.org/abs/2505.16421" TargetMode="External" /><Relationship Type="http://schemas.openxmlformats.org/officeDocument/2006/relationships/hyperlink" Id="rId53" Target="https://arxiv.org/abs/2505.16782" TargetMode="External" /><Relationship Type="http://schemas.openxmlformats.org/officeDocument/2006/relationships/hyperlink" Id="rId48" Target="https://arxiv.org/abs/2506.02951?utm_source=chatgpt.com" TargetMode="External" /><Relationship Type="http://schemas.openxmlformats.org/officeDocument/2006/relationships/hyperlink" Id="rId31" Target="https://arxiv.org/abs/2509.19736" TargetMode="External" /><Relationship Type="http://schemas.openxmlformats.org/officeDocument/2006/relationships/hyperlink" Id="rId32" Target="https://arxiv.org/abs/2510.07925" TargetMode="External" /><Relationship Type="http://schemas.openxmlformats.org/officeDocument/2006/relationships/hyperlink" Id="rId55" Target="https://arxiv.org/abs/2511.20639" TargetMode="External" /><Relationship Type="http://schemas.openxmlformats.org/officeDocument/2006/relationships/hyperlink" Id="rId54" Target="https://arxiv.org/abs/2601.08058" TargetMode="External" /><Relationship Type="http://schemas.openxmlformats.org/officeDocument/2006/relationships/hyperlink" Id="rId59" Target="https://arxiv.org/html/2504.19793v2" TargetMode="External" /><Relationship Type="http://schemas.openxmlformats.org/officeDocument/2006/relationships/hyperlink" Id="rId51" Target="https://arxiv.org/html/2508.04652v1" TargetMode="External" /><Relationship Type="http://schemas.openxmlformats.org/officeDocument/2006/relationships/hyperlink" Id="rId44" Target="https://arxiv.org/pdf/2405.15383" TargetMode="External" /><Relationship Type="http://schemas.openxmlformats.org/officeDocument/2006/relationships/hyperlink" Id="rId58" Target="https://eur-lex.europa.eu/eli/reg/2024/1689/oj/eng" TargetMode="External" /><Relationship Type="http://schemas.openxmlformats.org/officeDocument/2006/relationships/hyperlink" Id="rId33" Target="https://nvlpubs.nist.gov/nistpubs/ai/nist.ai.100-1.pdf" TargetMode="External" /><Relationship Type="http://schemas.openxmlformats.org/officeDocument/2006/relationships/hyperlink" Id="rId56" Target="https://openreview.net/pdf/7dea46986504f39b3cf19004fa57e80fc5471806.pdf" TargetMode="External" /><Relationship Type="http://schemas.openxmlformats.org/officeDocument/2006/relationships/hyperlink" Id="rId66" Target="https://openreview.net/pdf?id=FiM0M8gcct" TargetMode="External" /><Relationship Type="http://schemas.openxmlformats.org/officeDocument/2006/relationships/hyperlink" Id="rId69" Target="https://proceedings.iclr.cc/paper_files/paper/2024/file/28e50ee5b72e90b50e7196fde8ea260e-Paper-Conference.pdf" TargetMode="External" /><Relationship Type="http://schemas.openxmlformats.org/officeDocument/2006/relationships/hyperlink" Id="rId30" Target="https://proceedings.iclr.cc/paper_files/paper/2025/file/a730abbcd6cf4a371ca9545db5922442-Paper-Conference.pdf" TargetMode="External" /><Relationship Type="http://schemas.openxmlformats.org/officeDocument/2006/relationships/hyperlink" Id="rId49" Target="https://www.ifaamas.org/Proceedings/aamas2025/pdfs/p1501.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7" Target="https://aclanthology.org/2024.acl-long.850/" TargetMode="External" /><Relationship Type="http://schemas.openxmlformats.org/officeDocument/2006/relationships/hyperlink" Id="rId27" Target="https://aclanthology.org/2024.findings-acl.624.pdf" TargetMode="External" /><Relationship Type="http://schemas.openxmlformats.org/officeDocument/2006/relationships/hyperlink" Id="rId21" Target="https://ar5iv.org/pdf/2601.12538" TargetMode="External" /><Relationship Type="http://schemas.openxmlformats.org/officeDocument/2006/relationships/hyperlink" Id="rId38" Target="https://arxiv.org/abs/2210.03629" TargetMode="External" /><Relationship Type="http://schemas.openxmlformats.org/officeDocument/2006/relationships/hyperlink" Id="rId41" Target="https://arxiv.org/abs/2301.04104" TargetMode="External" /><Relationship Type="http://schemas.openxmlformats.org/officeDocument/2006/relationships/hyperlink" Id="rId61" Target="https://arxiv.org/abs/2302.04761" TargetMode="External" /><Relationship Type="http://schemas.openxmlformats.org/officeDocument/2006/relationships/hyperlink" Id="rId50" Target="https://arxiv.org/abs/2303.17760" TargetMode="External" /><Relationship Type="http://schemas.openxmlformats.org/officeDocument/2006/relationships/hyperlink" Id="rId63" Target="https://arxiv.org/abs/2307.08775" TargetMode="External" /><Relationship Type="http://schemas.openxmlformats.org/officeDocument/2006/relationships/hyperlink" Id="rId62" Target="https://arxiv.org/abs/2307.16789" TargetMode="External" /><Relationship Type="http://schemas.openxmlformats.org/officeDocument/2006/relationships/hyperlink" Id="rId46" Target="https://arxiv.org/abs/2308.08155" TargetMode="External" /><Relationship Type="http://schemas.openxmlformats.org/officeDocument/2006/relationships/hyperlink" Id="rId29" Target="https://arxiv.org/abs/2310.08560" TargetMode="External" /><Relationship Type="http://schemas.openxmlformats.org/officeDocument/2006/relationships/hyperlink" Id="rId42" Target="https://arxiv.org/abs/2402.12275" TargetMode="External" /><Relationship Type="http://schemas.openxmlformats.org/officeDocument/2006/relationships/hyperlink" Id="rId64" Target="https://arxiv.org/abs/2406.11200" TargetMode="External" /><Relationship Type="http://schemas.openxmlformats.org/officeDocument/2006/relationships/hyperlink" Id="rId39" Target="https://arxiv.org/abs/2410.13232" TargetMode="External" /><Relationship Type="http://schemas.openxmlformats.org/officeDocument/2006/relationships/hyperlink" Id="rId68" Target="https://arxiv.org/abs/2411.04872" TargetMode="External" /><Relationship Type="http://schemas.openxmlformats.org/officeDocument/2006/relationships/hyperlink" Id="rId22" Target="https://arxiv.org/abs/2502.01600" TargetMode="External" /><Relationship Type="http://schemas.openxmlformats.org/officeDocument/2006/relationships/hyperlink" Id="rId47" Target="https://arxiv.org/abs/2502.18439" TargetMode="External" /><Relationship Type="http://schemas.openxmlformats.org/officeDocument/2006/relationships/hyperlink" Id="rId43" Target="https://arxiv.org/abs/2504.21024" TargetMode="External" /><Relationship Type="http://schemas.openxmlformats.org/officeDocument/2006/relationships/hyperlink" Id="rId36" Target="https://arxiv.org/abs/2505.11821" TargetMode="External" /><Relationship Type="http://schemas.openxmlformats.org/officeDocument/2006/relationships/hyperlink" Id="rId35" Target="https://arxiv.org/abs/2505.16421" TargetMode="External" /><Relationship Type="http://schemas.openxmlformats.org/officeDocument/2006/relationships/hyperlink" Id="rId53" Target="https://arxiv.org/abs/2505.16782" TargetMode="External" /><Relationship Type="http://schemas.openxmlformats.org/officeDocument/2006/relationships/hyperlink" Id="rId48" Target="https://arxiv.org/abs/2506.02951?utm_source=chatgpt.com" TargetMode="External" /><Relationship Type="http://schemas.openxmlformats.org/officeDocument/2006/relationships/hyperlink" Id="rId31" Target="https://arxiv.org/abs/2509.19736" TargetMode="External" /><Relationship Type="http://schemas.openxmlformats.org/officeDocument/2006/relationships/hyperlink" Id="rId32" Target="https://arxiv.org/abs/2510.07925" TargetMode="External" /><Relationship Type="http://schemas.openxmlformats.org/officeDocument/2006/relationships/hyperlink" Id="rId55" Target="https://arxiv.org/abs/2511.20639" TargetMode="External" /><Relationship Type="http://schemas.openxmlformats.org/officeDocument/2006/relationships/hyperlink" Id="rId54" Target="https://arxiv.org/abs/2601.08058" TargetMode="External" /><Relationship Type="http://schemas.openxmlformats.org/officeDocument/2006/relationships/hyperlink" Id="rId59" Target="https://arxiv.org/html/2504.19793v2" TargetMode="External" /><Relationship Type="http://schemas.openxmlformats.org/officeDocument/2006/relationships/hyperlink" Id="rId51" Target="https://arxiv.org/html/2508.04652v1" TargetMode="External" /><Relationship Type="http://schemas.openxmlformats.org/officeDocument/2006/relationships/hyperlink" Id="rId44" Target="https://arxiv.org/pdf/2405.15383" TargetMode="External" /><Relationship Type="http://schemas.openxmlformats.org/officeDocument/2006/relationships/hyperlink" Id="rId58" Target="https://eur-lex.europa.eu/eli/reg/2024/1689/oj/eng" TargetMode="External" /><Relationship Type="http://schemas.openxmlformats.org/officeDocument/2006/relationships/hyperlink" Id="rId33" Target="https://nvlpubs.nist.gov/nistpubs/ai/nist.ai.100-1.pdf" TargetMode="External" /><Relationship Type="http://schemas.openxmlformats.org/officeDocument/2006/relationships/hyperlink" Id="rId56" Target="https://openreview.net/pdf/7dea46986504f39b3cf19004fa57e80fc5471806.pdf" TargetMode="External" /><Relationship Type="http://schemas.openxmlformats.org/officeDocument/2006/relationships/hyperlink" Id="rId66" Target="https://openreview.net/pdf?id=FiM0M8gcct" TargetMode="External" /><Relationship Type="http://schemas.openxmlformats.org/officeDocument/2006/relationships/hyperlink" Id="rId69" Target="https://proceedings.iclr.cc/paper_files/paper/2024/file/28e50ee5b72e90b50e7196fde8ea260e-Paper-Conference.pdf" TargetMode="External" /><Relationship Type="http://schemas.openxmlformats.org/officeDocument/2006/relationships/hyperlink" Id="rId30" Target="https://proceedings.iclr.cc/paper_files/paper/2025/file/a730abbcd6cf4a371ca9545db5922442-Paper-Conference.pdf" TargetMode="External" /><Relationship Type="http://schemas.openxmlformats.org/officeDocument/2006/relationships/hyperlink" Id="rId49" Target="https://www.ifaamas.org/Proceedings/aamas2025/pdfs/p1501.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2026-02-21T07:33:16Z</dcterms:created>
  <dcterms:modified xsi:type="dcterms:W3CDTF">2026-02-21T07:33:16Z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