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163E73"/>
          <w:sz w:val="44"/>
        </w:rPr>
        <w:t>ProstaCare Demo: Current Nudge Logic</w:t>
      </w:r>
    </w:p>
    <w:p>
      <w:pPr>
        <w:spacing w:after="200"/>
        <w:jc w:val="left"/>
      </w:pPr>
      <w:r>
        <w:rPr>
          <w:rFonts w:ascii="Calibri" w:hAnsi="Calibri"/>
          <w:color w:val="4F7293"/>
          <w:sz w:val="22"/>
        </w:rPr>
        <w:t>Technical handoff note for the patient-file nudge engine and current demo behavior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vAlign w:val="center"/>
            <w:shd w:fill="FFFFFF"/>
          </w:tcPr>
          <w:p>
            <w:pPr>
              <w:spacing w:after="0" w:before="0"/>
            </w:pPr>
            <w:r>
              <w:rPr>
                <w:b/>
              </w:rPr>
              <w:t>Engine type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after="0" w:before="0"/>
            </w:pPr>
            <w:r>
              <w:t>Deterministic, rule-based nudge engine driven by structured patient fields. No AI or free-text reasoning is used in the current demo.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 w:before="0"/>
            </w:pPr>
            <w:r>
              <w:rPr>
                <w:b/>
              </w:rPr>
              <w:t>Important caveat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after="0" w:before="0"/>
            </w:pPr>
            <w:r>
              <w:t>Patient-file nudges are computed live from form values. Home-page and dashboard nudge trends are still static demo arrays, not true rollups of patient state.</w:t>
            </w:r>
          </w:p>
        </w:tc>
      </w:tr>
    </w:tbl>
    <w:p/>
    <w:p>
      <w:pPr>
        <w:pStyle w:val="Heading1"/>
      </w:pPr>
      <w:r>
        <w:t>1. Scope</w:t>
      </w:r>
    </w:p>
    <w:p>
      <w:pPr>
        <w:spacing w:after="120"/>
      </w:pPr>
      <w:r>
        <w:t>This document describes the logic currently implemented in the patient-file nudge engine in `patient-file.html`.</w:t>
      </w:r>
    </w:p>
    <w:p>
      <w:pPr>
        <w:spacing w:after="120"/>
      </w:pPr>
      <w:r>
        <w:t>The core rule evaluation happens in `computeNudges()`. Structured values are read through `gv(id)`, converted into a `latestNudges` array, and then rendered into the patient “Nudges &amp; Alerts” panel.</w:t>
      </w:r>
    </w:p>
    <w:p>
      <w:pPr>
        <w:spacing w:after="120"/>
      </w:pPr>
      <w:r>
        <w:t>The current implementation supports three severity tiers: `urgent`, `warning`, and `info`.</w:t>
      </w:r>
    </w:p>
    <w:p>
      <w:pPr>
        <w:pStyle w:val="Heading1"/>
      </w:pPr>
      <w:r>
        <w:t>2. Inputs Read by the Rule Engine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4464"/>
      </w:tblGrid>
      <w:tr>
        <w:tc>
          <w:tcPr>
            <w:tcW w:type="dxa" w:w="1800"/>
            <w:shd w:fill="EAF4FF"/>
          </w:tcPr>
          <w:p>
            <w:r>
              <w:rPr>
                <w:b/>
              </w:rPr>
              <w:t>Field ID</w:t>
            </w:r>
          </w:p>
        </w:tc>
        <w:tc>
          <w:tcPr>
            <w:tcW w:type="dxa" w:w="3096"/>
            <w:shd w:fill="EAF4FF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464"/>
            <w:shd w:fill="EAF4FF"/>
          </w:tcPr>
          <w:p>
            <w:r>
              <w:rPr>
                <w:b/>
              </w:rPr>
              <w:t>Current use in rules</w:t>
            </w:r>
          </w:p>
        </w:tc>
      </w:tr>
      <w:tr>
        <w:tc>
          <w:tcPr>
            <w:tcW w:type="dxa" w:w="1800"/>
            <w:vAlign w:val="center"/>
          </w:tcPr>
          <w:p>
            <w:r>
              <w:t>risk-s</w:t>
            </w:r>
          </w:p>
        </w:tc>
        <w:tc>
          <w:tcPr>
            <w:tcW w:type="dxa" w:w="3096"/>
            <w:vAlign w:val="center"/>
          </w:tcPr>
          <w:p>
            <w:r>
              <w:t>Risk category</w:t>
            </w:r>
          </w:p>
        </w:tc>
        <w:tc>
          <w:tcPr>
            <w:tcW w:type="dxa" w:w="4464"/>
            <w:vAlign w:val="center"/>
          </w:tcPr>
          <w:p>
            <w:r>
              <w:t>Used to gate high-risk imaging and ARSI rules</w:t>
            </w:r>
          </w:p>
        </w:tc>
      </w:tr>
      <w:tr>
        <w:tc>
          <w:tcPr>
            <w:tcW w:type="dxa" w:w="1800"/>
            <w:vAlign w:val="center"/>
          </w:tcPr>
          <w:p>
            <w:r>
              <w:t>bone-s</w:t>
            </w:r>
          </w:p>
        </w:tc>
        <w:tc>
          <w:tcPr>
            <w:tcW w:type="dxa" w:w="3096"/>
            <w:vAlign w:val="center"/>
          </w:tcPr>
          <w:p>
            <w:r>
              <w:t>Bone scan / SPECT status</w:t>
            </w:r>
          </w:p>
        </w:tc>
        <w:tc>
          <w:tcPr>
            <w:tcW w:type="dxa" w:w="4464"/>
            <w:vAlign w:val="center"/>
          </w:tcPr>
          <w:p>
            <w:r>
              <w:t>Triggers staging nudge if not done</w:t>
            </w:r>
          </w:p>
        </w:tc>
      </w:tr>
      <w:tr>
        <w:tc>
          <w:tcPr>
            <w:tcW w:type="dxa" w:w="1800"/>
            <w:vAlign w:val="center"/>
          </w:tcPr>
          <w:p>
            <w:r>
              <w:t>psma-s</w:t>
            </w:r>
          </w:p>
        </w:tc>
        <w:tc>
          <w:tcPr>
            <w:tcW w:type="dxa" w:w="3096"/>
            <w:vAlign w:val="center"/>
          </w:tcPr>
          <w:p>
            <w:r>
              <w:t>PSMA PET-CT status</w:t>
            </w:r>
          </w:p>
        </w:tc>
        <w:tc>
          <w:tcPr>
            <w:tcW w:type="dxa" w:w="4464"/>
            <w:vAlign w:val="center"/>
          </w:tcPr>
          <w:p>
            <w:r>
              <w:t>Triggers high-risk staging nudge if not done</w:t>
            </w:r>
          </w:p>
        </w:tc>
      </w:tr>
      <w:tr>
        <w:tc>
          <w:tcPr>
            <w:tcW w:type="dxa" w:w="1800"/>
            <w:vAlign w:val="center"/>
          </w:tcPr>
          <w:p>
            <w:r>
              <w:t>bp-s</w:t>
            </w:r>
          </w:p>
        </w:tc>
        <w:tc>
          <w:tcPr>
            <w:tcW w:type="dxa" w:w="3096"/>
            <w:vAlign w:val="center"/>
          </w:tcPr>
          <w:p>
            <w:r>
              <w:t>Bone protection status</w:t>
            </w:r>
          </w:p>
        </w:tc>
        <w:tc>
          <w:tcPr>
            <w:tcW w:type="dxa" w:w="4464"/>
            <w:vAlign w:val="center"/>
          </w:tcPr>
          <w:p>
            <w:r>
              <w:t>Triggers bone-protection action nudge if not started</w:t>
            </w:r>
          </w:p>
        </w:tc>
      </w:tr>
      <w:tr>
        <w:tc>
          <w:tcPr>
            <w:tcW w:type="dxa" w:w="1800"/>
            <w:vAlign w:val="center"/>
          </w:tcPr>
          <w:p>
            <w:r>
              <w:t>dexa-s</w:t>
            </w:r>
          </w:p>
        </w:tc>
        <w:tc>
          <w:tcPr>
            <w:tcW w:type="dxa" w:w="3096"/>
            <w:vAlign w:val="center"/>
          </w:tcPr>
          <w:p>
            <w:r>
              <w:t>DEXA status</w:t>
            </w:r>
          </w:p>
        </w:tc>
        <w:tc>
          <w:tcPr>
            <w:tcW w:type="dxa" w:w="4464"/>
            <w:vAlign w:val="center"/>
          </w:tcPr>
          <w:p>
            <w:r>
              <w:t>Triggers bone-health recommendation nudge if not done</w:t>
            </w:r>
          </w:p>
        </w:tc>
      </w:tr>
      <w:tr>
        <w:tc>
          <w:tcPr>
            <w:tcW w:type="dxa" w:w="1800"/>
            <w:vAlign w:val="center"/>
          </w:tcPr>
          <w:p>
            <w:r>
              <w:t>gen-s</w:t>
            </w:r>
          </w:p>
        </w:tc>
        <w:tc>
          <w:tcPr>
            <w:tcW w:type="dxa" w:w="3096"/>
            <w:vAlign w:val="center"/>
          </w:tcPr>
          <w:p>
            <w:r>
              <w:t>Genomic testing status</w:t>
            </w:r>
          </w:p>
        </w:tc>
        <w:tc>
          <w:tcPr>
            <w:tcW w:type="dxa" w:w="4464"/>
            <w:vAlign w:val="center"/>
          </w:tcPr>
          <w:p>
            <w:r>
              <w:t>Triggers BRCA / molecular testing recommendation nudge if not done</w:t>
            </w:r>
          </w:p>
        </w:tc>
      </w:tr>
      <w:tr>
        <w:tc>
          <w:tcPr>
            <w:tcW w:type="dxa" w:w="1800"/>
            <w:vAlign w:val="center"/>
          </w:tcPr>
          <w:p>
            <w:r>
              <w:t>cast-s</w:t>
            </w:r>
          </w:p>
        </w:tc>
        <w:tc>
          <w:tcPr>
            <w:tcW w:type="dxa" w:w="3096"/>
            <w:vAlign w:val="center"/>
          </w:tcPr>
          <w:p>
            <w:r>
              <w:t>Castration status</w:t>
            </w:r>
          </w:p>
        </w:tc>
        <w:tc>
          <w:tcPr>
            <w:tcW w:type="dxa" w:w="4464"/>
            <w:vAlign w:val="center"/>
          </w:tcPr>
          <w:p>
            <w:r>
              <w:t>Used with risk and ARSI to flag intensification eligibility</w:t>
            </w:r>
          </w:p>
        </w:tc>
      </w:tr>
      <w:tr>
        <w:tc>
          <w:tcPr>
            <w:tcW w:type="dxa" w:w="1800"/>
            <w:vAlign w:val="center"/>
          </w:tcPr>
          <w:p>
            <w:r>
              <w:t>arsi-s</w:t>
            </w:r>
          </w:p>
        </w:tc>
        <w:tc>
          <w:tcPr>
            <w:tcW w:type="dxa" w:w="3096"/>
            <w:vAlign w:val="center"/>
          </w:tcPr>
          <w:p>
            <w:r>
              <w:t>ARSI initiation status</w:t>
            </w:r>
          </w:p>
        </w:tc>
        <w:tc>
          <w:tcPr>
            <w:tcW w:type="dxa" w:w="4464"/>
            <w:vAlign w:val="center"/>
          </w:tcPr>
          <w:p>
            <w:r>
              <w:t>Used to determine whether intensification remains open</w:t>
            </w:r>
          </w:p>
        </w:tc>
      </w:tr>
      <w:tr>
        <w:tc>
          <w:tcPr>
            <w:tcW w:type="dxa" w:w="1800"/>
            <w:vAlign w:val="center"/>
          </w:tcPr>
          <w:p>
            <w:r>
              <w:t>fup-d</w:t>
            </w:r>
          </w:p>
        </w:tc>
        <w:tc>
          <w:tcPr>
            <w:tcW w:type="dxa" w:w="3096"/>
            <w:vAlign w:val="center"/>
          </w:tcPr>
          <w:p>
            <w:r>
              <w:t>Follow-up date</w:t>
            </w:r>
          </w:p>
        </w:tc>
        <w:tc>
          <w:tcPr>
            <w:tcW w:type="dxa" w:w="4464"/>
            <w:vAlign w:val="center"/>
          </w:tcPr>
          <w:p>
            <w:r>
              <w:t>If missing, triggers follow-up reminder</w:t>
            </w:r>
          </w:p>
        </w:tc>
      </w:tr>
    </w:tbl>
    <w:p/>
    <w:p>
      <w:pPr>
        <w:pStyle w:val="Heading1"/>
      </w:pPr>
      <w:r>
        <w:t>3. Active Nudge Rules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96"/>
        <w:gridCol w:w="3816"/>
        <w:gridCol w:w="1296"/>
        <w:gridCol w:w="1152"/>
      </w:tblGrid>
      <w:tr>
        <w:tc>
          <w:tcPr>
            <w:tcW w:type="dxa" w:w="3096"/>
            <w:shd w:fill="EAF4FF"/>
          </w:tcPr>
          <w:p>
            <w:r>
              <w:rPr>
                <w:b/>
              </w:rPr>
              <w:t>Nudge</w:t>
            </w:r>
          </w:p>
        </w:tc>
        <w:tc>
          <w:tcPr>
            <w:tcW w:type="dxa" w:w="3816"/>
            <w:shd w:fill="EAF4FF"/>
          </w:tcPr>
          <w:p>
            <w:r>
              <w:rPr>
                <w:b/>
              </w:rPr>
              <w:t>Trigger condition</w:t>
            </w:r>
          </w:p>
        </w:tc>
        <w:tc>
          <w:tcPr>
            <w:tcW w:type="dxa" w:w="1296"/>
            <w:shd w:fill="EAF4FF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152"/>
            <w:shd w:fill="EAF4FF"/>
          </w:tcPr>
          <w:p>
            <w:r>
              <w:rPr>
                <w:b/>
              </w:rPr>
              <w:t>Tag</w:t>
            </w:r>
          </w:p>
        </w:tc>
      </w:tr>
      <w:tr>
        <w:tc>
          <w:tcPr>
            <w:tcW w:type="dxa" w:w="3096"/>
            <w:vAlign w:val="center"/>
          </w:tcPr>
          <w:p>
            <w:r>
              <w:t>Bone scan / SPECT not performed</w:t>
            </w:r>
          </w:p>
        </w:tc>
        <w:tc>
          <w:tcPr>
            <w:tcW w:type="dxa" w:w="3816"/>
            <w:vAlign w:val="center"/>
          </w:tcPr>
          <w:p>
            <w:r>
              <w:t>`bone == "Not done"` and risk contains `High`, `Very`, or `M1`</w:t>
            </w:r>
          </w:p>
        </w:tc>
        <w:tc>
          <w:tcPr>
            <w:tcW w:type="dxa" w:w="1296"/>
            <w:vAlign w:val="center"/>
          </w:tcPr>
          <w:p>
            <w:r>
              <w:t>urgent</w:t>
            </w:r>
          </w:p>
        </w:tc>
        <w:tc>
          <w:tcPr>
            <w:tcW w:type="dxa" w:w="1152"/>
            <w:vAlign w:val="center"/>
          </w:tcPr>
          <w:p>
            <w:r>
              <w:t>Action required</w:t>
            </w:r>
          </w:p>
        </w:tc>
      </w:tr>
      <w:tr>
        <w:tc>
          <w:tcPr>
            <w:tcW w:type="dxa" w:w="3096"/>
            <w:vAlign w:val="center"/>
          </w:tcPr>
          <w:p>
            <w:r>
              <w:t>PSMA PET-CT not done — staging incomplete</w:t>
            </w:r>
          </w:p>
        </w:tc>
        <w:tc>
          <w:tcPr>
            <w:tcW w:type="dxa" w:w="3816"/>
            <w:vAlign w:val="center"/>
          </w:tcPr>
          <w:p>
            <w:r>
              <w:t>`psma == "Not done"` and risk contains `High` or `Very`</w:t>
            </w:r>
          </w:p>
        </w:tc>
        <w:tc>
          <w:tcPr>
            <w:tcW w:type="dxa" w:w="1296"/>
            <w:vAlign w:val="center"/>
          </w:tcPr>
          <w:p>
            <w:r>
              <w:t>urgent</w:t>
            </w:r>
          </w:p>
        </w:tc>
        <w:tc>
          <w:tcPr>
            <w:tcW w:type="dxa" w:w="1152"/>
            <w:vAlign w:val="center"/>
          </w:tcPr>
          <w:p>
            <w:r>
              <w:t>Action required</w:t>
            </w:r>
          </w:p>
        </w:tc>
      </w:tr>
      <w:tr>
        <w:tc>
          <w:tcPr>
            <w:tcW w:type="dxa" w:w="3096"/>
            <w:vAlign w:val="center"/>
          </w:tcPr>
          <w:p>
            <w:r>
              <w:t>Bone protection therapy not initiated — ADT 4+ months</w:t>
            </w:r>
          </w:p>
        </w:tc>
        <w:tc>
          <w:tcPr>
            <w:tcW w:type="dxa" w:w="3816"/>
            <w:vAlign w:val="center"/>
          </w:tcPr>
          <w:p>
            <w:r>
              <w:t>`boneProtection == "Not started"`</w:t>
            </w:r>
          </w:p>
        </w:tc>
        <w:tc>
          <w:tcPr>
            <w:tcW w:type="dxa" w:w="1296"/>
            <w:vAlign w:val="center"/>
          </w:tcPr>
          <w:p>
            <w:r>
              <w:t>urgent</w:t>
            </w:r>
          </w:p>
        </w:tc>
        <w:tc>
          <w:tcPr>
            <w:tcW w:type="dxa" w:w="1152"/>
            <w:vAlign w:val="center"/>
          </w:tcPr>
          <w:p>
            <w:r>
              <w:t>Action required</w:t>
            </w:r>
          </w:p>
        </w:tc>
      </w:tr>
      <w:tr>
        <w:tc>
          <w:tcPr>
            <w:tcW w:type="dxa" w:w="3096"/>
            <w:vAlign w:val="center"/>
          </w:tcPr>
          <w:p>
            <w:r>
              <w:t>DEXA scan not performed</w:t>
            </w:r>
          </w:p>
        </w:tc>
        <w:tc>
          <w:tcPr>
            <w:tcW w:type="dxa" w:w="3816"/>
            <w:vAlign w:val="center"/>
          </w:tcPr>
          <w:p>
            <w:r>
              <w:t>`dexa == "Not done"`</w:t>
            </w:r>
          </w:p>
        </w:tc>
        <w:tc>
          <w:tcPr>
            <w:tcW w:type="dxa" w:w="1296"/>
            <w:vAlign w:val="center"/>
          </w:tcPr>
          <w:p>
            <w:r>
              <w:t>warning</w:t>
            </w:r>
          </w:p>
        </w:tc>
        <w:tc>
          <w:tcPr>
            <w:tcW w:type="dxa" w:w="1152"/>
            <w:vAlign w:val="center"/>
          </w:tcPr>
          <w:p>
            <w:r>
              <w:t>Recommendation</w:t>
            </w:r>
          </w:p>
        </w:tc>
      </w:tr>
      <w:tr>
        <w:tc>
          <w:tcPr>
            <w:tcW w:type="dxa" w:w="3096"/>
            <w:vAlign w:val="center"/>
          </w:tcPr>
          <w:p>
            <w:r>
              <w:t>Germline / somatic genomic testing not ordered</w:t>
            </w:r>
          </w:p>
        </w:tc>
        <w:tc>
          <w:tcPr>
            <w:tcW w:type="dxa" w:w="3816"/>
            <w:vAlign w:val="center"/>
          </w:tcPr>
          <w:p>
            <w:r>
              <w:t>`genetics == "Not done"`</w:t>
            </w:r>
          </w:p>
        </w:tc>
        <w:tc>
          <w:tcPr>
            <w:tcW w:type="dxa" w:w="1296"/>
            <w:vAlign w:val="center"/>
          </w:tcPr>
          <w:p>
            <w:r>
              <w:t>warning</w:t>
            </w:r>
          </w:p>
        </w:tc>
        <w:tc>
          <w:tcPr>
            <w:tcW w:type="dxa" w:w="1152"/>
            <w:vAlign w:val="center"/>
          </w:tcPr>
          <w:p>
            <w:r>
              <w:t>Recommendation</w:t>
            </w:r>
          </w:p>
        </w:tc>
      </w:tr>
      <w:tr>
        <w:tc>
          <w:tcPr>
            <w:tcW w:type="dxa" w:w="3096"/>
            <w:vAlign w:val="center"/>
          </w:tcPr>
          <w:p>
            <w:r>
              <w:t>Consider ARSI intensification (ADT + ARSI)</w:t>
            </w:r>
          </w:p>
        </w:tc>
        <w:tc>
          <w:tcPr>
            <w:tcW w:type="dxa" w:w="3816"/>
            <w:vAlign w:val="center"/>
          </w:tcPr>
          <w:p>
            <w:r>
              <w:t>`castrationStatus == "Hormone-sensitive (HSPC)"` and risk contains `High` and `arsi == "Not initiated"`</w:t>
            </w:r>
          </w:p>
        </w:tc>
        <w:tc>
          <w:tcPr>
            <w:tcW w:type="dxa" w:w="1296"/>
            <w:vAlign w:val="center"/>
          </w:tcPr>
          <w:p>
            <w:r>
              <w:t>warning</w:t>
            </w:r>
          </w:p>
        </w:tc>
        <w:tc>
          <w:tcPr>
            <w:tcW w:type="dxa" w:w="1152"/>
            <w:vAlign w:val="center"/>
          </w:tcPr>
          <w:p>
            <w:r>
              <w:t>Recommendation</w:t>
            </w:r>
          </w:p>
        </w:tc>
      </w:tr>
      <w:tr>
        <w:tc>
          <w:tcPr>
            <w:tcW w:type="dxa" w:w="3096"/>
            <w:vAlign w:val="center"/>
          </w:tcPr>
          <w:p>
            <w:r>
              <w:t>Next follow-up PSA visit not scheduled</w:t>
            </w:r>
          </w:p>
        </w:tc>
        <w:tc>
          <w:tcPr>
            <w:tcW w:type="dxa" w:w="3816"/>
            <w:vAlign w:val="center"/>
          </w:tcPr>
          <w:p>
            <w:r>
              <w:t>`followUpDate` is blank</w:t>
            </w:r>
          </w:p>
        </w:tc>
        <w:tc>
          <w:tcPr>
            <w:tcW w:type="dxa" w:w="1296"/>
            <w:vAlign w:val="center"/>
          </w:tcPr>
          <w:p>
            <w:r>
              <w:t>info</w:t>
            </w:r>
          </w:p>
        </w:tc>
        <w:tc>
          <w:tcPr>
            <w:tcW w:type="dxa" w:w="1152"/>
            <w:vAlign w:val="center"/>
          </w:tcPr>
          <w:p>
            <w:r>
              <w:t>Reminder</w:t>
            </w:r>
          </w:p>
        </w:tc>
      </w:tr>
      <w:tr>
        <w:tc>
          <w:tcPr>
            <w:tcW w:type="dxa" w:w="3096"/>
            <w:vAlign w:val="center"/>
          </w:tcPr>
          <w:p>
            <w:r>
              <w:t>Psychosocial &amp; sexual health screening not documented</w:t>
            </w:r>
          </w:p>
        </w:tc>
        <w:tc>
          <w:tcPr>
            <w:tcW w:type="dxa" w:w="3816"/>
            <w:vAlign w:val="center"/>
          </w:tcPr>
          <w:p>
            <w:r>
              <w:t>Always added in current demo build</w:t>
            </w:r>
          </w:p>
        </w:tc>
        <w:tc>
          <w:tcPr>
            <w:tcW w:type="dxa" w:w="1296"/>
            <w:vAlign w:val="center"/>
          </w:tcPr>
          <w:p>
            <w:r>
              <w:t>info</w:t>
            </w:r>
          </w:p>
        </w:tc>
        <w:tc>
          <w:tcPr>
            <w:tcW w:type="dxa" w:w="1152"/>
            <w:vAlign w:val="center"/>
          </w:tcPr>
          <w:p>
            <w:r>
              <w:t>Reminder</w:t>
            </w:r>
          </w:p>
        </w:tc>
      </w:tr>
    </w:tbl>
    <w:p>
      <w:pPr>
        <w:pStyle w:val="Heading1"/>
      </w:pPr>
      <w:r>
        <w:t>4. Recompute and Display Behavior</w:t>
      </w:r>
    </w:p>
    <w:p>
      <w:pPr>
        <w:spacing w:after="80"/>
        <w:ind w:left="360" w:hanging="259"/>
      </w:pPr>
      <w:r>
        <w:t>• Nudges are computed on page load after the patient record is applied and the patient-file view initializes.</w:t>
      </w:r>
    </w:p>
    <w:p>
      <w:pPr>
        <w:spacing w:after="80"/>
        <w:ind w:left="360" w:hanging="259"/>
      </w:pPr>
      <w:r>
        <w:t>• Nudges are recomputed when the user clicks `Save &amp; Refresh Nudges` in the form footer.</w:t>
      </w:r>
    </w:p>
    <w:p>
      <w:pPr>
        <w:spacing w:after="80"/>
        <w:ind w:left="360" w:hanging="259"/>
      </w:pPr>
      <w:r>
        <w:t>• Nudges are recomputed again after a team notification is sent from the “Acknowledge &amp; log” flow.</w:t>
      </w:r>
    </w:p>
    <w:p>
      <w:pPr>
        <w:spacing w:after="80"/>
        <w:ind w:left="360" w:hanging="259"/>
      </w:pPr>
      <w:r>
        <w:t>• The sidebar badge count is simply the current length of the `latestNudges` array.</w:t>
      </w:r>
    </w:p>
    <w:p>
      <w:pPr>
        <w:spacing w:after="80"/>
        <w:ind w:left="360" w:hanging="259"/>
      </w:pPr>
      <w:r>
        <w:t>• The top alert banner shows only the count of `urgent` nudges.</w:t>
      </w:r>
    </w:p>
    <w:p>
      <w:pPr>
        <w:pStyle w:val="Heading1"/>
      </w:pPr>
      <w:r>
        <w:t>5. What “Acknowledge &amp; log” Does Today</w:t>
      </w:r>
    </w:p>
    <w:p>
      <w:pPr>
        <w:spacing w:after="80"/>
        <w:ind w:left="360" w:hanging="259"/>
      </w:pPr>
      <w:r>
        <w:t>• Selecting a nudge action opens the team discussion modal through `openTeamModalFromNudge(index)` and prefills reason, subject, and note from the selected nudge.</w:t>
      </w:r>
    </w:p>
    <w:p>
      <w:pPr>
        <w:spacing w:after="80"/>
        <w:ind w:left="360" w:hanging="259"/>
      </w:pPr>
      <w:r>
        <w:t>• Sending the notification creates a local notification-log entry through `sendTeamNotification()` and stores it in browser `localStorage` for the active patient record.</w:t>
      </w:r>
    </w:p>
    <w:p>
      <w:pPr>
        <w:spacing w:after="80"/>
        <w:ind w:left="360" w:hanging="259"/>
      </w:pPr>
      <w:r>
        <w:t>• The nudge button text changes from `Acknowledge &amp; log →` to `Logged with team →` when a matching notification entry exists.</w:t>
      </w:r>
    </w:p>
    <w:p>
      <w:pPr>
        <w:spacing w:after="80"/>
        <w:ind w:left="360" w:hanging="259"/>
      </w:pPr>
      <w:r>
        <w:t>• This does not close or resolve the rule itself. If the underlying patient field values still fail the rule, the same nudge remains active on recompute.</w:t>
      </w:r>
    </w:p>
    <w:p>
      <w:pPr>
        <w:pStyle w:val="Heading1"/>
      </w:pPr>
      <w:r>
        <w:t>6. Current Demo Limitations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3168"/>
            <w:shd w:fill="EAF4FF"/>
          </w:tcPr>
          <w:p>
            <w:r>
              <w:rPr>
                <w:b/>
              </w:rPr>
              <w:t>Area</w:t>
            </w:r>
          </w:p>
        </w:tc>
        <w:tc>
          <w:tcPr>
            <w:tcW w:type="dxa" w:w="6192"/>
            <w:shd w:fill="EAF4FF"/>
          </w:tcPr>
          <w:p>
            <w:r>
              <w:rPr>
                <w:b/>
              </w:rPr>
              <w:t>Current demo behavior</w:t>
            </w:r>
          </w:p>
        </w:tc>
      </w:tr>
      <w:tr>
        <w:tc>
          <w:tcPr>
            <w:tcW w:type="dxa" w:w="3168"/>
          </w:tcPr>
          <w:p>
            <w:r>
              <w:t>Resolution state</w:t>
            </w:r>
          </w:p>
        </w:tc>
        <w:tc>
          <w:tcPr>
            <w:tcW w:type="dxa" w:w="6192"/>
          </w:tcPr>
          <w:p>
            <w:r>
              <w:t>There is no true `resolved` status at patient-rule level. Logging a discussion does not close a nudge.</w:t>
            </w:r>
          </w:p>
        </w:tc>
      </w:tr>
      <w:tr>
        <w:tc>
          <w:tcPr>
            <w:tcW w:type="dxa" w:w="3168"/>
          </w:tcPr>
          <w:p>
            <w:r>
              <w:t>Trend analytics</w:t>
            </w:r>
          </w:p>
        </w:tc>
        <w:tc>
          <w:tcPr>
            <w:tcW w:type="dxa" w:w="6192"/>
          </w:tcPr>
          <w:p>
            <w:r>
              <w:t>Home-page and dashboard nudge trend charts are static demo arrays, not patient-derived rollups.</w:t>
            </w:r>
          </w:p>
        </w:tc>
      </w:tr>
      <w:tr>
        <w:tc>
          <w:tcPr>
            <w:tcW w:type="dxa" w:w="3168"/>
          </w:tcPr>
          <w:p>
            <w:r>
              <w:t>Rule governance</w:t>
            </w:r>
          </w:p>
        </w:tc>
        <w:tc>
          <w:tcPr>
            <w:tcW w:type="dxa" w:w="6192"/>
          </w:tcPr>
          <w:p>
            <w:r>
              <w:t>Rules are hardcoded in `computeNudges()` rather than stored as configurable, versioned program rules.</w:t>
            </w:r>
          </w:p>
        </w:tc>
      </w:tr>
      <w:tr>
        <w:tc>
          <w:tcPr>
            <w:tcW w:type="dxa" w:w="3168"/>
          </w:tcPr>
          <w:p>
            <w:r>
              <w:t>Auditability</w:t>
            </w:r>
          </w:p>
        </w:tc>
        <w:tc>
          <w:tcPr>
            <w:tcW w:type="dxa" w:w="6192"/>
          </w:tcPr>
          <w:p>
            <w:r>
              <w:t>The notification log is browser-local demo storage, not a server-side audit log or durable workflow state.</w:t>
            </w:r>
          </w:p>
        </w:tc>
      </w:tr>
      <w:tr>
        <w:tc>
          <w:tcPr>
            <w:tcW w:type="dxa" w:w="3168"/>
          </w:tcPr>
          <w:p>
            <w:r>
              <w:t>Clinical scope</w:t>
            </w:r>
          </w:p>
        </w:tc>
        <w:tc>
          <w:tcPr>
            <w:tcW w:type="dxa" w:w="6192"/>
          </w:tcPr>
          <w:p>
            <w:r>
              <w:t>Several rule texts are clinically rich, but trigger logic is still simple field equality / substring matching.</w:t>
            </w:r>
          </w:p>
        </w:tc>
      </w:tr>
    </w:tbl>
    <w:p>
      <w:pPr>
        <w:pStyle w:val="Heading1"/>
      </w:pPr>
      <w:r>
        <w:t>7. Production-Oriented Next Step</w:t>
      </w:r>
    </w:p>
    <w:p>
      <w:pPr/>
      <w:r>
        <w:rPr>
          <w:b/>
        </w:rPr>
        <w:t xml:space="preserve">For production, the natural upgrade path is: </w:t>
      </w:r>
      <w:r>
        <w:t>move the rules into a versioned configuration layer, calculate explicit lifecycle states (`opened`, `viewed`, `acted`, `resolved`), tie closure to source field changes or documented waivers, and derive cohort analytics from actual patient-rule events rather than static arrays.</w:t>
      </w:r>
    </w:p>
    <w:p>
      <w:pPr>
        <w:spacing w:before="280" w:after="0"/>
      </w:pPr>
      <w:r>
        <w:rPr>
          <w:rFonts w:ascii="Calibri" w:hAnsi="Calibri"/>
          <w:i/>
          <w:color w:val="5C7594"/>
          <w:sz w:val="18"/>
        </w:rPr>
        <w:t>Source functions: `gv()`, `computeNudges()`, `openTeamModalFromNudge()`, `sendTeamNotification()` in `patient-file.html`; static trend arrays in `index.html` and `population-analytics.html`.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7594"/>
        <w:sz w:val="18"/>
      </w:rPr>
      <w:t>Current nudge engine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C7594"/>
        <w:sz w:val="18"/>
      </w:rPr>
      <w:t>ProstaCare Demo · Technical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335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D4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D4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63E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