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ITE Global Learning Programme guide</w:t>
      </w:r>
    </w:p>
    <w:p>
      <w:r>
        <w:t>Fictional workshop scenario. All people, records and programme rules are invented for training, using the ITE College West setting for context. This is not ITE policy.</w:t>
      </w:r>
    </w:p>
    <w:p>
      <w:pPr>
        <w:pStyle w:val="Heading1"/>
      </w:pPr>
      <w:r>
        <w:t>G1 Programme and dates</w:t>
      </w:r>
    </w:p>
    <w:p>
      <w:r>
        <w:t>ITE College West is the setting for this scenario, and the programme described here is fictional. The January 2027 ITE Global Learning Programme combines overseas projects with cultural learning for ITE students. This guide is version 1.0, issued 2 November 2026, for the current application cycle only.</w:t>
      </w:r>
    </w:p>
    <w:tbl>
      <w:tblPr>
        <w:tblW w:type="auto" w:w="0"/>
        <w:tblLayout w:type="fixed"/>
        <w:tblLook w:firstColumn="1" w:firstRow="1" w:lastColumn="0" w:lastRow="0" w:noHBand="0" w:noVBand="1" w:val="04A0"/>
      </w:tblPr>
      <w:tblGrid>
        <w:gridCol w:w="2376"/>
        <w:gridCol w:w="7704"/>
      </w:tblGrid>
      <w:tr>
        <w:trPr>
          <w:tblHeade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173454"/>
          </w:tcPr>
          <w:p>
            <w:pPr>
              <w:spacing w:after="40" w:before="40"/>
            </w:pPr>
            <w:r>
              <w:rPr>
                <w:b/>
                <w:color w:val="FFFFFF"/>
                <w:sz w:val="19"/>
              </w:rPr>
              <w:t>Item</w:t>
            </w:r>
          </w:p>
        </w:tc>
        <w:tc>
          <w:tcPr>
            <w:tcW w:type="dxa" w:w="7704"/>
            <w:tcBorders>
              <w:top w:val="single" w:sz="4" w:color="D9D9D9"/>
              <w:left w:val="single" w:sz="4" w:color="D9D9D9"/>
              <w:bottom w:val="single" w:sz="4" w:color="D9D9D9"/>
              <w:right w:val="single" w:sz="4" w:color="D9D9D9"/>
            </w:tcBorders>
            <w:tcMar>
              <w:top w:w="90" w:type="dxa"/>
              <w:left w:w="90" w:type="dxa"/>
              <w:bottom w:w="90" w:type="dxa"/>
              <w:right w:w="90" w:type="dxa"/>
            </w:tcMar>
            <w:shd w:fill="173454"/>
          </w:tcPr>
          <w:p>
            <w:pPr>
              <w:spacing w:after="40" w:before="40"/>
            </w:pPr>
            <w:r>
              <w:rPr>
                <w:b/>
                <w:color w:val="FFFFFF"/>
                <w:sz w:val="19"/>
              </w:rPr>
              <w:t>Training rule</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sz w:val="19"/>
              </w:rPr>
              <w:t>Trip</w:t>
            </w:r>
          </w:p>
        </w:tc>
        <w:tc>
          <w:tcPr>
            <w:tcW w:type="dxa" w:w="770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sz w:val="19"/>
              </w:rPr>
              <w:t>11–17 January 2027; estimated cost S$2,400 per student</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40" w:before="40"/>
            </w:pPr>
            <w:r>
              <w:rPr>
                <w:sz w:val="19"/>
              </w:rPr>
              <w:t>Application window</w:t>
            </w:r>
          </w:p>
        </w:tc>
        <w:tc>
          <w:tcPr>
            <w:tcW w:type="dxa" w:w="7704"/>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40" w:before="40"/>
            </w:pPr>
            <w:r>
              <w:rPr>
                <w:sz w:val="19"/>
              </w:rPr>
              <w:t>2–20 November 2026; closes at 17:00 Asia/Singapore</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sz w:val="19"/>
              </w:rPr>
              <w:t>Participants</w:t>
            </w:r>
          </w:p>
        </w:tc>
        <w:tc>
          <w:tcPr>
            <w:tcW w:type="dxa" w:w="770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sz w:val="19"/>
              </w:rPr>
              <w:t>Current full-time Nitec and Higher Nitec students of ITE College West may apply. Places and support require officer approval.</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40" w:before="40"/>
            </w:pPr>
            <w:r>
              <w:rPr>
                <w:sz w:val="19"/>
              </w:rPr>
              <w:t>Application route</w:t>
            </w:r>
          </w:p>
        </w:tc>
        <w:tc>
          <w:tcPr>
            <w:tcW w:type="dxa" w:w="7704"/>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40" w:before="40"/>
            </w:pPr>
            <w:r>
              <w:rPr>
                <w:sz w:val="19"/>
              </w:rPr>
              <w:t>Use the programme application form supplied by the facilitator or the SEIT programme team. No real public form is included.</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sz w:val="19"/>
              </w:rPr>
              <w:t>Working review date</w:t>
            </w:r>
          </w:p>
        </w:tc>
        <w:tc>
          <w:tcPr>
            <w:tcW w:type="dxa" w:w="770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sz w:val="19"/>
              </w:rPr>
              <w:t>9 November 2026 at 08:00 Asia/Singapore</w:t>
            </w:r>
          </w:p>
        </w:tc>
      </w:tr>
    </w:tbl>
    <w:p>
      <w:pPr>
        <w:pStyle w:val="Heading1"/>
      </w:pPr>
      <w:r>
        <w:t>G2 Possible financial support</w:t>
      </w:r>
    </w:p>
    <w:p>
      <w:r>
        <w:t>Programme Grant: applicants of any nationality may request S$500 toward approved trip costs. An application does not confirm an award. The programme team verifies enrolment, participation requirements, budget and other funding before deciding.</w:t>
      </w:r>
    </w:p>
    <w:p>
      <w:r>
        <w:t>Access Assistance: Singapore citizens and permanent residents with household per-capita monthly income of S$1,500 or less may request additional assistance of up to S$800. This is a review threshold, not an entitlement. Officers assess supporting evidence, circumstances, available funds and the final amount.</w:t>
      </w:r>
    </w:p>
    <w:p>
      <w:r>
        <w:t>International students may request the Programme Grant. This guide does not provide Access Assistance to international students or identify an alternative award. Refer other needs to the programme officer without inventing an option.</w:t>
      </w:r>
    </w:p>
    <w:p>
      <w:r>
        <w:t>Students must declare all external sponsorship or other awards for the same trip. Combined support cannot exceed verified eligible trip costs. Do not calculate an individual award or a final out-of-pocket amount before officer confirmation.</w:t>
      </w:r>
    </w:p>
    <w:p>
      <w:r>
        <w:br w:type="page"/>
      </w:r>
    </w:p>
    <w:p>
      <w:pPr>
        <w:pStyle w:val="Heading1"/>
      </w:pPr>
      <w:r>
        <w:t>G3 Application steps and evidence</w:t>
      </w:r>
    </w:p>
    <w:p>
      <w:pPr>
        <w:pStyle w:val="ListBullet"/>
      </w:pPr>
      <w:r>
        <w:t>Complete the programme application form by 20 November 2026 at 17:00. State course (Nitec or Higher Nitec), intake year, contact details and the support requested.</w:t>
      </w:r>
    </w:p>
    <w:p>
      <w:pPr>
        <w:pStyle w:val="ListBullet"/>
      </w:pPr>
      <w:r>
        <w:t>Submit proof of enrolment (for example, your ITE student pass or enrolment record). For Access Assistance, provide household-member count, relevant household income evidence and a declaration of other funding through the designated secure application route.</w:t>
      </w:r>
    </w:p>
    <w:p>
      <w:pPr>
        <w:pStyle w:val="ListBullet"/>
      </w:pPr>
      <w:r>
        <w:t>If income recently changed or evidence is unavailable, explain the gap in the form and contact the officer before the assigned document due date. Officers decide whether alternative evidence or extra time is acceptable. A request is not an extension.</w:t>
      </w:r>
    </w:p>
    <w:p>
      <w:pPr>
        <w:pStyle w:val="ListBullet"/>
      </w:pPr>
      <w:r>
        <w:t>The application tracker can contain earlier, individually assigned document or review due dates. These are follow-up dates, not changes to the overall closing date.</w:t>
      </w:r>
    </w:p>
    <w:p>
      <w:pPr>
        <w:pStyle w:val="Heading1"/>
      </w:pPr>
      <w:r>
        <w:t>G4 Personal circumstances</w:t>
      </w:r>
    </w:p>
    <w:p>
      <w:r>
        <w:t>Students can ask to discuss accessibility, caregiving, financial or other participation needs privately with the programme officer. Ask for the practical adjustment or concern, not unnecessary medical details. This guide does not determine travel fitness, accessibility feasibility, visa rules or passport validity requirements. Refer those questions for officer verification.</w:t>
      </w:r>
    </w:p>
    <w:p>
      <w:pPr>
        <w:pStyle w:val="Heading1"/>
      </w:pPr>
      <w:r>
        <w:t>G5 Communication and review</w:t>
      </w:r>
    </w:p>
    <w:p>
      <w:r>
        <w:t>Use a respectful response with possible support and clear next steps. Ask only for information needed to guide the student. Do not ask students to email identity documents, medical records or income documents to a general inbox. Direct documents to the secure route once its link is verified.</w:t>
      </w:r>
    </w:p>
    <w:p>
      <w:r>
        <w:t>The programme officer confirms any award, exception, extension or travel arrangement. The AI may prepare an action list and reply drafts. The officer verifies, approves and sends.</w:t>
      </w:r>
    </w:p>
    <w:p>
      <w:pPr>
        <w:pStyle w:val="Heading1"/>
      </w:pPr>
      <w:r>
        <w:t>G6 Source links and contact setup</w:t>
      </w:r>
    </w:p>
    <w:tbl>
      <w:tblPr>
        <w:tblW w:type="auto" w:w="0"/>
        <w:tblLayout w:type="fixed"/>
        <w:tblLook w:firstColumn="1" w:firstRow="1" w:lastColumn="0" w:lastRow="0" w:noHBand="0" w:noVBand="1" w:val="04A0"/>
      </w:tblPr>
      <w:tblGrid>
        <w:gridCol w:w="2880"/>
        <w:gridCol w:w="7200"/>
      </w:tblGrid>
      <w:tr>
        <w:trPr>
          <w:tblHeader/>
          <w:cantSplit/>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shd w:fill="173454"/>
          </w:tcPr>
          <w:p>
            <w:pPr>
              <w:spacing w:after="40" w:before="40"/>
            </w:pPr>
            <w:r>
              <w:rPr>
                <w:b/>
                <w:color w:val="FFFFFF"/>
                <w:sz w:val="19"/>
              </w:rPr>
              <w:t>Field</w:t>
            </w:r>
          </w:p>
        </w:tc>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shd w:fill="173454"/>
          </w:tcPr>
          <w:p>
            <w:pPr>
              <w:spacing w:after="40" w:before="40"/>
            </w:pPr>
            <w:r>
              <w:rPr>
                <w:b/>
                <w:color w:val="FFFFFF"/>
                <w:sz w:val="19"/>
              </w:rPr>
              <w:t>Facilitator supplies</w:t>
            </w:r>
          </w:p>
        </w:tc>
      </w:tr>
      <w:tr>
        <w:trPr>
          <w:cantSplit/>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sz w:val="19"/>
              </w:rPr>
              <w:t>Approved source folder</w:t>
            </w:r>
          </w:p>
        </w:tc>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sz w:val="19"/>
              </w:rPr>
              <w:t>[PROGRAMME_FOLDER_URL]</w:t>
            </w:r>
          </w:p>
        </w:tc>
      </w:tr>
      <w:tr>
        <w:trPr>
          <w:cantSplit/>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40" w:before="40"/>
            </w:pPr>
            <w:r>
              <w:rPr>
                <w:sz w:val="19"/>
              </w:rPr>
              <w:t>Application form</w:t>
            </w:r>
          </w:p>
        </w:tc>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shd w:fill="F1F5F9"/>
          </w:tcPr>
          <w:p>
            <w:pPr>
              <w:spacing w:after="40" w:before="40"/>
            </w:pPr>
            <w:r>
              <w:rPr>
                <w:sz w:val="19"/>
              </w:rPr>
              <w:t>[APPLICATION_FORM_URL]</w:t>
            </w:r>
          </w:p>
        </w:tc>
      </w:tr>
      <w:tr>
        <w:trPr>
          <w:cantSplit/>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sz w:val="19"/>
              </w:rPr>
              <w:t>Programme contact</w:t>
            </w:r>
          </w:p>
        </w:tc>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pPr>
            <w:r>
              <w:rPr>
                <w:sz w:val="19"/>
              </w:rPr>
              <w:t>[PROGRAMME_OFFICER_CONTACT]</w:t>
            </w:r>
          </w:p>
        </w:tc>
      </w:tr>
    </w:tbl>
    <w:p>
      <w:r>
        <w:t>Replace these fields before a connected demonstration. If no link is configured, cite this filename and section in the officer notes and say that the application link needs to be supplied. Never invent a URL or present a placeholder as a working link.</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ITE College West   |   Training material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Global Learning Programme fictional workshop</dc:subject>
  <dc:creator>AI Sprints</dc:creator>
  <cp:keywords/>
  <dc:description>generated by python-docx</dc:description>
  <cp:lastModifiedBy/>
  <cp:revision>1</cp:revision>
  <dcterms:created xsi:type="dcterms:W3CDTF">2013-12-23T23:15:00Z</dcterms:created>
  <dcterms:modified xsi:type="dcterms:W3CDTF">2013-12-23T23:15:00Z</dcterms:modified>
  <cp:category/>
</cp:coreProperties>
</file>