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C599" w14:textId="5FA5E7FE" w:rsidR="0032084C" w:rsidRDefault="0032084C" w:rsidP="00946CBA">
      <w:pPr>
        <w:rPr>
          <w:rFonts w:ascii="Garamond" w:hAnsi="Garamond"/>
          <w:b/>
          <w:bCs/>
        </w:rPr>
      </w:pPr>
      <w:r>
        <w:rPr>
          <w:rFonts w:ascii="Garamond" w:hAnsi="Garamond"/>
          <w:b/>
          <w:bCs/>
        </w:rPr>
        <w:t>README</w:t>
      </w:r>
    </w:p>
    <w:p w14:paraId="4E5C155C" w14:textId="6D19D3E2" w:rsidR="00946CBA" w:rsidRPr="00946CBA" w:rsidRDefault="00946CBA" w:rsidP="00946CBA">
      <w:pPr>
        <w:rPr>
          <w:rFonts w:ascii="Garamond" w:hAnsi="Garamond"/>
          <w:color w:val="000000" w:themeColor="text1"/>
        </w:rPr>
      </w:pPr>
      <w:r w:rsidRPr="00946CBA">
        <w:rPr>
          <w:rFonts w:ascii="Garamond" w:hAnsi="Garamond"/>
          <w:b/>
          <w:bCs/>
        </w:rPr>
        <w:t>Topic:</w:t>
      </w:r>
      <w:r w:rsidRPr="00946CBA">
        <w:rPr>
          <w:rFonts w:ascii="Garamond" w:hAnsi="Garamond"/>
          <w:color w:val="000000" w:themeColor="text1"/>
        </w:rPr>
        <w:t xml:space="preserve"> </w:t>
      </w:r>
      <w:r w:rsidRPr="0093029D">
        <w:rPr>
          <w:rFonts w:ascii="Garamond" w:hAnsi="Garamond"/>
          <w:color w:val="000000" w:themeColor="text1"/>
        </w:rPr>
        <w:t>Technology and Eco-Efficiency: Evidence from Nepal’s Cement Sector</w:t>
      </w:r>
    </w:p>
    <w:p w14:paraId="3DAC5977" w14:textId="77777777" w:rsidR="00946CBA" w:rsidRPr="00946CBA" w:rsidRDefault="00946CBA" w:rsidP="00946CBA">
      <w:pPr>
        <w:pStyle w:val="NormalWeb"/>
        <w:spacing w:before="0" w:beforeAutospacing="0"/>
        <w:rPr>
          <w:rFonts w:ascii="Garamond" w:hAnsi="Garamond" w:cs="Segoe UI"/>
          <w:color w:val="1F2328"/>
        </w:rPr>
      </w:pPr>
      <w:r w:rsidRPr="00946CBA">
        <w:rPr>
          <w:rStyle w:val="Strong"/>
          <w:rFonts w:ascii="Garamond" w:eastAsiaTheme="majorEastAsia" w:hAnsi="Garamond" w:cs="Segoe UI"/>
          <w:color w:val="1F2328"/>
        </w:rPr>
        <w:t>Yale School of the Environment - Environmental Data Science Certificate Program</w:t>
      </w:r>
    </w:p>
    <w:p w14:paraId="17F10B6A" w14:textId="77777777" w:rsidR="00946CBA" w:rsidRPr="00946CBA" w:rsidRDefault="00946CBA" w:rsidP="00946CBA">
      <w:pPr>
        <w:pStyle w:val="NormalWeb"/>
        <w:spacing w:before="0" w:beforeAutospacing="0"/>
        <w:rPr>
          <w:rFonts w:ascii="Garamond" w:hAnsi="Garamond" w:cs="Segoe UI"/>
          <w:color w:val="1F2328"/>
        </w:rPr>
      </w:pPr>
      <w:r w:rsidRPr="00946CBA">
        <w:rPr>
          <w:rStyle w:val="Strong"/>
          <w:rFonts w:ascii="Garamond" w:eastAsiaTheme="majorEastAsia" w:hAnsi="Garamond" w:cs="Segoe UI"/>
          <w:color w:val="1F2328"/>
        </w:rPr>
        <w:t>Student:</w:t>
      </w:r>
      <w:r w:rsidRPr="00946CBA">
        <w:rPr>
          <w:rStyle w:val="apple-converted-space"/>
          <w:rFonts w:ascii="Garamond" w:eastAsiaTheme="majorEastAsia" w:hAnsi="Garamond" w:cs="Segoe UI"/>
          <w:color w:val="1F2328"/>
        </w:rPr>
        <w:t> </w:t>
      </w:r>
      <w:r w:rsidRPr="00946CBA">
        <w:rPr>
          <w:rFonts w:ascii="Garamond" w:hAnsi="Garamond" w:cs="Segoe UI"/>
          <w:color w:val="1F2328"/>
        </w:rPr>
        <w:t>Rajesh Sharma |</w:t>
      </w:r>
      <w:r w:rsidRPr="00946CBA">
        <w:rPr>
          <w:rStyle w:val="apple-converted-space"/>
          <w:rFonts w:ascii="Garamond" w:eastAsiaTheme="majorEastAsia" w:hAnsi="Garamond" w:cs="Segoe UI"/>
          <w:color w:val="1F2328"/>
        </w:rPr>
        <w:t> </w:t>
      </w:r>
      <w:r w:rsidRPr="00946CBA">
        <w:rPr>
          <w:rStyle w:val="Strong"/>
          <w:rFonts w:ascii="Garamond" w:eastAsiaTheme="majorEastAsia" w:hAnsi="Garamond" w:cs="Segoe UI"/>
          <w:color w:val="1F2328"/>
        </w:rPr>
        <w:t>Submitted:</w:t>
      </w:r>
      <w:r w:rsidRPr="00946CBA">
        <w:rPr>
          <w:rStyle w:val="apple-converted-space"/>
          <w:rFonts w:ascii="Garamond" w:eastAsiaTheme="majorEastAsia" w:hAnsi="Garamond" w:cs="Segoe UI"/>
          <w:color w:val="1F2328"/>
        </w:rPr>
        <w:t> </w:t>
      </w:r>
      <w:r w:rsidRPr="00946CBA">
        <w:rPr>
          <w:rFonts w:ascii="Garamond" w:hAnsi="Garamond" w:cs="Segoe UI"/>
          <w:color w:val="1F2328"/>
        </w:rPr>
        <w:t>April 2026</w:t>
      </w:r>
    </w:p>
    <w:p w14:paraId="44FC6722" w14:textId="6E82542E" w:rsidR="00951A44" w:rsidRPr="0093029D" w:rsidRDefault="00792160" w:rsidP="00DC31CA">
      <w:pPr>
        <w:pStyle w:val="ListParagraph"/>
        <w:numPr>
          <w:ilvl w:val="0"/>
          <w:numId w:val="3"/>
        </w:numPr>
        <w:rPr>
          <w:rFonts w:ascii="Garamond" w:hAnsi="Garamond"/>
          <w:b/>
          <w:bCs/>
          <w:color w:val="000000" w:themeColor="text1"/>
        </w:rPr>
      </w:pPr>
      <w:r w:rsidRPr="0093029D">
        <w:rPr>
          <w:rFonts w:ascii="Garamond" w:hAnsi="Garamond"/>
          <w:b/>
          <w:bCs/>
          <w:color w:val="000000" w:themeColor="text1"/>
        </w:rPr>
        <w:t xml:space="preserve">Background and </w:t>
      </w:r>
      <w:r w:rsidR="009C2798" w:rsidRPr="0093029D">
        <w:rPr>
          <w:rFonts w:ascii="Garamond" w:hAnsi="Garamond"/>
          <w:b/>
          <w:bCs/>
          <w:color w:val="000000" w:themeColor="text1"/>
        </w:rPr>
        <w:t>R</w:t>
      </w:r>
      <w:r w:rsidR="00951A44" w:rsidRPr="0093029D">
        <w:rPr>
          <w:rFonts w:ascii="Garamond" w:hAnsi="Garamond"/>
          <w:b/>
          <w:bCs/>
          <w:color w:val="000000" w:themeColor="text1"/>
        </w:rPr>
        <w:t>esearch questions</w:t>
      </w:r>
    </w:p>
    <w:p w14:paraId="33CB9DE1" w14:textId="77777777" w:rsidR="00BE3121" w:rsidRPr="0093029D" w:rsidRDefault="00BE3121" w:rsidP="00BE3121">
      <w:pPr>
        <w:rPr>
          <w:rFonts w:ascii="Garamond" w:hAnsi="Garamond"/>
          <w:color w:val="000000" w:themeColor="text1"/>
        </w:rPr>
      </w:pPr>
      <w:r w:rsidRPr="0093029D">
        <w:rPr>
          <w:rFonts w:ascii="Garamond" w:hAnsi="Garamond"/>
          <w:color w:val="000000" w:themeColor="text1"/>
        </w:rPr>
        <w:t>Nepal’s cement industry has expanded rapidly in the post-earthquake period, playing a central role in infrastructure development and economic growth. However, this expansion has been accompanied by rising CO</w:t>
      </w:r>
      <w:r w:rsidRPr="0093029D">
        <w:rPr>
          <w:rFonts w:ascii="Cambria Math" w:hAnsi="Cambria Math" w:cs="Cambria Math"/>
          <w:color w:val="000000" w:themeColor="text1"/>
        </w:rPr>
        <w:t>₂</w:t>
      </w:r>
      <w:r w:rsidRPr="0093029D">
        <w:rPr>
          <w:rFonts w:ascii="Garamond" w:hAnsi="Garamond"/>
          <w:color w:val="000000" w:themeColor="text1"/>
        </w:rPr>
        <w:t xml:space="preserve"> emissions, driven by heavy reliance on fossil fuels, high-limestone composition, and the continued use of inefficient and outdated production technologies. Despite the sector’s growing environmental footprint, there is currently no standardized or mandatory carbon emission reporting at the firm level in Nepal. This absence of reliable emissions data creates a critical barrier for policymakers, limiting their ability to design targeted, evidence-based environmental regulations and monitor progress toward national climate commitments.</w:t>
      </w:r>
    </w:p>
    <w:p w14:paraId="25749017" w14:textId="77777777" w:rsidR="00BE3121" w:rsidRPr="0093029D" w:rsidRDefault="00BE3121" w:rsidP="00BE3121">
      <w:pPr>
        <w:rPr>
          <w:rFonts w:ascii="Garamond" w:hAnsi="Garamond"/>
          <w:color w:val="000000" w:themeColor="text1"/>
        </w:rPr>
      </w:pPr>
      <w:r w:rsidRPr="0093029D">
        <w:rPr>
          <w:rFonts w:ascii="Garamond" w:hAnsi="Garamond"/>
          <w:color w:val="000000" w:themeColor="text1"/>
        </w:rPr>
        <w:t>In addition, significant heterogeneity exists across firms in terms of production processes and technological adoption, suggesting that environmental performance may vary widely within the industry. Yet, in the absence of systematic measurement, these differences remain largely undocumented. This lack of transparency not only constrains academic inquiry but also weakens institutional efforts toward sustainable industrial transformation.</w:t>
      </w:r>
    </w:p>
    <w:p w14:paraId="429AC579" w14:textId="768A01DB" w:rsidR="00301F11" w:rsidRPr="0093029D" w:rsidRDefault="00BE3121" w:rsidP="00BE3121">
      <w:pPr>
        <w:rPr>
          <w:rFonts w:ascii="Garamond" w:hAnsi="Garamond"/>
          <w:color w:val="000000" w:themeColor="text1"/>
        </w:rPr>
      </w:pPr>
      <w:r w:rsidRPr="0093029D">
        <w:rPr>
          <w:rFonts w:ascii="Garamond" w:hAnsi="Garamond"/>
          <w:color w:val="000000" w:themeColor="text1"/>
        </w:rPr>
        <w:t>Against th</w:t>
      </w:r>
      <w:r w:rsidR="00F65C56" w:rsidRPr="0093029D">
        <w:rPr>
          <w:rFonts w:ascii="Garamond" w:hAnsi="Garamond"/>
          <w:color w:val="000000" w:themeColor="text1"/>
        </w:rPr>
        <w:t>e</w:t>
      </w:r>
      <w:r w:rsidRPr="0093029D">
        <w:rPr>
          <w:rFonts w:ascii="Garamond" w:hAnsi="Garamond"/>
          <w:color w:val="000000" w:themeColor="text1"/>
        </w:rPr>
        <w:t xml:space="preserve"> backdrop, this study seeks to address these gaps by generating firm-level evidence on emissions and environmental efficiency in Nepal’s cement sector. Specifically, it examines how total CO</w:t>
      </w:r>
      <w:r w:rsidRPr="0093029D">
        <w:rPr>
          <w:rFonts w:ascii="Cambria Math" w:hAnsi="Cambria Math" w:cs="Cambria Math"/>
          <w:color w:val="000000" w:themeColor="text1"/>
        </w:rPr>
        <w:t>₂</w:t>
      </w:r>
      <w:r w:rsidRPr="0093029D">
        <w:rPr>
          <w:rFonts w:ascii="Garamond" w:hAnsi="Garamond"/>
          <w:color w:val="000000" w:themeColor="text1"/>
        </w:rPr>
        <w:t xml:space="preserve"> emissions have evolved over time, evaluates differences in eco-efficiency when both economic output and environmental costs are jointly considered, and assesses whether technological adoption plays a significant role in shaping firms’ environmental performance. By doing so, the study aims to provide a robust empirical foundation for informed policymaking and support Nepal’s transition toward a low-carbon industrial pathway.</w:t>
      </w:r>
    </w:p>
    <w:p w14:paraId="7FD52E0A" w14:textId="184F6D87" w:rsidR="001D55DB" w:rsidRPr="0093029D" w:rsidRDefault="000565A0" w:rsidP="00301F11">
      <w:pPr>
        <w:rPr>
          <w:rFonts w:ascii="Garamond" w:hAnsi="Garamond"/>
          <w:b/>
          <w:bCs/>
          <w:color w:val="000000" w:themeColor="text1"/>
        </w:rPr>
      </w:pPr>
      <w:r w:rsidRPr="0093029D">
        <w:rPr>
          <w:rFonts w:ascii="Garamond" w:hAnsi="Garamond"/>
          <w:b/>
          <w:bCs/>
          <w:color w:val="000000" w:themeColor="text1"/>
        </w:rPr>
        <w:t>R</w:t>
      </w:r>
      <w:r w:rsidR="00F65C56" w:rsidRPr="0093029D">
        <w:rPr>
          <w:rFonts w:ascii="Garamond" w:hAnsi="Garamond"/>
          <w:b/>
          <w:bCs/>
          <w:color w:val="000000" w:themeColor="text1"/>
        </w:rPr>
        <w:t xml:space="preserve">esearch </w:t>
      </w:r>
      <w:r w:rsidRPr="0093029D">
        <w:rPr>
          <w:rFonts w:ascii="Garamond" w:hAnsi="Garamond"/>
          <w:b/>
          <w:bCs/>
          <w:color w:val="000000" w:themeColor="text1"/>
        </w:rPr>
        <w:t>Q</w:t>
      </w:r>
      <w:r w:rsidR="00F65C56" w:rsidRPr="0093029D">
        <w:rPr>
          <w:rFonts w:ascii="Garamond" w:hAnsi="Garamond"/>
          <w:b/>
          <w:bCs/>
          <w:color w:val="000000" w:themeColor="text1"/>
        </w:rPr>
        <w:t>uestion</w:t>
      </w:r>
      <w:r w:rsidRPr="0093029D">
        <w:rPr>
          <w:rFonts w:ascii="Garamond" w:hAnsi="Garamond"/>
          <w:b/>
          <w:bCs/>
          <w:color w:val="000000" w:themeColor="text1"/>
        </w:rPr>
        <w:t>:</w:t>
      </w:r>
    </w:p>
    <w:p w14:paraId="6CD66FAC" w14:textId="1392E69C" w:rsidR="00E4781E" w:rsidRPr="0093029D" w:rsidRDefault="00E4781E" w:rsidP="002B482A">
      <w:pPr>
        <w:pStyle w:val="ListParagraph"/>
        <w:numPr>
          <w:ilvl w:val="0"/>
          <w:numId w:val="6"/>
        </w:numPr>
        <w:rPr>
          <w:rFonts w:ascii="Garamond" w:eastAsia="Times New Roman" w:hAnsi="Garamond" w:cs="Times New Roman"/>
          <w:color w:val="000000" w:themeColor="text1"/>
          <w:kern w:val="0"/>
          <w14:ligatures w14:val="none"/>
        </w:rPr>
      </w:pPr>
      <w:r w:rsidRPr="0093029D">
        <w:rPr>
          <w:rFonts w:ascii="Garamond" w:eastAsia="Times New Roman" w:hAnsi="Garamond" w:cs="Times New Roman"/>
          <w:color w:val="000000" w:themeColor="text1"/>
          <w:kern w:val="0"/>
          <w14:ligatures w14:val="none"/>
        </w:rPr>
        <w:t xml:space="preserve">How have </w:t>
      </w:r>
      <w:r w:rsidR="000565A0" w:rsidRPr="0093029D">
        <w:rPr>
          <w:rFonts w:ascii="Garamond" w:eastAsia="Times New Roman" w:hAnsi="Garamond" w:cs="Times New Roman"/>
          <w:color w:val="000000" w:themeColor="text1"/>
          <w:kern w:val="0"/>
          <w14:ligatures w14:val="none"/>
        </w:rPr>
        <w:t>t</w:t>
      </w:r>
      <w:r w:rsidRPr="0093029D">
        <w:rPr>
          <w:rFonts w:ascii="Garamond" w:eastAsia="Times New Roman" w:hAnsi="Garamond" w:cs="Times New Roman"/>
          <w:color w:val="000000" w:themeColor="text1"/>
          <w:kern w:val="0"/>
          <w14:ligatures w14:val="none"/>
        </w:rPr>
        <w:t>CO</w:t>
      </w:r>
      <w:r w:rsidRPr="0093029D">
        <w:rPr>
          <w:rFonts w:ascii="Cambria Math" w:eastAsia="Times New Roman" w:hAnsi="Cambria Math" w:cs="Cambria Math"/>
          <w:color w:val="000000" w:themeColor="text1"/>
          <w:kern w:val="0"/>
          <w14:ligatures w14:val="none"/>
        </w:rPr>
        <w:t>₂</w:t>
      </w:r>
      <w:r w:rsidRPr="0093029D">
        <w:rPr>
          <w:rFonts w:ascii="Garamond" w:eastAsia="Times New Roman" w:hAnsi="Garamond" w:cs="Times New Roman"/>
          <w:color w:val="000000" w:themeColor="text1"/>
          <w:kern w:val="0"/>
          <w14:ligatures w14:val="none"/>
        </w:rPr>
        <w:t xml:space="preserve"> emissions from Nepalese cement manufacturing firms changed over time?</w:t>
      </w:r>
    </w:p>
    <w:p w14:paraId="1BDB3FB5" w14:textId="6FBCB4FA" w:rsidR="000565A0" w:rsidRPr="0093029D" w:rsidRDefault="000565A0" w:rsidP="002B482A">
      <w:pPr>
        <w:pStyle w:val="ListParagraph"/>
        <w:numPr>
          <w:ilvl w:val="0"/>
          <w:numId w:val="6"/>
        </w:numPr>
        <w:rPr>
          <w:rFonts w:ascii="Garamond" w:hAnsi="Garamond"/>
          <w:color w:val="000000" w:themeColor="text1"/>
        </w:rPr>
      </w:pPr>
      <w:r w:rsidRPr="0093029D">
        <w:rPr>
          <w:rFonts w:ascii="Garamond" w:hAnsi="Garamond"/>
          <w:color w:val="000000" w:themeColor="text1"/>
        </w:rPr>
        <w:t>Does technological adoption influence the eco-efficiency of cement firms in Nepal?</w:t>
      </w:r>
    </w:p>
    <w:p w14:paraId="0A88D5A8" w14:textId="77777777" w:rsidR="002B482A" w:rsidRPr="0093029D" w:rsidRDefault="002B482A" w:rsidP="002B482A">
      <w:pPr>
        <w:pStyle w:val="ListParagraph"/>
        <w:rPr>
          <w:rFonts w:ascii="Garamond" w:hAnsi="Garamond"/>
          <w:color w:val="000000" w:themeColor="text1"/>
        </w:rPr>
      </w:pPr>
    </w:p>
    <w:p w14:paraId="1FDD5409" w14:textId="67ACE2B6" w:rsidR="006B2FA5" w:rsidRPr="0093029D" w:rsidRDefault="009C2798" w:rsidP="00DC31CA">
      <w:pPr>
        <w:pStyle w:val="ListParagraph"/>
        <w:numPr>
          <w:ilvl w:val="0"/>
          <w:numId w:val="3"/>
        </w:numPr>
        <w:rPr>
          <w:rFonts w:ascii="Garamond" w:hAnsi="Garamond"/>
          <w:b/>
          <w:bCs/>
          <w:color w:val="000000" w:themeColor="text1"/>
        </w:rPr>
      </w:pPr>
      <w:r w:rsidRPr="0093029D">
        <w:rPr>
          <w:rFonts w:ascii="Garamond" w:hAnsi="Garamond"/>
          <w:b/>
          <w:bCs/>
          <w:color w:val="000000" w:themeColor="text1"/>
        </w:rPr>
        <w:t>Methodology</w:t>
      </w:r>
    </w:p>
    <w:p w14:paraId="24D88B39" w14:textId="4E07E5CD" w:rsidR="007F3D34" w:rsidRPr="005729D3" w:rsidRDefault="007F3D34" w:rsidP="007F3D34">
      <w:pPr>
        <w:rPr>
          <w:rFonts w:ascii="Garamond" w:hAnsi="Garamond"/>
          <w:b/>
          <w:bCs/>
          <w:color w:val="000000" w:themeColor="text1"/>
        </w:rPr>
      </w:pPr>
      <w:r w:rsidRPr="005729D3">
        <w:rPr>
          <w:rFonts w:ascii="Garamond" w:hAnsi="Garamond"/>
          <w:b/>
          <w:bCs/>
          <w:color w:val="000000" w:themeColor="text1"/>
        </w:rPr>
        <w:t xml:space="preserve">Data Source and </w:t>
      </w:r>
      <w:r w:rsidR="00DB17C2" w:rsidRPr="005729D3">
        <w:rPr>
          <w:rFonts w:ascii="Garamond" w:hAnsi="Garamond"/>
          <w:b/>
          <w:bCs/>
          <w:color w:val="000000" w:themeColor="text1"/>
        </w:rPr>
        <w:t>Variables Calculation</w:t>
      </w:r>
    </w:p>
    <w:p w14:paraId="529900D5" w14:textId="264408AE" w:rsidR="007F3D34" w:rsidRPr="0093029D" w:rsidRDefault="00DB17C2" w:rsidP="00DB17C2">
      <w:pPr>
        <w:pStyle w:val="NormalWeb"/>
        <w:spacing w:before="180" w:after="180" w:line="360" w:lineRule="auto"/>
        <w:rPr>
          <w:rFonts w:ascii="Garamond" w:hAnsi="Garamond"/>
          <w:color w:val="000000" w:themeColor="text1"/>
        </w:rPr>
      </w:pPr>
      <w:r w:rsidRPr="0093029D">
        <w:rPr>
          <w:rFonts w:ascii="Garamond" w:hAnsi="Garamond"/>
          <w:color w:val="000000" w:themeColor="text1"/>
        </w:rPr>
        <w:t xml:space="preserve">As most firms in the sample are privately owned and do not publicly disclose detailed production or energy consumption details, the required data were obtained through direct engagement with firms. This approach enabled access to otherwise unavailable operational data and ensured a high level of </w:t>
      </w:r>
      <w:r w:rsidRPr="0093029D">
        <w:rPr>
          <w:rFonts w:ascii="Garamond" w:hAnsi="Garamond"/>
          <w:color w:val="000000" w:themeColor="text1"/>
        </w:rPr>
        <w:lastRenderedPageBreak/>
        <w:t>granularity and reliability.</w:t>
      </w:r>
      <w:r w:rsidR="00684867" w:rsidRPr="0093029D">
        <w:rPr>
          <w:rFonts w:ascii="Garamond" w:hAnsi="Garamond"/>
          <w:color w:val="000000" w:themeColor="text1"/>
        </w:rPr>
        <w:t xml:space="preserve"> </w:t>
      </w:r>
      <w:r w:rsidR="007F3D34" w:rsidRPr="0093029D">
        <w:rPr>
          <w:rFonts w:ascii="Garamond" w:hAnsi="Garamond"/>
          <w:color w:val="000000" w:themeColor="text1"/>
        </w:rPr>
        <w:t>The dataset comprises annual</w:t>
      </w:r>
      <w:r w:rsidRPr="0093029D">
        <w:rPr>
          <w:rFonts w:ascii="Garamond" w:hAnsi="Garamond"/>
          <w:color w:val="000000" w:themeColor="text1"/>
        </w:rPr>
        <w:t xml:space="preserve"> financial reports as well as</w:t>
      </w:r>
      <w:r w:rsidR="007F3D34" w:rsidRPr="0093029D">
        <w:rPr>
          <w:rFonts w:ascii="Garamond" w:hAnsi="Garamond"/>
          <w:color w:val="000000" w:themeColor="text1"/>
        </w:rPr>
        <w:t xml:space="preserve"> firm-level observations from 2020 to 2026, including cement and clinker production volumes, </w:t>
      </w:r>
      <w:r w:rsidRPr="0093029D">
        <w:rPr>
          <w:rFonts w:ascii="Garamond" w:hAnsi="Garamond"/>
          <w:color w:val="000000" w:themeColor="text1"/>
        </w:rPr>
        <w:t xml:space="preserve">along with details of </w:t>
      </w:r>
      <w:r w:rsidR="007F3D34" w:rsidRPr="0093029D">
        <w:rPr>
          <w:rFonts w:ascii="Garamond" w:hAnsi="Garamond"/>
          <w:color w:val="000000" w:themeColor="text1"/>
        </w:rPr>
        <w:t>energy consumption data such as coal, diesel, and electricity usage.</w:t>
      </w:r>
    </w:p>
    <w:p w14:paraId="6FF28254" w14:textId="6A762C93" w:rsidR="007F3D34" w:rsidRPr="0093029D" w:rsidRDefault="007F3D34" w:rsidP="007F3D34">
      <w:pPr>
        <w:rPr>
          <w:rFonts w:ascii="Garamond" w:hAnsi="Garamond"/>
          <w:b/>
          <w:bCs/>
          <w:color w:val="000000" w:themeColor="text1"/>
        </w:rPr>
      </w:pPr>
      <w:r w:rsidRPr="0093029D">
        <w:rPr>
          <w:rFonts w:ascii="Garamond" w:hAnsi="Garamond"/>
          <w:b/>
          <w:bCs/>
          <w:color w:val="000000" w:themeColor="text1"/>
        </w:rPr>
        <w:t>Estimation of Greenhouse Gas Emissions</w:t>
      </w:r>
    </w:p>
    <w:p w14:paraId="457ED06B" w14:textId="3D9553AA" w:rsidR="007F3D34" w:rsidRPr="0093029D" w:rsidRDefault="007F3D34" w:rsidP="007F3D34">
      <w:pPr>
        <w:rPr>
          <w:rFonts w:ascii="Garamond" w:hAnsi="Garamond"/>
          <w:color w:val="000000" w:themeColor="text1"/>
        </w:rPr>
      </w:pPr>
      <w:r w:rsidRPr="0093029D">
        <w:rPr>
          <w:rFonts w:ascii="Garamond" w:hAnsi="Garamond"/>
          <w:color w:val="000000" w:themeColor="text1"/>
        </w:rPr>
        <w:t>Greenhouse gas (GHG) emissions—including CO</w:t>
      </w:r>
      <w:r w:rsidRPr="0093029D">
        <w:rPr>
          <w:rFonts w:ascii="Cambria Math" w:hAnsi="Cambria Math" w:cs="Cambria Math"/>
          <w:color w:val="000000" w:themeColor="text1"/>
        </w:rPr>
        <w:t>₂</w:t>
      </w:r>
      <w:r w:rsidRPr="0093029D">
        <w:rPr>
          <w:rFonts w:ascii="Garamond" w:hAnsi="Garamond"/>
          <w:color w:val="000000" w:themeColor="text1"/>
        </w:rPr>
        <w:t>, CH</w:t>
      </w:r>
      <w:r w:rsidRPr="0093029D">
        <w:rPr>
          <w:rFonts w:ascii="Cambria Math" w:hAnsi="Cambria Math" w:cs="Cambria Math"/>
          <w:color w:val="000000" w:themeColor="text1"/>
        </w:rPr>
        <w:t>₄</w:t>
      </w:r>
      <w:r w:rsidRPr="0093029D">
        <w:rPr>
          <w:rFonts w:ascii="Garamond" w:hAnsi="Garamond"/>
          <w:color w:val="000000" w:themeColor="text1"/>
        </w:rPr>
        <w:t>, and N</w:t>
      </w:r>
      <w:r w:rsidRPr="0093029D">
        <w:rPr>
          <w:rFonts w:ascii="Cambria Math" w:hAnsi="Cambria Math" w:cs="Cambria Math"/>
          <w:color w:val="000000" w:themeColor="text1"/>
        </w:rPr>
        <w:t>₂</w:t>
      </w:r>
      <w:r w:rsidRPr="0093029D">
        <w:rPr>
          <w:rFonts w:ascii="Garamond" w:hAnsi="Garamond"/>
          <w:color w:val="000000" w:themeColor="text1"/>
        </w:rPr>
        <w:t>O—are estimated following guidelines provided by the Intergovernmental Panel on Climate Change</w:t>
      </w:r>
      <w:r w:rsidR="00945663" w:rsidRPr="0093029D">
        <w:rPr>
          <w:rFonts w:ascii="Garamond" w:hAnsi="Garamond"/>
          <w:color w:val="000000" w:themeColor="text1"/>
        </w:rPr>
        <w:t xml:space="preserve"> (IPCC) </w:t>
      </w:r>
      <w:r w:rsidRPr="0093029D">
        <w:rPr>
          <w:rFonts w:ascii="Garamond" w:hAnsi="Garamond"/>
          <w:color w:val="000000" w:themeColor="text1"/>
        </w:rPr>
        <w:t xml:space="preserve"> and the International Energy Agency</w:t>
      </w:r>
      <w:r w:rsidR="00945663" w:rsidRPr="0093029D">
        <w:rPr>
          <w:rFonts w:ascii="Garamond" w:hAnsi="Garamond"/>
          <w:color w:val="000000" w:themeColor="text1"/>
        </w:rPr>
        <w:t xml:space="preserve"> (IEA)</w:t>
      </w:r>
      <w:r w:rsidRPr="0093029D">
        <w:rPr>
          <w:rFonts w:ascii="Garamond" w:hAnsi="Garamond"/>
          <w:color w:val="000000" w:themeColor="text1"/>
        </w:rPr>
        <w:t>. Emissions are calculated using standard conversion factors (e.g., tCO</w:t>
      </w:r>
      <w:r w:rsidRPr="0093029D">
        <w:rPr>
          <w:rFonts w:ascii="Cambria Math" w:hAnsi="Cambria Math" w:cs="Cambria Math"/>
          <w:color w:val="000000" w:themeColor="text1"/>
        </w:rPr>
        <w:t>₂</w:t>
      </w:r>
      <w:r w:rsidRPr="0093029D">
        <w:rPr>
          <w:rFonts w:ascii="Garamond" w:hAnsi="Garamond"/>
          <w:color w:val="000000" w:themeColor="text1"/>
        </w:rPr>
        <w:t xml:space="preserve"> per ton of coal, per liter of diesel, and per kWh of electricity). Each gas is weighted by its Global Warming Potential (GWP) to derive carbon dioxide equivalent (tCO</w:t>
      </w:r>
      <w:r w:rsidRPr="0093029D">
        <w:rPr>
          <w:rFonts w:ascii="Cambria Math" w:hAnsi="Cambria Math" w:cs="Cambria Math"/>
          <w:color w:val="000000" w:themeColor="text1"/>
        </w:rPr>
        <w:t>₂</w:t>
      </w:r>
      <w:r w:rsidRPr="0093029D">
        <w:rPr>
          <w:rFonts w:ascii="Garamond" w:hAnsi="Garamond"/>
          <w:color w:val="000000" w:themeColor="text1"/>
        </w:rPr>
        <w:t>e) values.</w:t>
      </w:r>
    </w:p>
    <w:p w14:paraId="2D0E751C" w14:textId="77777777" w:rsidR="007F3D34" w:rsidRPr="0093029D" w:rsidRDefault="007F3D34" w:rsidP="007F3D34">
      <w:pPr>
        <w:rPr>
          <w:rFonts w:ascii="Garamond" w:hAnsi="Garamond"/>
          <w:color w:val="000000" w:themeColor="text1"/>
        </w:rPr>
      </w:pPr>
      <w:r w:rsidRPr="0093029D">
        <w:rPr>
          <w:rFonts w:ascii="Garamond" w:hAnsi="Garamond"/>
          <w:color w:val="000000" w:themeColor="text1"/>
        </w:rPr>
        <w:t>All emission variables are measured at the firm–year level and expressed in metric tons of CO</w:t>
      </w:r>
      <w:r w:rsidRPr="0093029D">
        <w:rPr>
          <w:rFonts w:ascii="Cambria Math" w:hAnsi="Cambria Math" w:cs="Cambria Math"/>
          <w:color w:val="000000" w:themeColor="text1"/>
        </w:rPr>
        <w:t>₂</w:t>
      </w:r>
      <w:r w:rsidRPr="0093029D">
        <w:rPr>
          <w:rFonts w:ascii="Garamond" w:hAnsi="Garamond"/>
          <w:color w:val="000000" w:themeColor="text1"/>
        </w:rPr>
        <w:t xml:space="preserve"> equivalent (tCO</w:t>
      </w:r>
      <w:r w:rsidRPr="0093029D">
        <w:rPr>
          <w:rFonts w:ascii="Cambria Math" w:hAnsi="Cambria Math" w:cs="Cambria Math"/>
          <w:color w:val="000000" w:themeColor="text1"/>
        </w:rPr>
        <w:t>₂</w:t>
      </w:r>
      <w:r w:rsidRPr="0093029D">
        <w:rPr>
          <w:rFonts w:ascii="Garamond" w:hAnsi="Garamond"/>
          <w:color w:val="000000" w:themeColor="text1"/>
        </w:rPr>
        <w:t>e), defined as follows:</w:t>
      </w:r>
    </w:p>
    <w:p w14:paraId="1EAF7DA7" w14:textId="77777777" w:rsidR="007F3D34" w:rsidRPr="0093029D" w:rsidRDefault="007F3D34" w:rsidP="00945663">
      <w:pPr>
        <w:pStyle w:val="ListParagraph"/>
        <w:numPr>
          <w:ilvl w:val="0"/>
          <w:numId w:val="5"/>
        </w:numPr>
        <w:rPr>
          <w:rFonts w:ascii="Garamond" w:hAnsi="Garamond"/>
          <w:color w:val="000000" w:themeColor="text1"/>
        </w:rPr>
      </w:pPr>
      <w:r w:rsidRPr="0093029D">
        <w:rPr>
          <w:rFonts w:ascii="Garamond" w:hAnsi="Garamond"/>
          <w:color w:val="000000" w:themeColor="text1"/>
        </w:rPr>
        <w:t>Scope 1 Emissions (tCO</w:t>
      </w:r>
      <w:r w:rsidRPr="0093029D">
        <w:rPr>
          <w:rFonts w:ascii="Cambria Math" w:hAnsi="Cambria Math" w:cs="Cambria Math"/>
          <w:color w:val="000000" w:themeColor="text1"/>
        </w:rPr>
        <w:t>₂</w:t>
      </w:r>
      <w:r w:rsidRPr="0093029D">
        <w:rPr>
          <w:rFonts w:ascii="Garamond" w:hAnsi="Garamond"/>
          <w:color w:val="000000" w:themeColor="text1"/>
        </w:rPr>
        <w:t>e): Direct emissions from on-site fuel combustion (coal and diesel) and process emissions from limestone calcination during clinker production.</w:t>
      </w:r>
    </w:p>
    <w:p w14:paraId="4D743846" w14:textId="77777777" w:rsidR="007F3D34" w:rsidRPr="0093029D" w:rsidRDefault="007F3D34" w:rsidP="00945663">
      <w:pPr>
        <w:pStyle w:val="ListParagraph"/>
        <w:numPr>
          <w:ilvl w:val="0"/>
          <w:numId w:val="5"/>
        </w:numPr>
        <w:rPr>
          <w:rFonts w:ascii="Garamond" w:hAnsi="Garamond"/>
          <w:color w:val="000000" w:themeColor="text1"/>
        </w:rPr>
      </w:pPr>
      <w:r w:rsidRPr="0093029D">
        <w:rPr>
          <w:rFonts w:ascii="Garamond" w:hAnsi="Garamond"/>
          <w:color w:val="000000" w:themeColor="text1"/>
        </w:rPr>
        <w:t>Scope 2 Emissions (tCO</w:t>
      </w:r>
      <w:r w:rsidRPr="0093029D">
        <w:rPr>
          <w:rFonts w:ascii="Cambria Math" w:hAnsi="Cambria Math" w:cs="Cambria Math"/>
          <w:color w:val="000000" w:themeColor="text1"/>
        </w:rPr>
        <w:t>₂</w:t>
      </w:r>
      <w:r w:rsidRPr="0093029D">
        <w:rPr>
          <w:rFonts w:ascii="Garamond" w:hAnsi="Garamond"/>
          <w:color w:val="000000" w:themeColor="text1"/>
        </w:rPr>
        <w:t>e): Indirect emissions associated with purchased electricity consumption.</w:t>
      </w:r>
    </w:p>
    <w:p w14:paraId="7E9FAFA4" w14:textId="77777777" w:rsidR="007F3D34" w:rsidRPr="0093029D" w:rsidRDefault="007F3D34" w:rsidP="00945663">
      <w:pPr>
        <w:pStyle w:val="ListParagraph"/>
        <w:numPr>
          <w:ilvl w:val="0"/>
          <w:numId w:val="5"/>
        </w:numPr>
        <w:rPr>
          <w:rFonts w:ascii="Garamond" w:hAnsi="Garamond"/>
          <w:color w:val="000000" w:themeColor="text1"/>
        </w:rPr>
      </w:pPr>
      <w:r w:rsidRPr="0093029D">
        <w:rPr>
          <w:rFonts w:ascii="Garamond" w:hAnsi="Garamond"/>
          <w:color w:val="000000" w:themeColor="text1"/>
        </w:rPr>
        <w:t>Total Emissions (tCO</w:t>
      </w:r>
      <w:r w:rsidRPr="0093029D">
        <w:rPr>
          <w:rFonts w:ascii="Cambria Math" w:hAnsi="Cambria Math" w:cs="Cambria Math"/>
          <w:color w:val="000000" w:themeColor="text1"/>
        </w:rPr>
        <w:t>₂</w:t>
      </w:r>
      <w:r w:rsidRPr="0093029D">
        <w:rPr>
          <w:rFonts w:ascii="Garamond" w:hAnsi="Garamond"/>
          <w:color w:val="000000" w:themeColor="text1"/>
        </w:rPr>
        <w:t>e): The aggregate of Scope 1 and Scope 2 emissions.</w:t>
      </w:r>
    </w:p>
    <w:p w14:paraId="6F19829E" w14:textId="36E978A9" w:rsidR="007F3D34" w:rsidRPr="0093029D" w:rsidRDefault="007F3D34" w:rsidP="007F3D34">
      <w:pPr>
        <w:rPr>
          <w:rFonts w:ascii="Garamond" w:hAnsi="Garamond"/>
          <w:color w:val="000000" w:themeColor="text1"/>
        </w:rPr>
      </w:pPr>
      <w:r w:rsidRPr="0093029D">
        <w:rPr>
          <w:rFonts w:ascii="Garamond" w:hAnsi="Garamond"/>
          <w:color w:val="000000" w:themeColor="text1"/>
        </w:rPr>
        <w:t>Data cleaning and interpolation techniques are applied to address missing observations and ensure consistency across firms and time periods.</w:t>
      </w:r>
    </w:p>
    <w:p w14:paraId="5A86549B" w14:textId="77777777" w:rsidR="007F3D34" w:rsidRPr="0093029D" w:rsidRDefault="007F3D34" w:rsidP="007F3D34">
      <w:pPr>
        <w:rPr>
          <w:rFonts w:ascii="Garamond" w:hAnsi="Garamond"/>
          <w:b/>
          <w:bCs/>
          <w:color w:val="000000" w:themeColor="text1"/>
        </w:rPr>
      </w:pPr>
      <w:r w:rsidRPr="0093029D">
        <w:rPr>
          <w:rFonts w:ascii="Garamond" w:hAnsi="Garamond"/>
          <w:b/>
          <w:bCs/>
          <w:color w:val="000000" w:themeColor="text1"/>
        </w:rPr>
        <w:t>Eco-Efficiency Measurement</w:t>
      </w:r>
    </w:p>
    <w:p w14:paraId="351262C3" w14:textId="27270B05" w:rsidR="00B91805" w:rsidRPr="0093029D" w:rsidRDefault="00B91805" w:rsidP="007F3D34">
      <w:pPr>
        <w:rPr>
          <w:rFonts w:ascii="Garamond" w:hAnsi="Garamond"/>
          <w:color w:val="000000" w:themeColor="text1"/>
        </w:rPr>
      </w:pPr>
      <w:r w:rsidRPr="0093029D">
        <w:rPr>
          <w:rFonts w:ascii="Garamond" w:hAnsi="Garamond"/>
          <w:color w:val="000000" w:themeColor="text1"/>
        </w:rPr>
        <w:t>To evaluate environmental performance, the study employs a Slack-Based Measure (SBM) model within the Data Envelopment Analysis (DEA) framework under the Constant Returns to Scale (CRS) assumption. The model integrates both economic and environmental dimensions by treating raw material cost as inputs, production/revenue as a desirable output, and GHG emissions (tCO</w:t>
      </w:r>
      <w:r w:rsidRPr="0093029D">
        <w:rPr>
          <w:rFonts w:ascii="Cambria Math" w:hAnsi="Cambria Math" w:cs="Cambria Math"/>
          <w:color w:val="000000" w:themeColor="text1"/>
        </w:rPr>
        <w:t>₂</w:t>
      </w:r>
      <w:r w:rsidRPr="0093029D">
        <w:rPr>
          <w:rFonts w:ascii="Garamond" w:hAnsi="Garamond"/>
          <w:color w:val="000000" w:themeColor="text1"/>
        </w:rPr>
        <w:t>e) as an undesirable output. By explicitly accounting for input excesses and output shortfalls, the SBM approach provides a more comprehensive assessment of inefficiency, enabling the estimation and ranking of firm-level eco-efficiency scores.</w:t>
      </w:r>
    </w:p>
    <w:p w14:paraId="002EDCA3" w14:textId="77777777" w:rsidR="007F3D34" w:rsidRPr="0093029D" w:rsidRDefault="007F3D34" w:rsidP="007F3D34">
      <w:pPr>
        <w:rPr>
          <w:rFonts w:ascii="Garamond" w:hAnsi="Garamond"/>
          <w:b/>
          <w:bCs/>
          <w:color w:val="000000" w:themeColor="text1"/>
        </w:rPr>
      </w:pPr>
      <w:r w:rsidRPr="0093029D">
        <w:rPr>
          <w:rFonts w:ascii="Garamond" w:hAnsi="Garamond"/>
          <w:b/>
          <w:bCs/>
          <w:color w:val="000000" w:themeColor="text1"/>
        </w:rPr>
        <w:t>Technology Classification</w:t>
      </w:r>
    </w:p>
    <w:p w14:paraId="0ED1E13B" w14:textId="77777777" w:rsidR="00956F8F" w:rsidRPr="0093029D" w:rsidRDefault="00956F8F" w:rsidP="00956F8F">
      <w:pPr>
        <w:rPr>
          <w:rFonts w:ascii="Garamond" w:hAnsi="Garamond"/>
          <w:color w:val="000000" w:themeColor="text1"/>
        </w:rPr>
      </w:pPr>
      <w:r w:rsidRPr="0093029D">
        <w:rPr>
          <w:rFonts w:ascii="Garamond" w:hAnsi="Garamond"/>
          <w:color w:val="000000" w:themeColor="text1"/>
        </w:rPr>
        <w:t>Firms are categorized into high and low technology adoption groups based on the type of production equipment used, including FLSmidth systems, Vertical Roller Mills (VRM), modern rotary kilns, and ball mills. To operationalize this classification, a Technology–Emission Index is constructed as follows: a score of 4 represents advanced integrated systems (VRM combined with waste heat recovery and an efficient kiln), 3 denotes VRM with a modern kiln, 2 reflects a modern kiln without advanced grinding technology, and 1 indicates the use of ball mills or other outdated systems.</w:t>
      </w:r>
    </w:p>
    <w:tbl>
      <w:tblPr>
        <w:tblStyle w:val="ListTable6Colorful"/>
        <w:tblW w:w="0" w:type="auto"/>
        <w:tblLook w:val="04A0" w:firstRow="1" w:lastRow="0" w:firstColumn="1" w:lastColumn="0" w:noHBand="0" w:noVBand="1"/>
      </w:tblPr>
      <w:tblGrid>
        <w:gridCol w:w="715"/>
        <w:gridCol w:w="8635"/>
      </w:tblGrid>
      <w:tr w:rsidR="0093029D" w:rsidRPr="0093029D" w14:paraId="4663065A" w14:textId="77777777" w:rsidTr="00661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12B80BBA" w14:textId="339EF7D4" w:rsidR="0066103B" w:rsidRPr="0093029D" w:rsidRDefault="0066103B" w:rsidP="0066103B">
            <w:pPr>
              <w:jc w:val="center"/>
              <w:rPr>
                <w:rFonts w:ascii="Garamond" w:hAnsi="Garamond"/>
              </w:rPr>
            </w:pPr>
          </w:p>
        </w:tc>
        <w:tc>
          <w:tcPr>
            <w:tcW w:w="8635" w:type="dxa"/>
          </w:tcPr>
          <w:p w14:paraId="39A69305" w14:textId="2BC696D3" w:rsidR="0066103B" w:rsidRPr="0093029D" w:rsidRDefault="0066103B" w:rsidP="0066103B">
            <w:pPr>
              <w:jc w:val="center"/>
              <w:cnfStyle w:val="100000000000" w:firstRow="1" w:lastRow="0" w:firstColumn="0" w:lastColumn="0" w:oddVBand="0" w:evenVBand="0" w:oddHBand="0" w:evenHBand="0" w:firstRowFirstColumn="0" w:firstRowLastColumn="0" w:lastRowFirstColumn="0" w:lastRowLastColumn="0"/>
              <w:rPr>
                <w:rFonts w:ascii="Garamond" w:hAnsi="Garamond"/>
              </w:rPr>
            </w:pPr>
            <w:r w:rsidRPr="0093029D">
              <w:rPr>
                <w:rFonts w:ascii="Garamond" w:hAnsi="Garamond"/>
              </w:rPr>
              <w:t>Score Description</w:t>
            </w:r>
          </w:p>
        </w:tc>
      </w:tr>
      <w:tr w:rsidR="0093029D" w:rsidRPr="0093029D" w14:paraId="73BF4E4A" w14:textId="77777777" w:rsidTr="00661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5FF774DF" w14:textId="67C6ECE9" w:rsidR="0066103B" w:rsidRPr="0093029D" w:rsidRDefault="0066103B" w:rsidP="007F3D34">
            <w:pPr>
              <w:rPr>
                <w:rFonts w:ascii="Garamond" w:hAnsi="Garamond"/>
                <w:b w:val="0"/>
                <w:bCs w:val="0"/>
              </w:rPr>
            </w:pPr>
            <w:r w:rsidRPr="0093029D">
              <w:rPr>
                <w:rFonts w:ascii="Garamond" w:hAnsi="Garamond"/>
                <w:b w:val="0"/>
                <w:bCs w:val="0"/>
              </w:rPr>
              <w:t>4</w:t>
            </w:r>
          </w:p>
        </w:tc>
        <w:tc>
          <w:tcPr>
            <w:tcW w:w="8635" w:type="dxa"/>
          </w:tcPr>
          <w:p w14:paraId="334B8879" w14:textId="1E4A4583" w:rsidR="0066103B" w:rsidRPr="0093029D" w:rsidRDefault="0066103B" w:rsidP="007F3D34">
            <w:pPr>
              <w:cnfStyle w:val="000000100000" w:firstRow="0" w:lastRow="0" w:firstColumn="0" w:lastColumn="0" w:oddVBand="0" w:evenVBand="0" w:oddHBand="1" w:evenHBand="0" w:firstRowFirstColumn="0" w:firstRowLastColumn="0" w:lastRowFirstColumn="0" w:lastRowLastColumn="0"/>
              <w:rPr>
                <w:rFonts w:ascii="Garamond" w:hAnsi="Garamond"/>
                <w:b/>
                <w:bCs/>
              </w:rPr>
            </w:pPr>
            <w:r w:rsidRPr="0093029D">
              <w:rPr>
                <w:rFonts w:ascii="Garamond" w:hAnsi="Garamond"/>
              </w:rPr>
              <w:t>Advanced integrated system (VRM + waste heat recovery + efficient kiln)</w:t>
            </w:r>
          </w:p>
        </w:tc>
      </w:tr>
      <w:tr w:rsidR="0093029D" w:rsidRPr="0093029D" w14:paraId="3D7A8443" w14:textId="77777777" w:rsidTr="0066103B">
        <w:tc>
          <w:tcPr>
            <w:cnfStyle w:val="001000000000" w:firstRow="0" w:lastRow="0" w:firstColumn="1" w:lastColumn="0" w:oddVBand="0" w:evenVBand="0" w:oddHBand="0" w:evenHBand="0" w:firstRowFirstColumn="0" w:firstRowLastColumn="0" w:lastRowFirstColumn="0" w:lastRowLastColumn="0"/>
            <w:tcW w:w="715" w:type="dxa"/>
          </w:tcPr>
          <w:p w14:paraId="0D2B5FE7" w14:textId="557B9D54" w:rsidR="0066103B" w:rsidRPr="0093029D" w:rsidRDefault="0066103B" w:rsidP="007F3D34">
            <w:pPr>
              <w:rPr>
                <w:rFonts w:ascii="Garamond" w:hAnsi="Garamond"/>
                <w:b w:val="0"/>
                <w:bCs w:val="0"/>
              </w:rPr>
            </w:pPr>
            <w:r w:rsidRPr="0093029D">
              <w:rPr>
                <w:rFonts w:ascii="Garamond" w:hAnsi="Garamond"/>
                <w:b w:val="0"/>
                <w:bCs w:val="0"/>
              </w:rPr>
              <w:t>3</w:t>
            </w:r>
          </w:p>
        </w:tc>
        <w:tc>
          <w:tcPr>
            <w:tcW w:w="8635" w:type="dxa"/>
          </w:tcPr>
          <w:p w14:paraId="540ACD80" w14:textId="08DD90FB" w:rsidR="0066103B" w:rsidRPr="0093029D" w:rsidRDefault="0066103B" w:rsidP="007F3D34">
            <w:pP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93029D">
              <w:rPr>
                <w:rFonts w:ascii="Garamond" w:hAnsi="Garamond"/>
              </w:rPr>
              <w:t>VRM with modern kiln</w:t>
            </w:r>
          </w:p>
        </w:tc>
      </w:tr>
      <w:tr w:rsidR="0093029D" w:rsidRPr="0093029D" w14:paraId="6DF2F234" w14:textId="77777777" w:rsidTr="00661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030D33C" w14:textId="024F94EF" w:rsidR="0066103B" w:rsidRPr="0093029D" w:rsidRDefault="0066103B" w:rsidP="007F3D34">
            <w:pPr>
              <w:rPr>
                <w:rFonts w:ascii="Garamond" w:hAnsi="Garamond"/>
                <w:b w:val="0"/>
                <w:bCs w:val="0"/>
              </w:rPr>
            </w:pPr>
            <w:r w:rsidRPr="0093029D">
              <w:rPr>
                <w:rFonts w:ascii="Garamond" w:hAnsi="Garamond"/>
                <w:b w:val="0"/>
                <w:bCs w:val="0"/>
              </w:rPr>
              <w:t>2</w:t>
            </w:r>
          </w:p>
        </w:tc>
        <w:tc>
          <w:tcPr>
            <w:tcW w:w="8635" w:type="dxa"/>
          </w:tcPr>
          <w:p w14:paraId="0C2476EC" w14:textId="2E5F3444" w:rsidR="0066103B" w:rsidRPr="0093029D" w:rsidRDefault="0066103B" w:rsidP="007F3D34">
            <w:pPr>
              <w:cnfStyle w:val="000000100000" w:firstRow="0" w:lastRow="0" w:firstColumn="0" w:lastColumn="0" w:oddVBand="0" w:evenVBand="0" w:oddHBand="1" w:evenHBand="0" w:firstRowFirstColumn="0" w:firstRowLastColumn="0" w:lastRowFirstColumn="0" w:lastRowLastColumn="0"/>
              <w:rPr>
                <w:rFonts w:ascii="Garamond" w:hAnsi="Garamond"/>
                <w:b/>
                <w:bCs/>
              </w:rPr>
            </w:pPr>
            <w:r w:rsidRPr="0093029D">
              <w:rPr>
                <w:rFonts w:ascii="Garamond" w:hAnsi="Garamond"/>
              </w:rPr>
              <w:t>Modern kiln without advanced grinding</w:t>
            </w:r>
          </w:p>
        </w:tc>
      </w:tr>
      <w:tr w:rsidR="0093029D" w:rsidRPr="0093029D" w14:paraId="7C3C9FC3" w14:textId="77777777" w:rsidTr="0066103B">
        <w:tc>
          <w:tcPr>
            <w:cnfStyle w:val="001000000000" w:firstRow="0" w:lastRow="0" w:firstColumn="1" w:lastColumn="0" w:oddVBand="0" w:evenVBand="0" w:oddHBand="0" w:evenHBand="0" w:firstRowFirstColumn="0" w:firstRowLastColumn="0" w:lastRowFirstColumn="0" w:lastRowLastColumn="0"/>
            <w:tcW w:w="715" w:type="dxa"/>
          </w:tcPr>
          <w:p w14:paraId="1C42B71E" w14:textId="42113A24" w:rsidR="0066103B" w:rsidRPr="0093029D" w:rsidRDefault="0066103B" w:rsidP="007F3D34">
            <w:pPr>
              <w:rPr>
                <w:rFonts w:ascii="Garamond" w:hAnsi="Garamond"/>
                <w:b w:val="0"/>
                <w:bCs w:val="0"/>
              </w:rPr>
            </w:pPr>
            <w:r w:rsidRPr="0093029D">
              <w:rPr>
                <w:rFonts w:ascii="Garamond" w:hAnsi="Garamond"/>
                <w:b w:val="0"/>
                <w:bCs w:val="0"/>
              </w:rPr>
              <w:t>1</w:t>
            </w:r>
          </w:p>
        </w:tc>
        <w:tc>
          <w:tcPr>
            <w:tcW w:w="8635" w:type="dxa"/>
          </w:tcPr>
          <w:p w14:paraId="4677C7E6" w14:textId="29EFD679" w:rsidR="0066103B" w:rsidRPr="0093029D" w:rsidRDefault="0066103B" w:rsidP="007F3D34">
            <w:pP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93029D">
              <w:rPr>
                <w:rFonts w:ascii="Garamond" w:hAnsi="Garamond"/>
              </w:rPr>
              <w:t>Ball mill or outdated systems</w:t>
            </w:r>
          </w:p>
        </w:tc>
      </w:tr>
    </w:tbl>
    <w:p w14:paraId="436BD6AB" w14:textId="77777777" w:rsidR="00093750" w:rsidRPr="0093029D" w:rsidRDefault="00093750" w:rsidP="007F3D34">
      <w:pPr>
        <w:rPr>
          <w:rFonts w:ascii="Garamond" w:hAnsi="Garamond"/>
          <w:b/>
          <w:bCs/>
          <w:color w:val="000000" w:themeColor="text1"/>
        </w:rPr>
      </w:pPr>
    </w:p>
    <w:p w14:paraId="302782AE" w14:textId="2E887135" w:rsidR="00956F8F" w:rsidRPr="0093029D" w:rsidRDefault="00956F8F" w:rsidP="007F3D34">
      <w:pPr>
        <w:rPr>
          <w:rFonts w:ascii="Garamond" w:hAnsi="Garamond"/>
          <w:color w:val="000000" w:themeColor="text1"/>
        </w:rPr>
      </w:pPr>
      <w:r w:rsidRPr="0093029D">
        <w:rPr>
          <w:rFonts w:ascii="Garamond" w:hAnsi="Garamond"/>
          <w:color w:val="000000" w:themeColor="text1"/>
        </w:rPr>
        <w:t>This index captures variation in technological sophistication and its potential environmental implications. Based on the score distribution, firms with a score of 3 and above are classified as high technology adopters, while those with a score below 3 are categorized as low technology adopters.</w:t>
      </w:r>
    </w:p>
    <w:p w14:paraId="2305BBC7" w14:textId="77777777" w:rsidR="00956F8F" w:rsidRPr="0093029D" w:rsidRDefault="00956F8F" w:rsidP="007F3D34">
      <w:pPr>
        <w:rPr>
          <w:rFonts w:ascii="Garamond" w:hAnsi="Garamond"/>
          <w:b/>
          <w:bCs/>
          <w:color w:val="000000" w:themeColor="text1"/>
        </w:rPr>
      </w:pPr>
      <w:r w:rsidRPr="0093029D">
        <w:rPr>
          <w:rFonts w:ascii="Garamond" w:hAnsi="Garamond"/>
          <w:b/>
          <w:bCs/>
          <w:color w:val="000000" w:themeColor="text1"/>
        </w:rPr>
        <w:t>Statistical Method</w:t>
      </w:r>
    </w:p>
    <w:p w14:paraId="4A01C48A" w14:textId="58122231" w:rsidR="009612AC" w:rsidRDefault="009161B3" w:rsidP="003B672F">
      <w:pPr>
        <w:rPr>
          <w:rFonts w:ascii="Garamond" w:hAnsi="Garamond"/>
          <w:color w:val="000000" w:themeColor="text1"/>
        </w:rPr>
      </w:pPr>
      <w:r>
        <w:rPr>
          <w:rFonts w:ascii="Garamond" w:hAnsi="Garamond"/>
          <w:color w:val="000000" w:themeColor="text1"/>
        </w:rPr>
        <w:t>A</w:t>
      </w:r>
      <w:r w:rsidR="007F3D34" w:rsidRPr="0093029D">
        <w:rPr>
          <w:rFonts w:ascii="Garamond" w:hAnsi="Garamond"/>
          <w:color w:val="000000" w:themeColor="text1"/>
        </w:rPr>
        <w:t>n independent sample t-test is conducted to assess whether differences in technological adoption significantly influence firms’ eco-efficiency scores. This analysis provides empirical evidence on the role of technology in shaping environmental performance within Nepal’s cement industry.</w:t>
      </w:r>
    </w:p>
    <w:p w14:paraId="3D77B714" w14:textId="59B30F8C" w:rsidR="00CC0A89" w:rsidRDefault="008E5296" w:rsidP="00CC0A89">
      <w:pPr>
        <w:pStyle w:val="ListParagraph"/>
        <w:numPr>
          <w:ilvl w:val="0"/>
          <w:numId w:val="3"/>
        </w:numPr>
        <w:rPr>
          <w:rFonts w:ascii="Garamond" w:hAnsi="Garamond"/>
          <w:b/>
          <w:bCs/>
          <w:color w:val="000000" w:themeColor="text1"/>
        </w:rPr>
      </w:pPr>
      <w:r>
        <w:rPr>
          <w:rFonts w:ascii="Garamond" w:hAnsi="Garamond"/>
          <w:b/>
          <w:bCs/>
          <w:color w:val="000000" w:themeColor="text1"/>
        </w:rPr>
        <w:t>Results: Figures and Statistical tests</w:t>
      </w:r>
    </w:p>
    <w:p w14:paraId="58D0B4B3" w14:textId="3134463F" w:rsidR="00CC0A89" w:rsidRPr="00667C1E" w:rsidRDefault="00CC0A89" w:rsidP="00667C1E">
      <w:pPr>
        <w:pStyle w:val="ListParagraph"/>
        <w:numPr>
          <w:ilvl w:val="0"/>
          <w:numId w:val="9"/>
        </w:numPr>
        <w:rPr>
          <w:rFonts w:ascii="Garamond" w:hAnsi="Garamond"/>
          <w:color w:val="000000" w:themeColor="text1"/>
        </w:rPr>
      </w:pPr>
      <w:r w:rsidRPr="00667C1E">
        <w:rPr>
          <w:rFonts w:ascii="Garamond" w:hAnsi="Garamond"/>
          <w:color w:val="000000" w:themeColor="text1"/>
        </w:rPr>
        <w:t>Descriptive Details of main variables</w:t>
      </w:r>
    </w:p>
    <w:p w14:paraId="76EECF51" w14:textId="0BD98009" w:rsidR="00CC0A89" w:rsidRPr="00667C1E" w:rsidRDefault="00CC0A89" w:rsidP="00667C1E">
      <w:pPr>
        <w:pStyle w:val="ListParagraph"/>
        <w:numPr>
          <w:ilvl w:val="0"/>
          <w:numId w:val="9"/>
        </w:numPr>
        <w:rPr>
          <w:rFonts w:ascii="Garamond" w:hAnsi="Garamond"/>
          <w:color w:val="000000" w:themeColor="text1"/>
        </w:rPr>
      </w:pPr>
      <w:r w:rsidRPr="00667C1E">
        <w:rPr>
          <w:rFonts w:ascii="Garamond" w:hAnsi="Garamond"/>
          <w:color w:val="000000" w:themeColor="text1"/>
        </w:rPr>
        <w:t>Plot</w:t>
      </w:r>
      <w:r w:rsidR="00250E1D" w:rsidRPr="00667C1E">
        <w:rPr>
          <w:rFonts w:ascii="Garamond" w:hAnsi="Garamond"/>
          <w:color w:val="000000" w:themeColor="text1"/>
        </w:rPr>
        <w:t>:</w:t>
      </w:r>
      <w:r w:rsidRPr="00667C1E">
        <w:rPr>
          <w:rFonts w:ascii="Garamond" w:hAnsi="Garamond"/>
          <w:color w:val="000000" w:themeColor="text1"/>
        </w:rPr>
        <w:t xml:space="preserve"> Total Yearly </w:t>
      </w:r>
      <w:r w:rsidRPr="00667C1E">
        <w:rPr>
          <w:rFonts w:ascii="Garamond" w:hAnsi="Garamond"/>
          <w:color w:val="000000" w:themeColor="text1"/>
        </w:rPr>
        <w:t>tCO</w:t>
      </w:r>
      <w:r w:rsidRPr="00667C1E">
        <w:rPr>
          <w:rFonts w:ascii="Garamond" w:hAnsi="Garamond"/>
          <w:color w:val="000000" w:themeColor="text1"/>
          <w:vertAlign w:val="subscript"/>
        </w:rPr>
        <w:t>2</w:t>
      </w:r>
      <w:r w:rsidRPr="00667C1E">
        <w:rPr>
          <w:rFonts w:ascii="Garamond" w:hAnsi="Garamond"/>
          <w:color w:val="000000" w:themeColor="text1"/>
        </w:rPr>
        <w:t xml:space="preserve"> </w:t>
      </w:r>
      <w:r w:rsidRPr="00667C1E">
        <w:rPr>
          <w:rFonts w:ascii="Garamond" w:hAnsi="Garamond"/>
          <w:color w:val="000000" w:themeColor="text1"/>
        </w:rPr>
        <w:t>Emission</w:t>
      </w:r>
    </w:p>
    <w:p w14:paraId="594F0A04" w14:textId="5232488A" w:rsidR="00CC0A89" w:rsidRPr="00667C1E" w:rsidRDefault="008E5296" w:rsidP="00667C1E">
      <w:pPr>
        <w:pStyle w:val="ListParagraph"/>
        <w:numPr>
          <w:ilvl w:val="0"/>
          <w:numId w:val="9"/>
        </w:numPr>
        <w:rPr>
          <w:rFonts w:ascii="Garamond" w:hAnsi="Garamond"/>
          <w:color w:val="000000" w:themeColor="text1"/>
        </w:rPr>
      </w:pPr>
      <w:r w:rsidRPr="00667C1E">
        <w:rPr>
          <w:rFonts w:ascii="Garamond" w:hAnsi="Garamond"/>
          <w:color w:val="000000" w:themeColor="text1"/>
        </w:rPr>
        <w:t>Plot</w:t>
      </w:r>
      <w:r w:rsidR="00250E1D" w:rsidRPr="00667C1E">
        <w:rPr>
          <w:rFonts w:ascii="Garamond" w:hAnsi="Garamond"/>
          <w:color w:val="000000" w:themeColor="text1"/>
        </w:rPr>
        <w:t>:</w:t>
      </w:r>
      <w:r w:rsidRPr="00667C1E">
        <w:rPr>
          <w:rFonts w:ascii="Garamond" w:hAnsi="Garamond"/>
          <w:color w:val="000000" w:themeColor="text1"/>
        </w:rPr>
        <w:t xml:space="preserve"> Average</w:t>
      </w:r>
      <w:r w:rsidRPr="00667C1E">
        <w:rPr>
          <w:rFonts w:ascii="Garamond" w:hAnsi="Garamond"/>
          <w:color w:val="000000" w:themeColor="text1"/>
        </w:rPr>
        <w:t xml:space="preserve"> </w:t>
      </w:r>
      <w:r w:rsidRPr="00667C1E">
        <w:rPr>
          <w:rFonts w:ascii="Garamond" w:hAnsi="Garamond"/>
          <w:color w:val="000000" w:themeColor="text1"/>
        </w:rPr>
        <w:t>Yearly tCO2 emission</w:t>
      </w:r>
    </w:p>
    <w:p w14:paraId="7F5A5B4B" w14:textId="78A3B041" w:rsidR="008E5296" w:rsidRPr="00667C1E" w:rsidRDefault="008E5296" w:rsidP="00667C1E">
      <w:pPr>
        <w:pStyle w:val="ListParagraph"/>
        <w:numPr>
          <w:ilvl w:val="0"/>
          <w:numId w:val="9"/>
        </w:numPr>
        <w:rPr>
          <w:rFonts w:ascii="Garamond" w:hAnsi="Garamond"/>
          <w:color w:val="000000" w:themeColor="text1"/>
        </w:rPr>
      </w:pPr>
      <w:r w:rsidRPr="00667C1E">
        <w:rPr>
          <w:rFonts w:ascii="Garamond" w:hAnsi="Garamond"/>
          <w:color w:val="000000" w:themeColor="text1"/>
        </w:rPr>
        <w:t>Plot</w:t>
      </w:r>
      <w:r w:rsidR="00250E1D" w:rsidRPr="00667C1E">
        <w:rPr>
          <w:rFonts w:ascii="Garamond" w:hAnsi="Garamond"/>
          <w:color w:val="000000" w:themeColor="text1"/>
        </w:rPr>
        <w:t xml:space="preserve">: </w:t>
      </w:r>
      <w:r w:rsidRPr="00667C1E">
        <w:rPr>
          <w:rFonts w:ascii="Garamond" w:hAnsi="Garamond"/>
          <w:color w:val="000000" w:themeColor="text1"/>
        </w:rPr>
        <w:t>Combined both, Total and Average tCO2 emission</w:t>
      </w:r>
    </w:p>
    <w:p w14:paraId="284A9B22" w14:textId="3A8254C2" w:rsidR="008E5296" w:rsidRPr="00667C1E" w:rsidRDefault="00250E1D" w:rsidP="00667C1E">
      <w:pPr>
        <w:pStyle w:val="ListParagraph"/>
        <w:numPr>
          <w:ilvl w:val="0"/>
          <w:numId w:val="9"/>
        </w:numPr>
        <w:rPr>
          <w:rFonts w:ascii="Garamond" w:hAnsi="Garamond"/>
          <w:color w:val="000000" w:themeColor="text1"/>
        </w:rPr>
      </w:pPr>
      <w:r w:rsidRPr="00667C1E">
        <w:rPr>
          <w:rFonts w:ascii="Garamond" w:hAnsi="Garamond"/>
          <w:color w:val="000000" w:themeColor="text1"/>
        </w:rPr>
        <w:t xml:space="preserve">Plot: </w:t>
      </w:r>
      <w:r w:rsidR="008E5296" w:rsidRPr="00667C1E">
        <w:rPr>
          <w:rFonts w:ascii="Garamond" w:hAnsi="Garamond"/>
          <w:color w:val="000000" w:themeColor="text1"/>
        </w:rPr>
        <w:t>Year on Year Percentage Growth of Total emission</w:t>
      </w:r>
    </w:p>
    <w:p w14:paraId="40493702" w14:textId="687CB183" w:rsidR="008E5296" w:rsidRPr="00667C1E" w:rsidRDefault="00250E1D" w:rsidP="00667C1E">
      <w:pPr>
        <w:pStyle w:val="ListParagraph"/>
        <w:numPr>
          <w:ilvl w:val="0"/>
          <w:numId w:val="9"/>
        </w:numPr>
        <w:rPr>
          <w:rFonts w:ascii="Garamond" w:hAnsi="Garamond"/>
          <w:color w:val="000000" w:themeColor="text1"/>
        </w:rPr>
      </w:pPr>
      <w:r w:rsidRPr="00667C1E">
        <w:rPr>
          <w:rFonts w:ascii="Garamond" w:hAnsi="Garamond"/>
          <w:color w:val="000000" w:themeColor="text1"/>
        </w:rPr>
        <w:t xml:space="preserve">Plot: </w:t>
      </w:r>
      <w:r w:rsidR="006F3D53" w:rsidRPr="00667C1E">
        <w:rPr>
          <w:rFonts w:ascii="Garamond" w:hAnsi="Garamond"/>
          <w:color w:val="000000" w:themeColor="text1"/>
        </w:rPr>
        <w:t>T</w:t>
      </w:r>
      <w:r w:rsidR="006F3D53" w:rsidRPr="00667C1E">
        <w:rPr>
          <w:rFonts w:ascii="Garamond" w:hAnsi="Garamond"/>
          <w:color w:val="000000" w:themeColor="text1"/>
        </w:rPr>
        <w:t>op five CO2</w:t>
      </w:r>
      <w:r w:rsidR="006F3D53" w:rsidRPr="00667C1E">
        <w:rPr>
          <w:rFonts w:ascii="Garamond" w:hAnsi="Garamond"/>
          <w:color w:val="000000" w:themeColor="text1"/>
        </w:rPr>
        <w:t xml:space="preserve"> </w:t>
      </w:r>
      <w:r w:rsidR="006F3D53" w:rsidRPr="00667C1E">
        <w:rPr>
          <w:rFonts w:ascii="Garamond" w:hAnsi="Garamond"/>
          <w:color w:val="000000" w:themeColor="text1"/>
        </w:rPr>
        <w:t>emitt</w:t>
      </w:r>
      <w:r w:rsidR="006F3D53" w:rsidRPr="00667C1E">
        <w:rPr>
          <w:rFonts w:ascii="Garamond" w:hAnsi="Garamond"/>
          <w:color w:val="000000" w:themeColor="text1"/>
        </w:rPr>
        <w:t>ing firms</w:t>
      </w:r>
    </w:p>
    <w:p w14:paraId="54D64F79" w14:textId="0485FF7D" w:rsidR="006F3D53" w:rsidRPr="00667C1E" w:rsidRDefault="00250E1D" w:rsidP="00667C1E">
      <w:pPr>
        <w:pStyle w:val="ListParagraph"/>
        <w:numPr>
          <w:ilvl w:val="0"/>
          <w:numId w:val="9"/>
        </w:numPr>
        <w:rPr>
          <w:rFonts w:ascii="Garamond" w:hAnsi="Garamond"/>
          <w:color w:val="000000" w:themeColor="text1"/>
        </w:rPr>
      </w:pPr>
      <w:r w:rsidRPr="00667C1E">
        <w:rPr>
          <w:rFonts w:ascii="Garamond" w:hAnsi="Garamond"/>
          <w:color w:val="000000" w:themeColor="text1"/>
        </w:rPr>
        <w:t xml:space="preserve">Plot: </w:t>
      </w:r>
      <w:r w:rsidR="006F3D53" w:rsidRPr="00667C1E">
        <w:rPr>
          <w:rFonts w:ascii="Garamond" w:hAnsi="Garamond"/>
          <w:color w:val="000000" w:themeColor="text1"/>
        </w:rPr>
        <w:t xml:space="preserve">Emission percentage by top </w:t>
      </w:r>
      <w:r w:rsidR="006F3D53" w:rsidRPr="00667C1E">
        <w:rPr>
          <w:rFonts w:ascii="Garamond" w:hAnsi="Garamond"/>
          <w:color w:val="000000" w:themeColor="text1"/>
        </w:rPr>
        <w:t>five</w:t>
      </w:r>
      <w:r w:rsidR="006F3D53" w:rsidRPr="00667C1E">
        <w:rPr>
          <w:rFonts w:ascii="Garamond" w:hAnsi="Garamond"/>
          <w:color w:val="000000" w:themeColor="text1"/>
        </w:rPr>
        <w:t xml:space="preserve"> firms</w:t>
      </w:r>
    </w:p>
    <w:p w14:paraId="349E6E44" w14:textId="66FED650" w:rsidR="000B5714" w:rsidRPr="00667C1E" w:rsidRDefault="000B5714" w:rsidP="00667C1E">
      <w:pPr>
        <w:pStyle w:val="ListParagraph"/>
        <w:numPr>
          <w:ilvl w:val="0"/>
          <w:numId w:val="9"/>
        </w:numPr>
        <w:rPr>
          <w:rFonts w:ascii="Garamond" w:hAnsi="Garamond"/>
          <w:color w:val="000000" w:themeColor="text1"/>
        </w:rPr>
      </w:pPr>
      <w:r w:rsidRPr="00667C1E">
        <w:rPr>
          <w:rFonts w:ascii="Garamond" w:hAnsi="Garamond"/>
          <w:color w:val="000000" w:themeColor="text1"/>
        </w:rPr>
        <w:t>Plot</w:t>
      </w:r>
      <w:r w:rsidR="00250E1D" w:rsidRPr="00667C1E">
        <w:rPr>
          <w:rFonts w:ascii="Garamond" w:hAnsi="Garamond"/>
          <w:color w:val="000000" w:themeColor="text1"/>
        </w:rPr>
        <w:t>:</w:t>
      </w:r>
      <w:r w:rsidRPr="00667C1E">
        <w:rPr>
          <w:rFonts w:ascii="Garamond" w:hAnsi="Garamond"/>
          <w:color w:val="000000" w:themeColor="text1"/>
        </w:rPr>
        <w:t xml:space="preserve"> </w:t>
      </w:r>
      <w:r w:rsidR="00250E1D" w:rsidRPr="00667C1E">
        <w:rPr>
          <w:rFonts w:ascii="Garamond" w:hAnsi="Garamond"/>
          <w:color w:val="000000" w:themeColor="text1"/>
        </w:rPr>
        <w:t>Total e</w:t>
      </w:r>
      <w:r w:rsidRPr="00667C1E">
        <w:rPr>
          <w:rFonts w:ascii="Garamond" w:hAnsi="Garamond"/>
          <w:color w:val="000000" w:themeColor="text1"/>
        </w:rPr>
        <w:t xml:space="preserve">mission of all </w:t>
      </w:r>
      <w:r w:rsidRPr="00667C1E">
        <w:rPr>
          <w:rFonts w:ascii="Garamond" w:hAnsi="Garamond"/>
          <w:color w:val="000000" w:themeColor="text1"/>
        </w:rPr>
        <w:t>individual</w:t>
      </w:r>
      <w:r w:rsidRPr="00667C1E">
        <w:rPr>
          <w:rFonts w:ascii="Garamond" w:hAnsi="Garamond"/>
          <w:color w:val="000000" w:themeColor="text1"/>
        </w:rPr>
        <w:t xml:space="preserve"> cement companies</w:t>
      </w:r>
      <w:r w:rsidR="00250E1D" w:rsidRPr="00667C1E">
        <w:rPr>
          <w:rFonts w:ascii="Garamond" w:hAnsi="Garamond"/>
          <w:color w:val="000000" w:themeColor="text1"/>
        </w:rPr>
        <w:t xml:space="preserve"> (ordered according to their total emissions)</w:t>
      </w:r>
    </w:p>
    <w:p w14:paraId="57388F35" w14:textId="3773F60D" w:rsidR="00250E1D" w:rsidRPr="00667C1E" w:rsidRDefault="00250E1D" w:rsidP="00667C1E">
      <w:pPr>
        <w:pStyle w:val="ListParagraph"/>
        <w:numPr>
          <w:ilvl w:val="0"/>
          <w:numId w:val="9"/>
        </w:numPr>
        <w:rPr>
          <w:rFonts w:ascii="Garamond" w:hAnsi="Garamond"/>
          <w:color w:val="000000" w:themeColor="text1"/>
        </w:rPr>
      </w:pPr>
      <w:r w:rsidRPr="00667C1E">
        <w:rPr>
          <w:rFonts w:ascii="Garamond" w:hAnsi="Garamond"/>
          <w:color w:val="000000" w:themeColor="text1"/>
        </w:rPr>
        <w:t>F</w:t>
      </w:r>
      <w:r w:rsidRPr="00667C1E">
        <w:rPr>
          <w:rFonts w:ascii="Garamond" w:hAnsi="Garamond"/>
          <w:color w:val="000000" w:themeColor="text1"/>
        </w:rPr>
        <w:t>inding</w:t>
      </w:r>
      <w:r w:rsidRPr="00667C1E">
        <w:rPr>
          <w:rFonts w:ascii="Garamond" w:hAnsi="Garamond"/>
          <w:color w:val="000000" w:themeColor="text1"/>
        </w:rPr>
        <w:t xml:space="preserve"> </w:t>
      </w:r>
      <w:r w:rsidRPr="00667C1E">
        <w:rPr>
          <w:rFonts w:ascii="Garamond" w:hAnsi="Garamond"/>
          <w:color w:val="000000" w:themeColor="text1"/>
        </w:rPr>
        <w:t>e</w:t>
      </w:r>
      <w:r w:rsidRPr="00667C1E">
        <w:rPr>
          <w:rFonts w:ascii="Garamond" w:hAnsi="Garamond"/>
          <w:color w:val="000000" w:themeColor="text1"/>
        </w:rPr>
        <w:t xml:space="preserve">co- </w:t>
      </w:r>
      <w:r w:rsidRPr="00667C1E">
        <w:rPr>
          <w:rFonts w:ascii="Garamond" w:hAnsi="Garamond"/>
          <w:color w:val="000000" w:themeColor="text1"/>
        </w:rPr>
        <w:t>e</w:t>
      </w:r>
      <w:r w:rsidRPr="00667C1E">
        <w:rPr>
          <w:rFonts w:ascii="Garamond" w:hAnsi="Garamond"/>
          <w:color w:val="000000" w:themeColor="text1"/>
        </w:rPr>
        <w:t xml:space="preserve">fficient </w:t>
      </w:r>
      <w:r w:rsidRPr="00667C1E">
        <w:rPr>
          <w:rFonts w:ascii="Garamond" w:hAnsi="Garamond"/>
          <w:color w:val="000000" w:themeColor="text1"/>
        </w:rPr>
        <w:t>f</w:t>
      </w:r>
      <w:r w:rsidRPr="00667C1E">
        <w:rPr>
          <w:rFonts w:ascii="Garamond" w:hAnsi="Garamond"/>
          <w:color w:val="000000" w:themeColor="text1"/>
        </w:rPr>
        <w:t>irms</w:t>
      </w:r>
      <w:r w:rsidRPr="00667C1E">
        <w:rPr>
          <w:rFonts w:ascii="Garamond" w:hAnsi="Garamond"/>
          <w:color w:val="000000" w:themeColor="text1"/>
        </w:rPr>
        <w:t xml:space="preserve"> using DEA method</w:t>
      </w:r>
    </w:p>
    <w:p w14:paraId="51E19300" w14:textId="3026ECDD" w:rsidR="00250E1D" w:rsidRPr="00667C1E" w:rsidRDefault="00856EBA" w:rsidP="00667C1E">
      <w:pPr>
        <w:pStyle w:val="ListParagraph"/>
        <w:numPr>
          <w:ilvl w:val="0"/>
          <w:numId w:val="9"/>
        </w:numPr>
        <w:rPr>
          <w:rFonts w:ascii="Garamond" w:hAnsi="Garamond"/>
          <w:color w:val="000000" w:themeColor="text1"/>
        </w:rPr>
      </w:pPr>
      <w:r w:rsidRPr="00667C1E">
        <w:rPr>
          <w:rFonts w:ascii="Garamond" w:hAnsi="Garamond"/>
          <w:color w:val="000000" w:themeColor="text1"/>
        </w:rPr>
        <w:t>Statistical test: Use eco-efficiency score (</w:t>
      </w:r>
      <w:proofErr w:type="spellStart"/>
      <w:r w:rsidRPr="00667C1E">
        <w:rPr>
          <w:rFonts w:ascii="Garamond" w:hAnsi="Garamond"/>
          <w:color w:val="000000" w:themeColor="text1"/>
        </w:rPr>
        <w:t>pooled_eff</w:t>
      </w:r>
      <w:proofErr w:type="spellEnd"/>
      <w:r w:rsidRPr="00667C1E">
        <w:rPr>
          <w:rFonts w:ascii="Garamond" w:hAnsi="Garamond"/>
          <w:color w:val="000000" w:themeColor="text1"/>
        </w:rPr>
        <w:t>) with respect to technology category for t-test</w:t>
      </w:r>
    </w:p>
    <w:p w14:paraId="0B358C0A" w14:textId="77777777" w:rsidR="006F3D53" w:rsidRPr="00CC0A89" w:rsidRDefault="006F3D53" w:rsidP="00CC0A89">
      <w:pPr>
        <w:pStyle w:val="ListParagraph"/>
        <w:rPr>
          <w:rFonts w:ascii="Garamond" w:hAnsi="Garamond"/>
          <w:color w:val="000000" w:themeColor="text1"/>
        </w:rPr>
      </w:pPr>
    </w:p>
    <w:p w14:paraId="108CD781" w14:textId="484DB3A7" w:rsidR="003B672F" w:rsidRPr="007D06CB" w:rsidRDefault="003B672F" w:rsidP="007D06CB">
      <w:pPr>
        <w:pStyle w:val="ListParagraph"/>
        <w:numPr>
          <w:ilvl w:val="0"/>
          <w:numId w:val="3"/>
        </w:numPr>
        <w:rPr>
          <w:rFonts w:ascii="Garamond" w:hAnsi="Garamond"/>
          <w:b/>
          <w:bCs/>
          <w:color w:val="000000" w:themeColor="text1"/>
        </w:rPr>
      </w:pPr>
      <w:r w:rsidRPr="007D06CB">
        <w:rPr>
          <w:rFonts w:ascii="Garamond" w:hAnsi="Garamond"/>
          <w:b/>
          <w:bCs/>
          <w:color w:val="000000" w:themeColor="text1"/>
        </w:rPr>
        <w:t>Conclusion:</w:t>
      </w:r>
    </w:p>
    <w:p w14:paraId="2084905C" w14:textId="4655414A" w:rsidR="00D61B64" w:rsidRPr="00D61B64" w:rsidRDefault="00D61B64" w:rsidP="00D61B64">
      <w:pPr>
        <w:pStyle w:val="ListParagraph"/>
        <w:numPr>
          <w:ilvl w:val="0"/>
          <w:numId w:val="7"/>
        </w:numPr>
        <w:rPr>
          <w:rFonts w:ascii="Garamond" w:hAnsi="Garamond"/>
          <w:color w:val="000000" w:themeColor="text1"/>
        </w:rPr>
      </w:pPr>
      <w:r w:rsidRPr="00D61B64">
        <w:rPr>
          <w:rFonts w:ascii="Garamond" w:hAnsi="Garamond"/>
          <w:color w:val="000000" w:themeColor="text1"/>
        </w:rPr>
        <w:t>Total emissions show an overall increasing trend from 2020 to 2024, rising from approximately 4.6 million tCO</w:t>
      </w:r>
      <w:r w:rsidRPr="00D61B64">
        <w:rPr>
          <w:rFonts w:ascii="Cambria Math" w:hAnsi="Cambria Math" w:cs="Cambria Math"/>
          <w:color w:val="000000" w:themeColor="text1"/>
        </w:rPr>
        <w:t>₂</w:t>
      </w:r>
      <w:r w:rsidRPr="00D61B64">
        <w:rPr>
          <w:rFonts w:ascii="Garamond" w:hAnsi="Garamond"/>
          <w:color w:val="000000" w:themeColor="text1"/>
        </w:rPr>
        <w:t xml:space="preserve"> to a peak of about 8.8 million tCO</w:t>
      </w:r>
      <w:r w:rsidRPr="00D61B64">
        <w:rPr>
          <w:rFonts w:ascii="Cambria Math" w:hAnsi="Cambria Math" w:cs="Cambria Math"/>
          <w:color w:val="000000" w:themeColor="text1"/>
        </w:rPr>
        <w:t>₂</w:t>
      </w:r>
      <w:r w:rsidRPr="00D61B64">
        <w:rPr>
          <w:rFonts w:ascii="Garamond" w:hAnsi="Garamond"/>
          <w:color w:val="000000" w:themeColor="text1"/>
        </w:rPr>
        <w:t>, indicating a substantial growth in environmental impact over the period. Although there is a noticeable decline in 2025 to around 7.6 million tCO</w:t>
      </w:r>
      <w:r w:rsidRPr="00D61B64">
        <w:rPr>
          <w:rFonts w:ascii="Cambria Math" w:hAnsi="Cambria Math" w:cs="Cambria Math"/>
          <w:color w:val="000000" w:themeColor="text1"/>
        </w:rPr>
        <w:t>₂</w:t>
      </w:r>
      <w:r w:rsidRPr="00D61B64">
        <w:rPr>
          <w:rFonts w:ascii="Garamond" w:hAnsi="Garamond"/>
          <w:color w:val="000000" w:themeColor="text1"/>
        </w:rPr>
        <w:t>, emissions remain significantly higher than the initial years. This pattern suggests that while there may be recent improvements or adjustments, sustained efforts are still required to effectively control and reduce emissions over time.</w:t>
      </w:r>
    </w:p>
    <w:p w14:paraId="1CAE5A52" w14:textId="3EC2122C" w:rsidR="00CD6D90" w:rsidRPr="00CD6D90" w:rsidRDefault="00CD6D90" w:rsidP="00CD6D90">
      <w:pPr>
        <w:pStyle w:val="ListParagraph"/>
        <w:numPr>
          <w:ilvl w:val="0"/>
          <w:numId w:val="7"/>
        </w:numPr>
        <w:rPr>
          <w:rFonts w:ascii="Garamond" w:hAnsi="Garamond"/>
          <w:color w:val="000000" w:themeColor="text1"/>
        </w:rPr>
      </w:pPr>
      <w:r w:rsidRPr="00CD6D90">
        <w:rPr>
          <w:rFonts w:ascii="Garamond" w:hAnsi="Garamond"/>
          <w:color w:val="000000" w:themeColor="text1"/>
        </w:rPr>
        <w:t xml:space="preserve">The top five most polluting cement firms account for nearly half (48.6%) of total sectoral emissions, with Shivam Hongshi as the largest contributor, followed by Shaurya, Sarbottam, Shivam, and Udaypur. Their consistently high average emissions highlight a clear </w:t>
      </w:r>
      <w:r w:rsidRPr="00CD6D90">
        <w:rPr>
          <w:rFonts w:ascii="Garamond" w:hAnsi="Garamond"/>
          <w:color w:val="000000" w:themeColor="text1"/>
        </w:rPr>
        <w:lastRenderedPageBreak/>
        <w:t>concentration, suggesting that targeted policies and technological interventions in this small group could yield substantial reductions in overall sectoral emissions.</w:t>
      </w:r>
    </w:p>
    <w:p w14:paraId="31CB468D" w14:textId="10A17266" w:rsidR="003B672F" w:rsidRPr="00D61B64" w:rsidRDefault="003B672F" w:rsidP="00D61B64">
      <w:pPr>
        <w:pStyle w:val="ListParagraph"/>
        <w:numPr>
          <w:ilvl w:val="0"/>
          <w:numId w:val="7"/>
        </w:numPr>
        <w:rPr>
          <w:rFonts w:ascii="Garamond" w:hAnsi="Garamond"/>
          <w:color w:val="000000" w:themeColor="text1"/>
        </w:rPr>
      </w:pPr>
      <w:r w:rsidRPr="00D61B64">
        <w:rPr>
          <w:rFonts w:ascii="Garamond" w:hAnsi="Garamond"/>
          <w:color w:val="000000" w:themeColor="text1"/>
        </w:rPr>
        <w:t>Firms that adopt more advanced production technologies demonstrate significantly higher eco-efficiency, supporting the hypothesis that technological modernization can enhance environmental performance in Nepal’s cement industry.</w:t>
      </w:r>
    </w:p>
    <w:p w14:paraId="12613BB0" w14:textId="77777777" w:rsidR="00A56CD7" w:rsidRPr="0093029D" w:rsidRDefault="00A56CD7" w:rsidP="00BB68A6">
      <w:pPr>
        <w:rPr>
          <w:rFonts w:ascii="Garamond" w:hAnsi="Garamond"/>
          <w:color w:val="000000" w:themeColor="text1"/>
        </w:rPr>
      </w:pPr>
    </w:p>
    <w:p w14:paraId="0E2A82FD" w14:textId="6F1844BD" w:rsidR="00924E8B" w:rsidRPr="0093029D" w:rsidRDefault="00924E8B" w:rsidP="00924E8B">
      <w:pPr>
        <w:rPr>
          <w:rFonts w:ascii="Garamond" w:hAnsi="Garamond"/>
          <w:color w:val="000000" w:themeColor="text1"/>
        </w:rPr>
      </w:pPr>
    </w:p>
    <w:sectPr w:rsidR="00924E8B" w:rsidRPr="00930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10E"/>
    <w:multiLevelType w:val="hybridMultilevel"/>
    <w:tmpl w:val="7F568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40F20"/>
    <w:multiLevelType w:val="hybridMultilevel"/>
    <w:tmpl w:val="AA643870"/>
    <w:lvl w:ilvl="0" w:tplc="7920485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E671C"/>
    <w:multiLevelType w:val="hybridMultilevel"/>
    <w:tmpl w:val="B93A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72514"/>
    <w:multiLevelType w:val="hybridMultilevel"/>
    <w:tmpl w:val="A19ED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850026"/>
    <w:multiLevelType w:val="hybridMultilevel"/>
    <w:tmpl w:val="D5E40AFE"/>
    <w:lvl w:ilvl="0" w:tplc="A5A669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BC23232"/>
    <w:multiLevelType w:val="hybridMultilevel"/>
    <w:tmpl w:val="D1B0CB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B7D3703"/>
    <w:multiLevelType w:val="hybridMultilevel"/>
    <w:tmpl w:val="5DAAD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1B1BEA"/>
    <w:multiLevelType w:val="hybridMultilevel"/>
    <w:tmpl w:val="17B8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7D0095"/>
    <w:multiLevelType w:val="hybridMultilevel"/>
    <w:tmpl w:val="00668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291167">
    <w:abstractNumId w:val="1"/>
  </w:num>
  <w:num w:numId="2" w16cid:durableId="498733335">
    <w:abstractNumId w:val="3"/>
  </w:num>
  <w:num w:numId="3" w16cid:durableId="1529828913">
    <w:abstractNumId w:val="2"/>
  </w:num>
  <w:num w:numId="4" w16cid:durableId="991064524">
    <w:abstractNumId w:val="0"/>
  </w:num>
  <w:num w:numId="5" w16cid:durableId="1357342919">
    <w:abstractNumId w:val="8"/>
  </w:num>
  <w:num w:numId="6" w16cid:durableId="920286872">
    <w:abstractNumId w:val="7"/>
  </w:num>
  <w:num w:numId="7" w16cid:durableId="390544950">
    <w:abstractNumId w:val="6"/>
  </w:num>
  <w:num w:numId="8" w16cid:durableId="884177156">
    <w:abstractNumId w:val="4"/>
  </w:num>
  <w:num w:numId="9" w16cid:durableId="315300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44"/>
    <w:rsid w:val="00054569"/>
    <w:rsid w:val="00054A8D"/>
    <w:rsid w:val="000565A0"/>
    <w:rsid w:val="000670B6"/>
    <w:rsid w:val="00093750"/>
    <w:rsid w:val="000B50C0"/>
    <w:rsid w:val="000B5714"/>
    <w:rsid w:val="000D518F"/>
    <w:rsid w:val="000D5C05"/>
    <w:rsid w:val="0010697C"/>
    <w:rsid w:val="00110D78"/>
    <w:rsid w:val="0011499C"/>
    <w:rsid w:val="00116522"/>
    <w:rsid w:val="00131232"/>
    <w:rsid w:val="0017178E"/>
    <w:rsid w:val="001B7ED8"/>
    <w:rsid w:val="001C53A2"/>
    <w:rsid w:val="001D55DB"/>
    <w:rsid w:val="001E5C72"/>
    <w:rsid w:val="00206002"/>
    <w:rsid w:val="002119B4"/>
    <w:rsid w:val="00250E1D"/>
    <w:rsid w:val="00251586"/>
    <w:rsid w:val="002B482A"/>
    <w:rsid w:val="002C2AD8"/>
    <w:rsid w:val="002E31A3"/>
    <w:rsid w:val="00301F11"/>
    <w:rsid w:val="0032084C"/>
    <w:rsid w:val="003505AD"/>
    <w:rsid w:val="00356DAE"/>
    <w:rsid w:val="0036181A"/>
    <w:rsid w:val="00382685"/>
    <w:rsid w:val="003B594A"/>
    <w:rsid w:val="003B672F"/>
    <w:rsid w:val="003D1608"/>
    <w:rsid w:val="0040696C"/>
    <w:rsid w:val="004108B9"/>
    <w:rsid w:val="0041765E"/>
    <w:rsid w:val="004B4EFE"/>
    <w:rsid w:val="004B7726"/>
    <w:rsid w:val="005064A5"/>
    <w:rsid w:val="00525C10"/>
    <w:rsid w:val="00567349"/>
    <w:rsid w:val="005729D3"/>
    <w:rsid w:val="00577030"/>
    <w:rsid w:val="005A1979"/>
    <w:rsid w:val="005A3D4C"/>
    <w:rsid w:val="005A7365"/>
    <w:rsid w:val="005B202D"/>
    <w:rsid w:val="005C49A1"/>
    <w:rsid w:val="005D7914"/>
    <w:rsid w:val="005F5AA3"/>
    <w:rsid w:val="00602554"/>
    <w:rsid w:val="00610751"/>
    <w:rsid w:val="0061394E"/>
    <w:rsid w:val="006442FB"/>
    <w:rsid w:val="00657CD4"/>
    <w:rsid w:val="0066103B"/>
    <w:rsid w:val="00667C1E"/>
    <w:rsid w:val="00684867"/>
    <w:rsid w:val="00692BC4"/>
    <w:rsid w:val="006B2FA5"/>
    <w:rsid w:val="006C1D24"/>
    <w:rsid w:val="006F3D53"/>
    <w:rsid w:val="006F3DC6"/>
    <w:rsid w:val="0071234B"/>
    <w:rsid w:val="00765FD2"/>
    <w:rsid w:val="00772D74"/>
    <w:rsid w:val="00780958"/>
    <w:rsid w:val="00792160"/>
    <w:rsid w:val="00796070"/>
    <w:rsid w:val="007A53CF"/>
    <w:rsid w:val="007B6617"/>
    <w:rsid w:val="007D06CB"/>
    <w:rsid w:val="007D1AE2"/>
    <w:rsid w:val="007F3D34"/>
    <w:rsid w:val="0080279D"/>
    <w:rsid w:val="00856EBA"/>
    <w:rsid w:val="0088470C"/>
    <w:rsid w:val="008D371E"/>
    <w:rsid w:val="008E13CE"/>
    <w:rsid w:val="008E5296"/>
    <w:rsid w:val="00902C4C"/>
    <w:rsid w:val="009161B3"/>
    <w:rsid w:val="00924684"/>
    <w:rsid w:val="00924E8B"/>
    <w:rsid w:val="0093029D"/>
    <w:rsid w:val="00945663"/>
    <w:rsid w:val="00946CBA"/>
    <w:rsid w:val="00947019"/>
    <w:rsid w:val="00951A44"/>
    <w:rsid w:val="00956F8F"/>
    <w:rsid w:val="009612AC"/>
    <w:rsid w:val="00976B74"/>
    <w:rsid w:val="00986EE4"/>
    <w:rsid w:val="0099691A"/>
    <w:rsid w:val="009B3CDD"/>
    <w:rsid w:val="009C2798"/>
    <w:rsid w:val="009D6C62"/>
    <w:rsid w:val="009F19DE"/>
    <w:rsid w:val="009F4A6F"/>
    <w:rsid w:val="00A020BD"/>
    <w:rsid w:val="00A07B9C"/>
    <w:rsid w:val="00A20F16"/>
    <w:rsid w:val="00A56CD7"/>
    <w:rsid w:val="00A82103"/>
    <w:rsid w:val="00A865D7"/>
    <w:rsid w:val="00AA4756"/>
    <w:rsid w:val="00AC1980"/>
    <w:rsid w:val="00AD4BC9"/>
    <w:rsid w:val="00AF3251"/>
    <w:rsid w:val="00B52964"/>
    <w:rsid w:val="00B63F95"/>
    <w:rsid w:val="00B91805"/>
    <w:rsid w:val="00BB68A6"/>
    <w:rsid w:val="00BD4993"/>
    <w:rsid w:val="00BE0F14"/>
    <w:rsid w:val="00BE3121"/>
    <w:rsid w:val="00BF6D10"/>
    <w:rsid w:val="00C135E7"/>
    <w:rsid w:val="00C56FDD"/>
    <w:rsid w:val="00C61D5C"/>
    <w:rsid w:val="00C817BF"/>
    <w:rsid w:val="00CB7216"/>
    <w:rsid w:val="00CC0A89"/>
    <w:rsid w:val="00CC487C"/>
    <w:rsid w:val="00CD6D90"/>
    <w:rsid w:val="00CE31ED"/>
    <w:rsid w:val="00D261E4"/>
    <w:rsid w:val="00D330DE"/>
    <w:rsid w:val="00D5512F"/>
    <w:rsid w:val="00D61B64"/>
    <w:rsid w:val="00D72157"/>
    <w:rsid w:val="00DB17C2"/>
    <w:rsid w:val="00DC31CA"/>
    <w:rsid w:val="00DE61AB"/>
    <w:rsid w:val="00DF36D2"/>
    <w:rsid w:val="00DF5E2E"/>
    <w:rsid w:val="00E27D1D"/>
    <w:rsid w:val="00E4781E"/>
    <w:rsid w:val="00E7636A"/>
    <w:rsid w:val="00E83727"/>
    <w:rsid w:val="00E949A6"/>
    <w:rsid w:val="00EA0895"/>
    <w:rsid w:val="00EF490A"/>
    <w:rsid w:val="00F40680"/>
    <w:rsid w:val="00F65C56"/>
    <w:rsid w:val="00FA7FDB"/>
    <w:rsid w:val="00FC2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0D2B"/>
  <w15:chartTrackingRefBased/>
  <w15:docId w15:val="{D6A1149A-6765-1142-A48E-969BC365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A44"/>
    <w:rPr>
      <w:rFonts w:eastAsiaTheme="majorEastAsia" w:cstheme="majorBidi"/>
      <w:color w:val="272727" w:themeColor="text1" w:themeTint="D8"/>
    </w:rPr>
  </w:style>
  <w:style w:type="paragraph" w:styleId="Title">
    <w:name w:val="Title"/>
    <w:basedOn w:val="Normal"/>
    <w:next w:val="Normal"/>
    <w:link w:val="TitleChar"/>
    <w:uiPriority w:val="10"/>
    <w:qFormat/>
    <w:rsid w:val="00951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A44"/>
    <w:pPr>
      <w:spacing w:before="160"/>
      <w:jc w:val="center"/>
    </w:pPr>
    <w:rPr>
      <w:i/>
      <w:iCs/>
      <w:color w:val="404040" w:themeColor="text1" w:themeTint="BF"/>
    </w:rPr>
  </w:style>
  <w:style w:type="character" w:customStyle="1" w:styleId="QuoteChar">
    <w:name w:val="Quote Char"/>
    <w:basedOn w:val="DefaultParagraphFont"/>
    <w:link w:val="Quote"/>
    <w:uiPriority w:val="29"/>
    <w:rsid w:val="00951A44"/>
    <w:rPr>
      <w:i/>
      <w:iCs/>
      <w:color w:val="404040" w:themeColor="text1" w:themeTint="BF"/>
    </w:rPr>
  </w:style>
  <w:style w:type="paragraph" w:styleId="ListParagraph">
    <w:name w:val="List Paragraph"/>
    <w:basedOn w:val="Normal"/>
    <w:uiPriority w:val="34"/>
    <w:qFormat/>
    <w:rsid w:val="00951A44"/>
    <w:pPr>
      <w:ind w:left="720"/>
      <w:contextualSpacing/>
    </w:pPr>
  </w:style>
  <w:style w:type="character" w:styleId="IntenseEmphasis">
    <w:name w:val="Intense Emphasis"/>
    <w:basedOn w:val="DefaultParagraphFont"/>
    <w:uiPriority w:val="21"/>
    <w:qFormat/>
    <w:rsid w:val="00951A44"/>
    <w:rPr>
      <w:i/>
      <w:iCs/>
      <w:color w:val="0F4761" w:themeColor="accent1" w:themeShade="BF"/>
    </w:rPr>
  </w:style>
  <w:style w:type="paragraph" w:styleId="IntenseQuote">
    <w:name w:val="Intense Quote"/>
    <w:basedOn w:val="Normal"/>
    <w:next w:val="Normal"/>
    <w:link w:val="IntenseQuoteChar"/>
    <w:uiPriority w:val="30"/>
    <w:qFormat/>
    <w:rsid w:val="00951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A44"/>
    <w:rPr>
      <w:i/>
      <w:iCs/>
      <w:color w:val="0F4761" w:themeColor="accent1" w:themeShade="BF"/>
    </w:rPr>
  </w:style>
  <w:style w:type="character" w:styleId="IntenseReference">
    <w:name w:val="Intense Reference"/>
    <w:basedOn w:val="DefaultParagraphFont"/>
    <w:uiPriority w:val="32"/>
    <w:qFormat/>
    <w:rsid w:val="00951A44"/>
    <w:rPr>
      <w:b/>
      <w:bCs/>
      <w:smallCaps/>
      <w:color w:val="0F4761" w:themeColor="accent1" w:themeShade="BF"/>
      <w:spacing w:val="5"/>
    </w:rPr>
  </w:style>
  <w:style w:type="paragraph" w:styleId="NormalWeb">
    <w:name w:val="Normal (Web)"/>
    <w:basedOn w:val="Normal"/>
    <w:uiPriority w:val="99"/>
    <w:unhideWhenUsed/>
    <w:rsid w:val="00657CD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61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6103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6103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6610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66103B"/>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
    <w:name w:val="List Table 6 Colorful"/>
    <w:basedOn w:val="TableNormal"/>
    <w:uiPriority w:val="51"/>
    <w:rsid w:val="0066103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946CBA"/>
    <w:rPr>
      <w:b/>
      <w:bCs/>
    </w:rPr>
  </w:style>
  <w:style w:type="character" w:customStyle="1" w:styleId="apple-converted-space">
    <w:name w:val="apple-converted-space"/>
    <w:basedOn w:val="DefaultParagraphFont"/>
    <w:rsid w:val="00946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1080</Words>
  <Characters>6720</Characters>
  <Application>Microsoft Office Word</Application>
  <DocSecurity>0</DocSecurity>
  <Lines>110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134</cp:revision>
  <dcterms:created xsi:type="dcterms:W3CDTF">2025-10-29T07:50:00Z</dcterms:created>
  <dcterms:modified xsi:type="dcterms:W3CDTF">2026-04-05T08:31:00Z</dcterms:modified>
</cp:coreProperties>
</file>