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40"/>
          <w:szCs w:val="40"/>
        </w:rPr>
        <w:t xml:space="preserve">Connecting Approved Opportunities to the Agentic Layer</w:t>
      </w:r>
    </w:p>
    <w:p>
      <w:pPr>
        <w:pBdr>
          <w:bottom w:val="single" w:color="D1D5DB" w:sz="6" w:space="8"/>
        </w:pBdr>
        <w:spacing w:after="240"/>
      </w:pPr>
      <w:r>
        <w:rPr>
          <w:i/>
          <w:iCs/>
          <w:color w:val="6B7280"/>
          <w:sz w:val="21"/>
          <w:szCs w:val="21"/>
        </w:rPr>
        <w:t xml:space="preserve">Implementation guide — Lead Scanning Platform → vector store → BD agent</w:t>
      </w:r>
    </w:p>
    <w:p>
      <w:pPr>
        <w:spacing w:after="130" w:line="290"/>
      </w:pPr>
      <w:r>
        <w:rPr>
          <w:color w:val="374151"/>
          <w:sz w:val="21"/>
          <w:szCs w:val="21"/>
        </w:rPr>
        <w:t xml:space="preserve">This describes how an opportunity approved by a user in the Lead Scanning Platform reaches the vector database, so the agentic layer can reason over it alongside the knowledge retrieval corpus. It is a sequence of steps, not a design proposal — each step is independently useful and can be shipped on its own.</w:t>
      </w:r>
    </w:p>
    <w:p>
      <w:pPr>
        <w:pStyle w:val="Heading1"/>
        <w:spacing w:after="130" w:before="340"/>
      </w:pPr>
      <w:r>
        <w:rPr>
          <w:b/>
          <w:bCs/>
          <w:color w:val="1F2937"/>
          <w:sz w:val="27"/>
          <w:szCs w:val="27"/>
        </w:rPr>
        <w:t xml:space="preserve">1. The flow</w:t>
      </w:r>
    </w:p>
    <w:p>
      <w:pPr>
        <w:spacing w:after="130" w:line="290"/>
      </w:pPr>
      <w:r>
        <w:rPr>
          <w:color w:val="374151"/>
          <w:sz w:val="21"/>
          <w:szCs w:val="21"/>
        </w:rPr>
        <w:t xml:space="preserve">Six stages. Stages 1 and 2 exist today; the rest is what this guide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60"/>
      </w:tblGrid>
      <w:tr>
        <w:trPr>
          <w:tblHeader/>
        </w:trPr>
        <w:tc>
          <w:tcPr>
            <w:tcW w:type="dxa" w:w="700"/>
            <w:shd w:fill="EEF2FF" w:val="clear"/>
            <w:tcMar>
              <w:top w:type="dxa" w:w="80"/>
              <w:left w:type="dxa" w:w="120"/>
              <w:bottom w:type="dxa" w:w="80"/>
              <w:right w:type="dxa" w:w="120"/>
            </w:tcMar>
          </w:tcPr>
          <w:p>
            <w:r>
              <w:rPr>
                <w:b/>
                <w:bCs/>
                <w:color w:val="3730A3"/>
                <w:sz w:val="18"/>
                <w:szCs w:val="18"/>
              </w:rPr>
              <w:t xml:space="preserve">#</w:t>
            </w:r>
          </w:p>
        </w:tc>
        <w:tc>
          <w:tcPr>
            <w:tcW w:type="dxa" w:w="3300"/>
            <w:shd w:fill="EEF2FF" w:val="clear"/>
            <w:tcMar>
              <w:top w:type="dxa" w:w="80"/>
              <w:left w:type="dxa" w:w="120"/>
              <w:bottom w:type="dxa" w:w="80"/>
              <w:right w:type="dxa" w:w="120"/>
            </w:tcMar>
          </w:tcPr>
          <w:p>
            <w:r>
              <w:rPr>
                <w:b/>
                <w:bCs/>
                <w:color w:val="3730A3"/>
                <w:sz w:val="18"/>
                <w:szCs w:val="18"/>
              </w:rPr>
              <w:t xml:space="preserve">Stage</w:t>
            </w:r>
          </w:p>
        </w:tc>
        <w:tc>
          <w:tcPr>
            <w:tcW w:type="dxa" w:w="5360"/>
            <w:shd w:fill="EEF2FF" w:val="clear"/>
            <w:tcMar>
              <w:top w:type="dxa" w:w="80"/>
              <w:left w:type="dxa" w:w="120"/>
              <w:bottom w:type="dxa" w:w="80"/>
              <w:right w:type="dxa" w:w="120"/>
            </w:tcMar>
          </w:tcPr>
          <w:p>
            <w:r>
              <w:rPr>
                <w:b/>
                <w:bCs/>
                <w:color w:val="3730A3"/>
                <w:sz w:val="18"/>
                <w:szCs w:val="18"/>
              </w:rPr>
              <w:t xml:space="preserve">What happens</w:t>
            </w:r>
          </w:p>
        </w:tc>
      </w:tr>
      <w:tr>
        <w:tc>
          <w:tcPr>
            <w:tcW w:type="dxa" w:w="700"/>
            <w:tcMar>
              <w:top w:type="dxa" w:w="80"/>
              <w:left w:type="dxa" w:w="120"/>
              <w:bottom w:type="dxa" w:w="80"/>
              <w:right w:type="dxa" w:w="120"/>
            </w:tcMar>
          </w:tcPr>
          <w:p>
            <w:r>
              <w:rPr>
                <w:b/>
                <w:bCs/>
                <w:color w:val="1F2937"/>
                <w:sz w:val="19"/>
                <w:szCs w:val="19"/>
              </w:rPr>
              <w:t xml:space="preserve">1</w:t>
            </w:r>
          </w:p>
        </w:tc>
        <w:tc>
          <w:tcPr>
            <w:tcW w:type="dxa" w:w="3300"/>
            <w:tcMar>
              <w:top w:type="dxa" w:w="80"/>
              <w:left w:type="dxa" w:w="120"/>
              <w:bottom w:type="dxa" w:w="80"/>
              <w:right w:type="dxa" w:w="120"/>
            </w:tcMar>
          </w:tcPr>
          <w:p>
            <w:r>
              <w:rPr>
                <w:b w:val="false"/>
                <w:bCs w:val="false"/>
                <w:color w:val="1F2937"/>
                <w:sz w:val="19"/>
                <w:szCs w:val="19"/>
              </w:rPr>
              <w:t xml:space="preserve">Scrape</w:t>
            </w:r>
          </w:p>
        </w:tc>
        <w:tc>
          <w:tcPr>
            <w:tcW w:type="dxa" w:w="5360"/>
            <w:tcMar>
              <w:top w:type="dxa" w:w="80"/>
              <w:left w:type="dxa" w:w="120"/>
              <w:bottom w:type="dxa" w:w="80"/>
              <w:right w:type="dxa" w:w="120"/>
            </w:tcMar>
          </w:tcPr>
          <w:p>
            <w:r>
              <w:rPr>
                <w:b w:val="false"/>
                <w:bCs w:val="false"/>
                <w:color w:val="1F2937"/>
                <w:sz w:val="19"/>
                <w:szCs w:val="19"/>
              </w:rPr>
              <w:t xml:space="preserve">Sources are crawled; opportunities land in the Lead Scanning database.</w:t>
            </w:r>
          </w:p>
        </w:tc>
      </w:tr>
      <w:tr>
        <w:tc>
          <w:tcPr>
            <w:tcW w:type="dxa" w:w="700"/>
            <w:tcMar>
              <w:top w:type="dxa" w:w="80"/>
              <w:left w:type="dxa" w:w="120"/>
              <w:bottom w:type="dxa" w:w="80"/>
              <w:right w:type="dxa" w:w="120"/>
            </w:tcMar>
          </w:tcPr>
          <w:p>
            <w:r>
              <w:rPr>
                <w:b/>
                <w:bCs/>
                <w:color w:val="1F2937"/>
                <w:sz w:val="19"/>
                <w:szCs w:val="19"/>
              </w:rPr>
              <w:t xml:space="preserve">2</w:t>
            </w:r>
          </w:p>
        </w:tc>
        <w:tc>
          <w:tcPr>
            <w:tcW w:type="dxa" w:w="3300"/>
            <w:tcMar>
              <w:top w:type="dxa" w:w="80"/>
              <w:left w:type="dxa" w:w="120"/>
              <w:bottom w:type="dxa" w:w="80"/>
              <w:right w:type="dxa" w:w="120"/>
            </w:tcMar>
          </w:tcPr>
          <w:p>
            <w:r>
              <w:rPr>
                <w:b w:val="false"/>
                <w:bCs w:val="false"/>
                <w:color w:val="1F2937"/>
                <w:sz w:val="19"/>
                <w:szCs w:val="19"/>
              </w:rPr>
              <w:t xml:space="preserve">Review</w:t>
            </w:r>
          </w:p>
        </w:tc>
        <w:tc>
          <w:tcPr>
            <w:tcW w:type="dxa" w:w="5360"/>
            <w:tcMar>
              <w:top w:type="dxa" w:w="80"/>
              <w:left w:type="dxa" w:w="120"/>
              <w:bottom w:type="dxa" w:w="80"/>
              <w:right w:type="dxa" w:w="120"/>
            </w:tcMar>
          </w:tcPr>
          <w:p>
            <w:r>
              <w:rPr>
                <w:b w:val="false"/>
                <w:bCs w:val="false"/>
                <w:color w:val="1F2937"/>
                <w:sz w:val="19"/>
                <w:szCs w:val="19"/>
              </w:rPr>
              <w:t xml:space="preserve">A user sees them in the dashboard or the daily digest email.</w:t>
            </w:r>
          </w:p>
        </w:tc>
      </w:tr>
      <w:tr>
        <w:tc>
          <w:tcPr>
            <w:tcW w:type="dxa" w:w="700"/>
            <w:tcMar>
              <w:top w:type="dxa" w:w="80"/>
              <w:left w:type="dxa" w:w="120"/>
              <w:bottom w:type="dxa" w:w="80"/>
              <w:right w:type="dxa" w:w="120"/>
            </w:tcMar>
          </w:tcPr>
          <w:p>
            <w:r>
              <w:rPr>
                <w:b/>
                <w:bCs/>
                <w:color w:val="1F2937"/>
                <w:sz w:val="19"/>
                <w:szCs w:val="19"/>
              </w:rPr>
              <w:t xml:space="preserve">3</w:t>
            </w:r>
          </w:p>
        </w:tc>
        <w:tc>
          <w:tcPr>
            <w:tcW w:type="dxa" w:w="3300"/>
            <w:tcMar>
              <w:top w:type="dxa" w:w="80"/>
              <w:left w:type="dxa" w:w="120"/>
              <w:bottom w:type="dxa" w:w="80"/>
              <w:right w:type="dxa" w:w="120"/>
            </w:tcMar>
          </w:tcPr>
          <w:p>
            <w:r>
              <w:rPr>
                <w:b w:val="false"/>
                <w:bCs w:val="false"/>
                <w:color w:val="1F2937"/>
                <w:sz w:val="19"/>
                <w:szCs w:val="19"/>
              </w:rPr>
              <w:t xml:space="preserve">Approve</w:t>
            </w:r>
          </w:p>
        </w:tc>
        <w:tc>
          <w:tcPr>
            <w:tcW w:type="dxa" w:w="5360"/>
            <w:tcMar>
              <w:top w:type="dxa" w:w="80"/>
              <w:left w:type="dxa" w:w="120"/>
              <w:bottom w:type="dxa" w:w="80"/>
              <w:right w:type="dxa" w:w="120"/>
            </w:tcMar>
          </w:tcPr>
          <w:p>
            <w:r>
              <w:rPr>
                <w:b w:val="false"/>
                <w:bCs w:val="false"/>
                <w:color w:val="1F2937"/>
                <w:sz w:val="19"/>
                <w:szCs w:val="19"/>
              </w:rPr>
              <w:t xml:space="preserve">The user marks an opportunity as relevant. This is the trigger for everything downstream.</w:t>
            </w:r>
          </w:p>
        </w:tc>
      </w:tr>
      <w:tr>
        <w:tc>
          <w:tcPr>
            <w:tcW w:type="dxa" w:w="700"/>
            <w:tcMar>
              <w:top w:type="dxa" w:w="80"/>
              <w:left w:type="dxa" w:w="120"/>
              <w:bottom w:type="dxa" w:w="80"/>
              <w:right w:type="dxa" w:w="120"/>
            </w:tcMar>
          </w:tcPr>
          <w:p>
            <w:r>
              <w:rPr>
                <w:b/>
                <w:bCs/>
                <w:color w:val="1F2937"/>
                <w:sz w:val="19"/>
                <w:szCs w:val="19"/>
              </w:rPr>
              <w:t xml:space="preserve">4</w:t>
            </w:r>
          </w:p>
        </w:tc>
        <w:tc>
          <w:tcPr>
            <w:tcW w:type="dxa" w:w="3300"/>
            <w:tcMar>
              <w:top w:type="dxa" w:w="80"/>
              <w:left w:type="dxa" w:w="120"/>
              <w:bottom w:type="dxa" w:w="80"/>
              <w:right w:type="dxa" w:w="120"/>
            </w:tcMar>
          </w:tcPr>
          <w:p>
            <w:r>
              <w:rPr>
                <w:b w:val="false"/>
                <w:bCs w:val="false"/>
                <w:color w:val="1F2937"/>
                <w:sz w:val="19"/>
                <w:szCs w:val="19"/>
              </w:rPr>
              <w:t xml:space="preserve">Embed</w:t>
            </w:r>
          </w:p>
        </w:tc>
        <w:tc>
          <w:tcPr>
            <w:tcW w:type="dxa" w:w="5360"/>
            <w:tcMar>
              <w:top w:type="dxa" w:w="80"/>
              <w:left w:type="dxa" w:w="120"/>
              <w:bottom w:type="dxa" w:w="80"/>
              <w:right w:type="dxa" w:w="120"/>
            </w:tcMar>
          </w:tcPr>
          <w:p>
            <w:r>
              <w:rPr>
                <w:b w:val="false"/>
                <w:bCs w:val="false"/>
                <w:color w:val="1F2937"/>
                <w:sz w:val="19"/>
                <w:szCs w:val="19"/>
              </w:rPr>
              <w:t xml:space="preserve">The opportunity text is converted to a vector using the SAME model as the retrieval system.</w:t>
            </w:r>
          </w:p>
        </w:tc>
      </w:tr>
      <w:tr>
        <w:tc>
          <w:tcPr>
            <w:tcW w:type="dxa" w:w="700"/>
            <w:tcMar>
              <w:top w:type="dxa" w:w="80"/>
              <w:left w:type="dxa" w:w="120"/>
              <w:bottom w:type="dxa" w:w="80"/>
              <w:right w:type="dxa" w:w="120"/>
            </w:tcMar>
          </w:tcPr>
          <w:p>
            <w:r>
              <w:rPr>
                <w:b/>
                <w:bCs/>
                <w:color w:val="1F2937"/>
                <w:sz w:val="19"/>
                <w:szCs w:val="19"/>
              </w:rPr>
              <w:t xml:space="preserve">5</w:t>
            </w:r>
          </w:p>
        </w:tc>
        <w:tc>
          <w:tcPr>
            <w:tcW w:type="dxa" w:w="3300"/>
            <w:tcMar>
              <w:top w:type="dxa" w:w="80"/>
              <w:left w:type="dxa" w:w="120"/>
              <w:bottom w:type="dxa" w:w="80"/>
              <w:right w:type="dxa" w:w="120"/>
            </w:tcMar>
          </w:tcPr>
          <w:p>
            <w:r>
              <w:rPr>
                <w:b w:val="false"/>
                <w:bCs w:val="false"/>
                <w:color w:val="1F2937"/>
                <w:sz w:val="19"/>
                <w:szCs w:val="19"/>
              </w:rPr>
              <w:t xml:space="preserve">Store</w:t>
            </w:r>
          </w:p>
        </w:tc>
        <w:tc>
          <w:tcPr>
            <w:tcW w:type="dxa" w:w="5360"/>
            <w:tcMar>
              <w:top w:type="dxa" w:w="80"/>
              <w:left w:type="dxa" w:w="120"/>
              <w:bottom w:type="dxa" w:w="80"/>
              <w:right w:type="dxa" w:w="120"/>
            </w:tcMar>
          </w:tcPr>
          <w:p>
            <w:r>
              <w:rPr>
                <w:b w:val="false"/>
                <w:bCs w:val="false"/>
                <w:color w:val="1F2937"/>
                <w:sz w:val="19"/>
                <w:szCs w:val="19"/>
              </w:rPr>
              <w:t xml:space="preserve">Vector plus metadata is written to the vector store, keyed on the opportunity ID.</w:t>
            </w:r>
          </w:p>
        </w:tc>
      </w:tr>
      <w:tr>
        <w:tc>
          <w:tcPr>
            <w:tcW w:type="dxa" w:w="700"/>
            <w:tcMar>
              <w:top w:type="dxa" w:w="80"/>
              <w:left w:type="dxa" w:w="120"/>
              <w:bottom w:type="dxa" w:w="80"/>
              <w:right w:type="dxa" w:w="120"/>
            </w:tcMar>
          </w:tcPr>
          <w:p>
            <w:r>
              <w:rPr>
                <w:b/>
                <w:bCs/>
                <w:color w:val="1F2937"/>
                <w:sz w:val="19"/>
                <w:szCs w:val="19"/>
              </w:rPr>
              <w:t xml:space="preserve">6</w:t>
            </w:r>
          </w:p>
        </w:tc>
        <w:tc>
          <w:tcPr>
            <w:tcW w:type="dxa" w:w="3300"/>
            <w:tcMar>
              <w:top w:type="dxa" w:w="80"/>
              <w:left w:type="dxa" w:w="120"/>
              <w:bottom w:type="dxa" w:w="80"/>
              <w:right w:type="dxa" w:w="120"/>
            </w:tcMar>
          </w:tcPr>
          <w:p>
            <w:r>
              <w:rPr>
                <w:b w:val="false"/>
                <w:bCs w:val="false"/>
                <w:color w:val="1F2937"/>
                <w:sz w:val="19"/>
                <w:szCs w:val="19"/>
              </w:rPr>
              <w:t xml:space="preserve">Reason</w:t>
            </w:r>
          </w:p>
        </w:tc>
        <w:tc>
          <w:tcPr>
            <w:tcW w:type="dxa" w:w="5360"/>
            <w:tcMar>
              <w:top w:type="dxa" w:w="80"/>
              <w:left w:type="dxa" w:w="120"/>
              <w:bottom w:type="dxa" w:w="80"/>
              <w:right w:type="dxa" w:w="120"/>
            </w:tcMar>
          </w:tcPr>
          <w:p>
            <w:r>
              <w:rPr>
                <w:b w:val="false"/>
                <w:bCs w:val="false"/>
                <w:color w:val="1F2937"/>
                <w:sz w:val="19"/>
                <w:szCs w:val="19"/>
              </w:rPr>
              <w:t xml:space="preserve">The agent retrieves similar past proposals, reports and CVs, and drafts a response.</w:t>
            </w:r>
          </w:p>
        </w:tc>
      </w:tr>
    </w:tbl>
    <w:p>
      <w:pPr>
        <w:pStyle w:val="Heading1"/>
        <w:spacing w:after="130" w:before="340"/>
      </w:pPr>
      <w:r>
        <w:rPr>
          <w:b/>
          <w:bCs/>
          <w:color w:val="1F2937"/>
          <w:sz w:val="27"/>
          <w:szCs w:val="27"/>
        </w:rPr>
        <w:t xml:space="preserve">2. Before you start — three things to confirm</w:t>
      </w:r>
    </w:p>
    <w:p>
      <w:pPr>
        <w:spacing w:after="130" w:line="290"/>
      </w:pPr>
      <w:r>
        <w:rPr>
          <w:color w:val="374151"/>
          <w:sz w:val="21"/>
          <w:szCs w:val="21"/>
        </w:rPr>
        <w:t xml:space="preserve">These are prerequisites, not steps. Getting them wrong is expensive to undo, so settle them first.</w:t>
      </w:r>
    </w:p>
    <w:p>
      <w:pPr>
        <w:pStyle w:val="Heading2"/>
        <w:spacing w:after="100" w:before="220"/>
      </w:pPr>
      <w:r>
        <w:rPr>
          <w:b/>
          <w:bCs/>
          <w:color w:val="3730A3"/>
          <w:sz w:val="23"/>
          <w:szCs w:val="23"/>
        </w:rPr>
        <w:t xml:space="preserve">2.1 The embedding model (critical)</w:t>
      </w:r>
    </w:p>
    <w:p>
      <w:pPr>
        <w:spacing w:after="130" w:line="290"/>
      </w:pPr>
      <w:r>
        <w:rPr>
          <w:color w:val="374151"/>
          <w:sz w:val="21"/>
          <w:szCs w:val="21"/>
        </w:rPr>
        <w:t xml:space="preserve">Vectors produced by different models are not comparable. Mixing them does not raise an error — it silently returns confident, wrong results, which is the worst possible failure mode. Confirm from the retrieval system:</w:t>
      </w:r>
    </w:p>
    <w:p>
      <w:pPr>
        <w:pStyle w:val="ListParagraph"/>
        <w:numPr>
          <w:ilvl w:val="0"/>
          <w:numId w:val="2"/>
        </w:numPr>
        <w:spacing w:after="80" w:line="280"/>
      </w:pPr>
      <w:r>
        <w:rPr>
          <w:color w:val="374151"/>
          <w:sz w:val="21"/>
          <w:szCs w:val="21"/>
        </w:rPr>
        <w:t xml:space="preserve">Exact model name and version, e.g. text-embedding-3-small</w:t>
      </w:r>
    </w:p>
    <w:p>
      <w:pPr>
        <w:pStyle w:val="ListParagraph"/>
        <w:numPr>
          <w:ilvl w:val="0"/>
          <w:numId w:val="2"/>
        </w:numPr>
        <w:spacing w:after="80" w:line="280"/>
      </w:pPr>
      <w:r>
        <w:rPr>
          <w:color w:val="374151"/>
          <w:sz w:val="21"/>
          <w:szCs w:val="21"/>
        </w:rPr>
        <w:t xml:space="preserve">Vector dimension, e.g. 1536 — this fixes the column definition</w:t>
      </w:r>
    </w:p>
    <w:p>
      <w:pPr>
        <w:pStyle w:val="ListParagraph"/>
        <w:numPr>
          <w:ilvl w:val="0"/>
          <w:numId w:val="2"/>
        </w:numPr>
        <w:spacing w:after="80" w:line="280"/>
      </w:pPr>
      <w:r>
        <w:rPr>
          <w:color w:val="374151"/>
          <w:sz w:val="21"/>
          <w:szCs w:val="21"/>
        </w:rPr>
        <w:t xml:space="preserve">How text is prepared before embedding: chunk size, overlap, and whether titles or metadata are prepended</w:t>
      </w:r>
    </w:p>
    <w:p>
      <w:pPr>
        <w:pBdr>
          <w:left w:val="single" w:color="F59E0B" w:sz="12" w:space="8"/>
        </w:pBdr>
        <w:shd w:fill="FEF3C7" w:val="clear"/>
        <w:spacing w:after="150" w:before="100"/>
      </w:pPr>
      <w:r>
        <w:rPr>
          <w:color w:val="78350F"/>
          <w:sz w:val="20"/>
          <w:szCs w:val="20"/>
        </w:rPr>
        <w:t xml:space="preserve">If the retrieval system ever changes embedding model, every vector must be regenerated — both corpora together. Record the model name against each stored vector so a future migration can tell which are stale.</w:t>
      </w:r>
    </w:p>
    <w:p>
      <w:pPr>
        <w:pStyle w:val="Heading2"/>
        <w:spacing w:after="100" w:before="220"/>
      </w:pPr>
      <w:r>
        <w:rPr>
          <w:b/>
          <w:bCs/>
          <w:color w:val="3730A3"/>
          <w:sz w:val="23"/>
          <w:szCs w:val="23"/>
        </w:rPr>
        <w:t xml:space="preserve">2.2 Where the vectors live</w:t>
      </w:r>
    </w:p>
    <w:p>
      <w:pPr>
        <w:spacing w:after="130" w:line="290"/>
      </w:pPr>
      <w:r>
        <w:rPr>
          <w:color w:val="374151"/>
          <w:sz w:val="21"/>
          <w:szCs w:val="21"/>
        </w:rPr>
        <w:t xml:space="preserve">The retrieval system already uses Postgres. Use pgvector — an extension on that same database — rather than adding Pinecone, Qdrant or similar. Three concrete reasons:</w:t>
      </w:r>
    </w:p>
    <w:p>
      <w:pPr>
        <w:pStyle w:val="ListParagraph"/>
        <w:numPr>
          <w:ilvl w:val="0"/>
          <w:numId w:val="2"/>
        </w:numPr>
        <w:spacing w:after="80" w:line="280"/>
      </w:pPr>
      <w:r>
        <w:rPr>
          <w:color w:val="374151"/>
          <w:sz w:val="21"/>
          <w:szCs w:val="21"/>
        </w:rPr>
        <w:t xml:space="preserve">Metadata filtering is a normal WHERE clause. “Similar past proposals, Health vertical only, Won status only” is one query. In a standalone vector database, metadata filtering is a second-class feature.</w:t>
      </w:r>
    </w:p>
    <w:p>
      <w:pPr>
        <w:pStyle w:val="ListParagraph"/>
        <w:numPr>
          <w:ilvl w:val="0"/>
          <w:numId w:val="2"/>
        </w:numPr>
        <w:spacing w:after="80" w:line="280"/>
      </w:pPr>
      <w:r>
        <w:rPr>
          <w:color w:val="374151"/>
          <w:sz w:val="21"/>
          <w:szCs w:val="21"/>
        </w:rPr>
        <w:t xml:space="preserve">Approval and vector write happen in one transaction — no partial states to reconcile.</w:t>
      </w:r>
    </w:p>
    <w:p>
      <w:pPr>
        <w:pStyle w:val="ListParagraph"/>
        <w:numPr>
          <w:ilvl w:val="0"/>
          <w:numId w:val="2"/>
        </w:numPr>
        <w:spacing w:after="80" w:line="280"/>
      </w:pPr>
      <w:r>
        <w:rPr>
          <w:color w:val="374151"/>
          <w:sz w:val="21"/>
          <w:szCs w:val="21"/>
        </w:rPr>
        <w:t xml:space="preserve">No extra service to deploy, secure, back up or pay for.</w:t>
      </w:r>
    </w:p>
    <w:p>
      <w:pPr>
        <w:spacing w:after="130" w:line="290"/>
      </w:pPr>
      <w:r>
        <w:rPr>
          <w:color w:val="374151"/>
          <w:sz w:val="21"/>
          <w:szCs w:val="21"/>
        </w:rPr>
        <w:t xml:space="preserve">At this scale — thousands of records, not hundreds of millions — pgvector is not a compromise.</w:t>
      </w:r>
    </w:p>
    <w:p>
      <w:pPr>
        <w:pStyle w:val="Heading2"/>
        <w:spacing w:after="100" w:before="220"/>
      </w:pPr>
      <w:r>
        <w:rPr>
          <w:b/>
          <w:bCs/>
          <w:color w:val="3730A3"/>
          <w:sz w:val="23"/>
          <w:szCs w:val="23"/>
        </w:rPr>
        <w:t xml:space="preserve">2.3 Where the opportunity data lives</w:t>
      </w:r>
    </w:p>
    <w:p>
      <w:pPr>
        <w:spacing w:after="130" w:line="290"/>
      </w:pPr>
      <w:r>
        <w:rPr>
          <w:color w:val="374151"/>
          <w:sz w:val="21"/>
          <w:szCs w:val="21"/>
        </w:rPr>
        <w:t xml:space="preserve">The Lead Scanning Platform currently uses SQLite. The agent needs to reason across both opportunities and the retrieval corpus, so they should share one Postgres instance. The one real cost is that the dashboard’s search runs on SQLite FTS5, which does not exist in Postgres and must be rewritten using tsvector — roughly a day of work, and the Postgres implementation is better.</w:t>
      </w:r>
    </w:p>
    <w:p>
      <w:pPr>
        <w:pBdr>
          <w:left w:val="single" w:color="F59E0B" w:sz="12" w:space="8"/>
        </w:pBdr>
        <w:shd w:fill="FEF3C7" w:val="clear"/>
        <w:spacing w:after="150" w:before="100"/>
      </w:pPr>
      <w:r>
        <w:rPr>
          <w:color w:val="78350F"/>
          <w:sz w:val="20"/>
          <w:szCs w:val="20"/>
        </w:rPr>
        <w:t xml:space="preserve">Alternative if you want to defer that: keep SQLite, and have the ingestion step read the opportunity over the existing /api and write only the vector to Postgres. Works, but you lose the single-transaction guarantee and cannot join opportunities to the corpus in SQL.</w:t>
      </w:r>
    </w:p>
    <w:p>
      <w:pPr>
        <w:pStyle w:val="Heading1"/>
        <w:spacing w:after="130" w:before="340"/>
      </w:pPr>
      <w:r>
        <w:rPr>
          <w:b/>
          <w:bCs/>
          <w:color w:val="1F2937"/>
          <w:sz w:val="27"/>
          <w:szCs w:val="27"/>
        </w:rPr>
        <w:t xml:space="preserve">3. Step 1 — Add an approval state</w:t>
      </w:r>
    </w:p>
    <w:p>
      <w:pPr>
        <w:spacing w:after="130" w:line="290"/>
      </w:pPr>
      <w:r>
        <w:rPr>
          <w:color w:val="374151"/>
          <w:sz w:val="21"/>
          <w:szCs w:val="21"/>
        </w:rPr>
        <w:t xml:space="preserve">Nothing can be triggered until an opportunity can be marked as approved. Add three fields to the Opportunity model:</w:t>
      </w:r>
    </w:p>
    <w:p>
      <w:pPr>
        <w:pBdr>
          <w:left w:val="single" w:color="6366F1" w:sz="12" w:space="8"/>
        </w:pBdr>
        <w:shd w:fill="F3F4F6" w:val="clear"/>
        <w:spacing w:after="150" w:before="80"/>
      </w:pPr>
      <w:r>
        <w:rPr>
          <w:rFonts w:ascii="Consolas" w:cs="Consolas" w:eastAsia="Consolas" w:hAnsi="Consolas"/>
          <w:color w:val="111827"/>
          <w:sz w:val="18"/>
          <w:szCs w:val="18"/>
        </w:rPr>
        <w:t xml:space="preserve">approval_state : pending | approved | rejected   (default pending)</w:t>
      </w:r>
      <w:r>
        <w:br/>
      </w:r>
      <w:r>
        <w:rPr>
          <w:rFonts w:ascii="Consolas" w:cs="Consolas" w:eastAsia="Consolas" w:hAnsi="Consolas"/>
          <w:color w:val="111827"/>
          <w:sz w:val="18"/>
          <w:szCs w:val="18"/>
        </w:rPr>
        <w:t xml:space="preserve">approved_at    : timestamp, null until actioned</w:t>
      </w:r>
      <w:r>
        <w:br/>
      </w:r>
      <w:r>
        <w:rPr>
          <w:rFonts w:ascii="Consolas" w:cs="Consolas" w:eastAsia="Consolas" w:hAnsi="Consolas"/>
          <w:color w:val="111827"/>
          <w:sz w:val="18"/>
          <w:szCs w:val="18"/>
        </w:rPr>
        <w:t xml:space="preserve">approved_by    : which team member actioned it</w:t>
      </w:r>
    </w:p>
    <w:p>
      <w:pPr>
        <w:spacing w:after="130" w:line="290"/>
      </w:pPr>
      <w:r>
        <w:rPr>
          <w:color w:val="374151"/>
          <w:sz w:val="21"/>
          <w:szCs w:val="21"/>
        </w:rPr>
        <w:t xml:space="preserve">Record who approved it, not just that it happened — the agent will later need to know whose judgement to weight, and it is the only audit trail you will have.</w:t>
      </w:r>
    </w:p>
    <w:p>
      <w:pPr>
        <w:spacing w:after="130" w:line="290"/>
      </w:pPr>
      <w:r>
        <w:rPr>
          <w:color w:val="374151"/>
          <w:sz w:val="21"/>
          <w:szCs w:val="21"/>
        </w:rPr>
        <w:t xml:space="preserve">This step is independently useful: even with no agentic layer, the team gets a shortlist view of what has been triaged.</w:t>
      </w:r>
    </w:p>
    <w:p>
      <w:pPr>
        <w:pStyle w:val="Heading1"/>
        <w:spacing w:after="130" w:before="340"/>
      </w:pPr>
      <w:r>
        <w:rPr>
          <w:b/>
          <w:bCs/>
          <w:color w:val="1F2937"/>
          <w:sz w:val="27"/>
          <w:szCs w:val="27"/>
        </w:rPr>
        <w:t xml:space="preserve">4. Step 2 — Approve from the dashboard</w:t>
      </w:r>
    </w:p>
    <w:p>
      <w:pPr>
        <w:spacing w:after="130" w:line="290"/>
      </w:pPr>
      <w:r>
        <w:rPr>
          <w:color w:val="374151"/>
          <w:sz w:val="21"/>
          <w:szCs w:val="21"/>
        </w:rPr>
        <w:t xml:space="preserve">Add an approve / reject control to each row of the opportunities table, calling a new endpoint:</w:t>
      </w:r>
    </w:p>
    <w:p>
      <w:pPr>
        <w:pBdr>
          <w:left w:val="single" w:color="6366F1" w:sz="12" w:space="8"/>
        </w:pBdr>
        <w:shd w:fill="F3F4F6" w:val="clear"/>
        <w:spacing w:after="150" w:before="80"/>
      </w:pPr>
      <w:r>
        <w:rPr>
          <w:rFonts w:ascii="Consolas" w:cs="Consolas" w:eastAsia="Consolas" w:hAnsi="Consolas"/>
          <w:color w:val="111827"/>
          <w:sz w:val="18"/>
          <w:szCs w:val="18"/>
        </w:rPr>
        <w:t xml:space="preserve">POST /api/opportunities/{id}/approve</w:t>
      </w:r>
      <w:r>
        <w:br/>
      </w:r>
      <w:r>
        <w:rPr>
          <w:rFonts w:ascii="Consolas" w:cs="Consolas" w:eastAsia="Consolas" w:hAnsi="Consolas"/>
          <w:color w:val="111827"/>
          <w:sz w:val="18"/>
          <w:szCs w:val="18"/>
        </w:rPr>
        <w:t xml:space="preserve">POST /api/opportunities/{id}/reject</w:t>
      </w:r>
    </w:p>
    <w:p>
      <w:pPr>
        <w:spacing w:after="130" w:line="290"/>
      </w:pPr>
      <w:r>
        <w:rPr>
          <w:color w:val="374151"/>
          <w:sz w:val="21"/>
          <w:szCs w:val="21"/>
        </w:rPr>
        <w:t xml:space="preserve">Two things to get right:</w:t>
      </w:r>
    </w:p>
    <w:p>
      <w:pPr>
        <w:pStyle w:val="ListParagraph"/>
        <w:numPr>
          <w:ilvl w:val="0"/>
          <w:numId w:val="2"/>
        </w:numPr>
        <w:spacing w:after="80" w:line="280"/>
      </w:pPr>
      <w:r>
        <w:rPr>
          <w:color w:val="374151"/>
          <w:sz w:val="21"/>
          <w:szCs w:val="21"/>
        </w:rPr>
        <w:t xml:space="preserve">The click should return immediately and do the embedding work in the background — embedding takes a few hundred milliseconds and should never block the UI.</w:t>
      </w:r>
    </w:p>
    <w:p>
      <w:pPr>
        <w:pStyle w:val="ListParagraph"/>
        <w:numPr>
          <w:ilvl w:val="0"/>
          <w:numId w:val="2"/>
        </w:numPr>
        <w:spacing w:after="80" w:line="280"/>
      </w:pPr>
      <w:r>
        <w:rPr>
          <w:color w:val="374151"/>
          <w:sz w:val="21"/>
          <w:szCs w:val="21"/>
        </w:rPr>
        <w:t xml:space="preserve">Make it reversible. People misclick, and an approval that cannot be undone becomes a permanent wrong entry in the agent’s context.</w:t>
      </w:r>
    </w:p>
    <w:p>
      <w:pPr>
        <w:pStyle w:val="Heading1"/>
        <w:spacing w:after="130" w:before="340"/>
      </w:pPr>
      <w:r>
        <w:rPr>
          <w:b/>
          <w:bCs/>
          <w:color w:val="1F2937"/>
          <w:sz w:val="27"/>
          <w:szCs w:val="27"/>
        </w:rPr>
        <w:t xml:space="preserve">5. Step 3 — Approve from the digest email</w:t>
      </w:r>
    </w:p>
    <w:p>
      <w:pPr>
        <w:spacing w:after="130" w:line="290"/>
      </w:pPr>
      <w:r>
        <w:rPr>
          <w:color w:val="374151"/>
          <w:sz w:val="21"/>
          <w:szCs w:val="21"/>
        </w:rPr>
        <w:t xml:space="preserve">The daily digest already lists new matches per member. Adding an approve link means a lead can be actioned without opening the dashboard — but the platform has no login, so the link must carry its own proof.</w:t>
      </w:r>
    </w:p>
    <w:p>
      <w:pPr>
        <w:pStyle w:val="Heading2"/>
        <w:spacing w:after="100" w:before="220"/>
      </w:pPr>
      <w:r>
        <w:rPr>
          <w:b/>
          <w:bCs/>
          <w:color w:val="3730A3"/>
          <w:sz w:val="23"/>
          <w:szCs w:val="23"/>
        </w:rPr>
        <w:t xml:space="preserve">5.1 Use signed links</w:t>
      </w:r>
    </w:p>
    <w:p>
      <w:pPr>
        <w:spacing w:after="130" w:line="290"/>
      </w:pPr>
      <w:r>
        <w:rPr>
          <w:color w:val="374151"/>
          <w:sz w:val="21"/>
          <w:szCs w:val="21"/>
        </w:rPr>
        <w:t xml:space="preserve">Each approve link embeds a signature covering the opportunity ID, the member ID and an expiry, generated with a server-side secret:</w:t>
      </w:r>
    </w:p>
    <w:p>
      <w:pPr>
        <w:pBdr>
          <w:left w:val="single" w:color="6366F1" w:sz="12" w:space="8"/>
        </w:pBdr>
        <w:shd w:fill="F3F4F6" w:val="clear"/>
        <w:spacing w:after="150" w:before="80"/>
      </w:pPr>
      <w:r>
        <w:rPr>
          <w:rFonts w:ascii="Consolas" w:cs="Consolas" w:eastAsia="Consolas" w:hAnsi="Consolas"/>
          <w:color w:val="111827"/>
          <w:sz w:val="18"/>
          <w:szCs w:val="18"/>
        </w:rPr>
        <w:t xml:space="preserve">/api/approve?o=8421&amp;m=3&amp;exp=1793664000&amp;sig=&lt;hmac-sha256&gt;</w:t>
      </w:r>
    </w:p>
    <w:p>
      <w:pPr>
        <w:pStyle w:val="ListParagraph"/>
        <w:numPr>
          <w:ilvl w:val="0"/>
          <w:numId w:val="2"/>
        </w:numPr>
        <w:spacing w:after="80" w:line="280"/>
      </w:pPr>
      <w:r>
        <w:rPr>
          <w:color w:val="374151"/>
          <w:sz w:val="21"/>
          <w:szCs w:val="21"/>
        </w:rPr>
        <w:t xml:space="preserve">Nobody can approve by guessing IDs — an unsigned or altered link fails verification</w:t>
      </w:r>
    </w:p>
    <w:p>
      <w:pPr>
        <w:pStyle w:val="ListParagraph"/>
        <w:numPr>
          <w:ilvl w:val="0"/>
          <w:numId w:val="2"/>
        </w:numPr>
        <w:spacing w:after="80" w:line="280"/>
      </w:pPr>
      <w:r>
        <w:rPr>
          <w:color w:val="374151"/>
          <w:sz w:val="21"/>
          <w:szCs w:val="21"/>
        </w:rPr>
        <w:t xml:space="preserve">Links expire, so an old forwarded digest cannot act months later</w:t>
      </w:r>
    </w:p>
    <w:p>
      <w:pPr>
        <w:pStyle w:val="ListParagraph"/>
        <w:numPr>
          <w:ilvl w:val="0"/>
          <w:numId w:val="2"/>
        </w:numPr>
        <w:spacing w:after="80" w:line="280"/>
      </w:pPr>
      <w:r>
        <w:rPr>
          <w:color w:val="374151"/>
          <w:sz w:val="21"/>
          <w:szCs w:val="21"/>
        </w:rPr>
        <w:t xml:space="preserve">You know who approved it, because the member ID is inside the signed payload</w:t>
      </w:r>
    </w:p>
    <w:p>
      <w:pPr>
        <w:pStyle w:val="Heading2"/>
        <w:spacing w:after="100" w:before="220"/>
      </w:pPr>
      <w:r>
        <w:rPr>
          <w:b/>
          <w:bCs/>
          <w:color w:val="3730A3"/>
          <w:sz w:val="23"/>
          <w:szCs w:val="23"/>
        </w:rPr>
        <w:t xml:space="preserve">5.2 Do not approve on link click alone</w:t>
      </w:r>
    </w:p>
    <w:p>
      <w:pPr>
        <w:pBdr>
          <w:left w:val="single" w:color="F59E0B" w:sz="12" w:space="8"/>
        </w:pBdr>
        <w:shd w:fill="FEF3C7" w:val="clear"/>
        <w:spacing w:after="150" w:before="100"/>
      </w:pPr>
      <w:r>
        <w:rPr>
          <w:color w:val="78350F"/>
          <w:sz w:val="20"/>
          <w:szCs w:val="20"/>
        </w:rPr>
        <w:t xml:space="preserve">Gmail and Outlook prefetch links in email to scan them. If a GET request approves the opportunity, scanners will approve things nobody read. The link must open a small confirmation page with a button that issues the actual POST.</w:t>
      </w:r>
    </w:p>
    <w:p>
      <w:pPr>
        <w:pStyle w:val="Heading1"/>
        <w:spacing w:after="130" w:before="340"/>
      </w:pPr>
      <w:r>
        <w:rPr>
          <w:b/>
          <w:bCs/>
          <w:color w:val="1F2937"/>
          <w:sz w:val="27"/>
          <w:szCs w:val="27"/>
        </w:rPr>
        <w:t xml:space="preserve">6. Step 4 — Embed and store</w:t>
      </w:r>
    </w:p>
    <w:p>
      <w:pPr>
        <w:spacing w:after="130" w:line="290"/>
      </w:pPr>
      <w:r>
        <w:rPr>
          <w:color w:val="374151"/>
          <w:sz w:val="21"/>
          <w:szCs w:val="21"/>
        </w:rPr>
        <w:t xml:space="preserve">Triggered in the background when approval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2FF" w:val="clear"/>
            <w:tcMar>
              <w:top w:type="dxa" w:w="80"/>
              <w:left w:type="dxa" w:w="120"/>
              <w:bottom w:type="dxa" w:w="80"/>
              <w:right w:type="dxa" w:w="120"/>
            </w:tcMar>
          </w:tcPr>
          <w:p>
            <w:r>
              <w:rPr>
                <w:b/>
                <w:bCs/>
                <w:color w:val="3730A3"/>
                <w:sz w:val="18"/>
                <w:szCs w:val="18"/>
              </w:rPr>
              <w:t xml:space="preserve">Stage</w:t>
            </w:r>
          </w:p>
        </w:tc>
        <w:tc>
          <w:tcPr>
            <w:tcW w:type="dxa" w:w="6760"/>
            <w:shd w:fill="EEF2FF" w:val="clear"/>
            <w:tcMar>
              <w:top w:type="dxa" w:w="80"/>
              <w:left w:type="dxa" w:w="120"/>
              <w:bottom w:type="dxa" w:w="80"/>
              <w:right w:type="dxa" w:w="120"/>
            </w:tcMar>
          </w:tcPr>
          <w:p>
            <w:r>
              <w:rPr>
                <w:b/>
                <w:bCs/>
                <w:color w:val="3730A3"/>
                <w:sz w:val="18"/>
                <w:szCs w:val="18"/>
              </w:rPr>
              <w:t xml:space="preserve">Detail</w:t>
            </w:r>
          </w:p>
        </w:tc>
      </w:tr>
      <w:tr>
        <w:tc>
          <w:tcPr>
            <w:tcW w:type="dxa" w:w="2600"/>
            <w:tcMar>
              <w:top w:type="dxa" w:w="80"/>
              <w:left w:type="dxa" w:w="120"/>
              <w:bottom w:type="dxa" w:w="80"/>
              <w:right w:type="dxa" w:w="120"/>
            </w:tcMar>
          </w:tcPr>
          <w:p>
            <w:r>
              <w:rPr>
                <w:b/>
                <w:bCs/>
                <w:color w:val="1F2937"/>
                <w:sz w:val="19"/>
                <w:szCs w:val="19"/>
              </w:rPr>
              <w:t xml:space="preserve">Assemble text</w:t>
            </w:r>
          </w:p>
        </w:tc>
        <w:tc>
          <w:tcPr>
            <w:tcW w:type="dxa" w:w="6760"/>
            <w:tcMar>
              <w:top w:type="dxa" w:w="80"/>
              <w:left w:type="dxa" w:w="120"/>
              <w:bottom w:type="dxa" w:w="80"/>
              <w:right w:type="dxa" w:w="120"/>
            </w:tcMar>
          </w:tcPr>
          <w:p>
            <w:r>
              <w:rPr>
                <w:b w:val="false"/>
                <w:bCs w:val="false"/>
                <w:color w:val="1F2937"/>
                <w:sz w:val="19"/>
                <w:szCs w:val="19"/>
              </w:rPr>
              <w:t xml:space="preserve">Concatenate title, summary, eligibility and vertical tags. Use the same field order and chunking the retrieval system uses.</w:t>
            </w:r>
          </w:p>
        </w:tc>
      </w:tr>
      <w:tr>
        <w:tc>
          <w:tcPr>
            <w:tcW w:type="dxa" w:w="2600"/>
            <w:tcMar>
              <w:top w:type="dxa" w:w="80"/>
              <w:left w:type="dxa" w:w="120"/>
              <w:bottom w:type="dxa" w:w="80"/>
              <w:right w:type="dxa" w:w="120"/>
            </w:tcMar>
          </w:tcPr>
          <w:p>
            <w:r>
              <w:rPr>
                <w:b/>
                <w:bCs/>
                <w:color w:val="1F2937"/>
                <w:sz w:val="19"/>
                <w:szCs w:val="19"/>
              </w:rPr>
              <w:t xml:space="preserve">Embed</w:t>
            </w:r>
          </w:p>
        </w:tc>
        <w:tc>
          <w:tcPr>
            <w:tcW w:type="dxa" w:w="6760"/>
            <w:tcMar>
              <w:top w:type="dxa" w:w="80"/>
              <w:left w:type="dxa" w:w="120"/>
              <w:bottom w:type="dxa" w:w="80"/>
              <w:right w:type="dxa" w:w="120"/>
            </w:tcMar>
          </w:tcPr>
          <w:p>
            <w:r>
              <w:rPr>
                <w:b w:val="false"/>
                <w:bCs w:val="false"/>
                <w:color w:val="1F2937"/>
                <w:sz w:val="19"/>
                <w:szCs w:val="19"/>
              </w:rPr>
              <w:t xml:space="preserve">Call the confirmed model. Handle rate limits and retries — this runs unattended.</w:t>
            </w:r>
          </w:p>
        </w:tc>
      </w:tr>
      <w:tr>
        <w:tc>
          <w:tcPr>
            <w:tcW w:type="dxa" w:w="2600"/>
            <w:tcMar>
              <w:top w:type="dxa" w:w="80"/>
              <w:left w:type="dxa" w:w="120"/>
              <w:bottom w:type="dxa" w:w="80"/>
              <w:right w:type="dxa" w:w="120"/>
            </w:tcMar>
          </w:tcPr>
          <w:p>
            <w:r>
              <w:rPr>
                <w:b/>
                <w:bCs/>
                <w:color w:val="1F2937"/>
                <w:sz w:val="19"/>
                <w:szCs w:val="19"/>
              </w:rPr>
              <w:t xml:space="preserve">Upsert</w:t>
            </w:r>
          </w:p>
        </w:tc>
        <w:tc>
          <w:tcPr>
            <w:tcW w:type="dxa" w:w="6760"/>
            <w:tcMar>
              <w:top w:type="dxa" w:w="80"/>
              <w:left w:type="dxa" w:w="120"/>
              <w:bottom w:type="dxa" w:w="80"/>
              <w:right w:type="dxa" w:w="120"/>
            </w:tcMar>
          </w:tcPr>
          <w:p>
            <w:r>
              <w:rPr>
                <w:b w:val="false"/>
                <w:bCs w:val="false"/>
                <w:color w:val="1F2937"/>
                <w:sz w:val="19"/>
                <w:szCs w:val="19"/>
              </w:rPr>
              <w:t xml:space="preserve">Write vector plus metadata keyed on opportunity_id, so re-approving updates rather than duplicating.</w:t>
            </w:r>
          </w:p>
        </w:tc>
      </w:tr>
      <w:tr>
        <w:tc>
          <w:tcPr>
            <w:tcW w:type="dxa" w:w="2600"/>
            <w:tcMar>
              <w:top w:type="dxa" w:w="80"/>
              <w:left w:type="dxa" w:w="120"/>
              <w:bottom w:type="dxa" w:w="80"/>
              <w:right w:type="dxa" w:w="120"/>
            </w:tcMar>
          </w:tcPr>
          <w:p>
            <w:r>
              <w:rPr>
                <w:b/>
                <w:bCs/>
                <w:color w:val="1F2937"/>
                <w:sz w:val="19"/>
                <w:szCs w:val="19"/>
              </w:rPr>
              <w:t xml:space="preserve">Record</w:t>
            </w:r>
          </w:p>
        </w:tc>
        <w:tc>
          <w:tcPr>
            <w:tcW w:type="dxa" w:w="6760"/>
            <w:tcMar>
              <w:top w:type="dxa" w:w="80"/>
              <w:left w:type="dxa" w:w="120"/>
              <w:bottom w:type="dxa" w:w="80"/>
              <w:right w:type="dxa" w:w="120"/>
            </w:tcMar>
          </w:tcPr>
          <w:p>
            <w:r>
              <w:rPr>
                <w:b w:val="false"/>
                <w:bCs w:val="false"/>
                <w:color w:val="1F2937"/>
                <w:sz w:val="19"/>
                <w:szCs w:val="19"/>
              </w:rPr>
              <w:t xml:space="preserve">Store the model name and embedded-at timestamp alongside the vector.</w:t>
            </w:r>
          </w:p>
        </w:tc>
      </w:tr>
    </w:tbl>
    <w:p>
      <w:pPr>
        <w:spacing w:after="130" w:line="290"/>
      </w:pPr>
      <w:r>
        <w:rPr>
          <w:color w:val="374151"/>
          <w:sz w:val="21"/>
          <w:szCs w:val="21"/>
        </w:rPr>
        <w:t xml:space="preserve">Store as metadata anything the agent will filter on: vertical, category, deadline, country, source, funding amount, approved_by. Filtering on these in SQL is far cheaper and more accurate than hoping semantic similarity captures them.</w:t>
      </w:r>
    </w:p>
    <w:p>
      <w:pPr>
        <w:pBdr>
          <w:left w:val="single" w:color="F59E0B" w:sz="12" w:space="8"/>
        </w:pBdr>
        <w:shd w:fill="FEF3C7" w:val="clear"/>
        <w:spacing w:after="150" w:before="100"/>
      </w:pPr>
      <w:r>
        <w:rPr>
          <w:color w:val="78350F"/>
          <w:sz w:val="20"/>
          <w:szCs w:val="20"/>
        </w:rPr>
        <w:t xml:space="preserve">Make the upsert idempotent from the start. You will re-run this pipeline — after a model change, a bug fix, or a backfill — and duplicated vectors quietly degrade retrieval quality rather than failing loudly.</w:t>
      </w:r>
    </w:p>
    <w:p>
      <w:pPr>
        <w:pStyle w:val="Heading1"/>
        <w:spacing w:after="130" w:before="340"/>
      </w:pPr>
      <w:r>
        <w:rPr>
          <w:b/>
          <w:bCs/>
          <w:color w:val="1F2937"/>
          <w:sz w:val="27"/>
          <w:szCs w:val="27"/>
        </w:rPr>
        <w:t xml:space="preserve">7. Step 5 — What the agent then does</w:t>
      </w:r>
    </w:p>
    <w:p>
      <w:pPr>
        <w:spacing w:after="130" w:line="290"/>
      </w:pPr>
      <w:r>
        <w:rPr>
          <w:color w:val="374151"/>
          <w:sz w:val="21"/>
          <w:szCs w:val="21"/>
        </w:rPr>
        <w:t xml:space="preserve">Once approved opportunities and the document corpus share a vector space, the Tier 3 patterns in the search capability assessment become reachable. For an approved opportunity the agent can:</w:t>
      </w:r>
    </w:p>
    <w:p>
      <w:pPr>
        <w:pStyle w:val="ListParagraph"/>
        <w:numPr>
          <w:ilvl w:val="0"/>
          <w:numId w:val="2"/>
        </w:numPr>
        <w:spacing w:after="80" w:line="280"/>
      </w:pPr>
      <w:r>
        <w:rPr>
          <w:color w:val="374151"/>
          <w:sz w:val="21"/>
          <w:szCs w:val="21"/>
        </w:rPr>
        <w:t xml:space="preserve">Retrieve the most similar past proposals, then filter to Status = Won to learn what actually succeeded</w:t>
      </w:r>
    </w:p>
    <w:p>
      <w:pPr>
        <w:pStyle w:val="ListParagraph"/>
        <w:numPr>
          <w:ilvl w:val="0"/>
          <w:numId w:val="2"/>
        </w:numPr>
        <w:spacing w:after="80" w:line="280"/>
      </w:pPr>
      <w:r>
        <w:rPr>
          <w:color w:val="374151"/>
          <w:sz w:val="21"/>
          <w:szCs w:val="21"/>
        </w:rPr>
        <w:t xml:space="preserve">Pull the final reports for those projects and check whether Target was Met</w:t>
      </w:r>
    </w:p>
    <w:p>
      <w:pPr>
        <w:pStyle w:val="ListParagraph"/>
        <w:numPr>
          <w:ilvl w:val="0"/>
          <w:numId w:val="2"/>
        </w:numPr>
        <w:spacing w:after="80" w:line="280"/>
      </w:pPr>
      <w:r>
        <w:rPr>
          <w:color w:val="374151"/>
          <w:sz w:val="21"/>
          <w:szCs w:val="21"/>
        </w:rPr>
        <w:t xml:space="preserve">Surface the CVs of the people who delivered them</w:t>
      </w:r>
    </w:p>
    <w:p>
      <w:pPr>
        <w:pStyle w:val="ListParagraph"/>
        <w:numPr>
          <w:ilvl w:val="0"/>
          <w:numId w:val="2"/>
        </w:numPr>
        <w:spacing w:after="80" w:line="280"/>
      </w:pPr>
      <w:r>
        <w:rPr>
          <w:color w:val="374151"/>
          <w:sz w:val="21"/>
          <w:szCs w:val="21"/>
        </w:rPr>
        <w:t xml:space="preserve">Draft a first-pass response grounded in that specific evidence</w:t>
      </w:r>
    </w:p>
    <w:p>
      <w:pPr>
        <w:spacing w:after="130" w:line="290"/>
      </w:pPr>
      <w:r>
        <w:rPr>
          <w:color w:val="374151"/>
          <w:sz w:val="21"/>
          <w:szCs w:val="21"/>
        </w:rPr>
        <w:t xml:space="preserve">That is the multi-hop chained reasoning named as Tier 3 in the assessment — three dependent steps that retrieval alone cannot do, but which become straightforward once both corpora are queryable together with metadata filters.</w:t>
      </w:r>
    </w:p>
    <w:p>
      <w:pPr>
        <w:pStyle w:val="Heading1"/>
        <w:spacing w:after="130" w:before="340"/>
      </w:pPr>
      <w:r>
        <w:rPr>
          <w:b/>
          <w:bCs/>
          <w:color w:val="1F2937"/>
          <w:sz w:val="27"/>
          <w:szCs w:val="27"/>
        </w:rPr>
        <w:t xml:space="preserve">8. Suggested sequence</w:t>
      </w:r>
    </w:p>
    <w:p>
      <w:pPr>
        <w:spacing w:after="130" w:line="290"/>
      </w:pPr>
      <w:r>
        <w:rPr>
          <w:color w:val="374151"/>
          <w:sz w:val="21"/>
          <w:szCs w:val="21"/>
        </w:rPr>
        <w:t xml:space="preserve">Ordered so each stage is useful on its own and nothing is blocked waiting on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60"/>
      </w:tblGrid>
      <w:tr>
        <w:trPr>
          <w:tblHeader/>
        </w:trPr>
        <w:tc>
          <w:tcPr>
            <w:tcW w:type="dxa" w:w="700"/>
            <w:shd w:fill="EEF2FF" w:val="clear"/>
            <w:tcMar>
              <w:top w:type="dxa" w:w="80"/>
              <w:left w:type="dxa" w:w="120"/>
              <w:bottom w:type="dxa" w:w="80"/>
              <w:right w:type="dxa" w:w="120"/>
            </w:tcMar>
          </w:tcPr>
          <w:p>
            <w:r>
              <w:rPr>
                <w:b/>
                <w:bCs/>
                <w:color w:val="3730A3"/>
                <w:sz w:val="18"/>
                <w:szCs w:val="18"/>
              </w:rPr>
              <w:t xml:space="preserve">#</w:t>
            </w:r>
          </w:p>
        </w:tc>
        <w:tc>
          <w:tcPr>
            <w:tcW w:type="dxa" w:w="3300"/>
            <w:shd w:fill="EEF2FF" w:val="clear"/>
            <w:tcMar>
              <w:top w:type="dxa" w:w="80"/>
              <w:left w:type="dxa" w:w="120"/>
              <w:bottom w:type="dxa" w:w="80"/>
              <w:right w:type="dxa" w:w="120"/>
            </w:tcMar>
          </w:tcPr>
          <w:p>
            <w:r>
              <w:rPr>
                <w:b/>
                <w:bCs/>
                <w:color w:val="3730A3"/>
                <w:sz w:val="18"/>
                <w:szCs w:val="18"/>
              </w:rPr>
              <w:t xml:space="preserve">Do this</w:t>
            </w:r>
          </w:p>
        </w:tc>
        <w:tc>
          <w:tcPr>
            <w:tcW w:type="dxa" w:w="5360"/>
            <w:shd w:fill="EEF2FF" w:val="clear"/>
            <w:tcMar>
              <w:top w:type="dxa" w:w="80"/>
              <w:left w:type="dxa" w:w="120"/>
              <w:bottom w:type="dxa" w:w="80"/>
              <w:right w:type="dxa" w:w="120"/>
            </w:tcMar>
          </w:tcPr>
          <w:p>
            <w:r>
              <w:rPr>
                <w:b/>
                <w:bCs/>
                <w:color w:val="3730A3"/>
                <w:sz w:val="18"/>
                <w:szCs w:val="18"/>
              </w:rPr>
              <w:t xml:space="preserve">Why in this order</w:t>
            </w:r>
          </w:p>
        </w:tc>
      </w:tr>
      <w:tr>
        <w:tc>
          <w:tcPr>
            <w:tcW w:type="dxa" w:w="700"/>
            <w:tcMar>
              <w:top w:type="dxa" w:w="80"/>
              <w:left w:type="dxa" w:w="120"/>
              <w:bottom w:type="dxa" w:w="80"/>
              <w:right w:type="dxa" w:w="120"/>
            </w:tcMar>
          </w:tcPr>
          <w:p>
            <w:r>
              <w:rPr>
                <w:b/>
                <w:bCs/>
                <w:color w:val="1F2937"/>
                <w:sz w:val="19"/>
                <w:szCs w:val="19"/>
              </w:rPr>
              <w:t xml:space="preserve">1</w:t>
            </w:r>
          </w:p>
        </w:tc>
        <w:tc>
          <w:tcPr>
            <w:tcW w:type="dxa" w:w="3300"/>
            <w:tcMar>
              <w:top w:type="dxa" w:w="80"/>
              <w:left w:type="dxa" w:w="120"/>
              <w:bottom w:type="dxa" w:w="80"/>
              <w:right w:type="dxa" w:w="120"/>
            </w:tcMar>
          </w:tcPr>
          <w:p>
            <w:r>
              <w:rPr>
                <w:b w:val="false"/>
                <w:bCs w:val="false"/>
                <w:color w:val="1F2937"/>
                <w:sz w:val="19"/>
                <w:szCs w:val="19"/>
              </w:rPr>
              <w:t xml:space="preserve">Confirm embedding model and dimension</w:t>
            </w:r>
          </w:p>
        </w:tc>
        <w:tc>
          <w:tcPr>
            <w:tcW w:type="dxa" w:w="5360"/>
            <w:tcMar>
              <w:top w:type="dxa" w:w="80"/>
              <w:left w:type="dxa" w:w="120"/>
              <w:bottom w:type="dxa" w:w="80"/>
              <w:right w:type="dxa" w:w="120"/>
            </w:tcMar>
          </w:tcPr>
          <w:p>
            <w:r>
              <w:rPr>
                <w:b w:val="false"/>
                <w:bCs w:val="false"/>
                <w:color w:val="1F2937"/>
                <w:sz w:val="19"/>
                <w:szCs w:val="19"/>
              </w:rPr>
              <w:t xml:space="preserve">Blocks everything downstream; costs nothing to establish now.</w:t>
            </w:r>
          </w:p>
        </w:tc>
      </w:tr>
      <w:tr>
        <w:tc>
          <w:tcPr>
            <w:tcW w:type="dxa" w:w="700"/>
            <w:tcMar>
              <w:top w:type="dxa" w:w="80"/>
              <w:left w:type="dxa" w:w="120"/>
              <w:bottom w:type="dxa" w:w="80"/>
              <w:right w:type="dxa" w:w="120"/>
            </w:tcMar>
          </w:tcPr>
          <w:p>
            <w:r>
              <w:rPr>
                <w:b/>
                <w:bCs/>
                <w:color w:val="1F2937"/>
                <w:sz w:val="19"/>
                <w:szCs w:val="19"/>
              </w:rPr>
              <w:t xml:space="preserve">2</w:t>
            </w:r>
          </w:p>
        </w:tc>
        <w:tc>
          <w:tcPr>
            <w:tcW w:type="dxa" w:w="3300"/>
            <w:tcMar>
              <w:top w:type="dxa" w:w="80"/>
              <w:left w:type="dxa" w:w="120"/>
              <w:bottom w:type="dxa" w:w="80"/>
              <w:right w:type="dxa" w:w="120"/>
            </w:tcMar>
          </w:tcPr>
          <w:p>
            <w:r>
              <w:rPr>
                <w:b w:val="false"/>
                <w:bCs w:val="false"/>
                <w:color w:val="1F2937"/>
                <w:sz w:val="19"/>
                <w:szCs w:val="19"/>
              </w:rPr>
              <w:t xml:space="preserve">Add approval state + dashboard buttons</w:t>
            </w:r>
          </w:p>
        </w:tc>
        <w:tc>
          <w:tcPr>
            <w:tcW w:type="dxa" w:w="5360"/>
            <w:tcMar>
              <w:top w:type="dxa" w:w="80"/>
              <w:left w:type="dxa" w:w="120"/>
              <w:bottom w:type="dxa" w:w="80"/>
              <w:right w:type="dxa" w:w="120"/>
            </w:tcMar>
          </w:tcPr>
          <w:p>
            <w:r>
              <w:rPr>
                <w:b w:val="false"/>
                <w:bCs w:val="false"/>
                <w:color w:val="1F2937"/>
                <w:sz w:val="19"/>
                <w:szCs w:val="19"/>
              </w:rPr>
              <w:t xml:space="preserve">Immediately useful for triage, no dependency on the vector work.</w:t>
            </w:r>
          </w:p>
        </w:tc>
      </w:tr>
      <w:tr>
        <w:tc>
          <w:tcPr>
            <w:tcW w:type="dxa" w:w="700"/>
            <w:tcMar>
              <w:top w:type="dxa" w:w="80"/>
              <w:left w:type="dxa" w:w="120"/>
              <w:bottom w:type="dxa" w:w="80"/>
              <w:right w:type="dxa" w:w="120"/>
            </w:tcMar>
          </w:tcPr>
          <w:p>
            <w:r>
              <w:rPr>
                <w:b/>
                <w:bCs/>
                <w:color w:val="1F2937"/>
                <w:sz w:val="19"/>
                <w:szCs w:val="19"/>
              </w:rPr>
              <w:t xml:space="preserve">3</w:t>
            </w:r>
          </w:p>
        </w:tc>
        <w:tc>
          <w:tcPr>
            <w:tcW w:type="dxa" w:w="3300"/>
            <w:tcMar>
              <w:top w:type="dxa" w:w="80"/>
              <w:left w:type="dxa" w:w="120"/>
              <w:bottom w:type="dxa" w:w="80"/>
              <w:right w:type="dxa" w:w="120"/>
            </w:tcMar>
          </w:tcPr>
          <w:p>
            <w:r>
              <w:rPr>
                <w:b w:val="false"/>
                <w:bCs w:val="false"/>
                <w:color w:val="1F2937"/>
                <w:sz w:val="19"/>
                <w:szCs w:val="19"/>
              </w:rPr>
              <w:t xml:space="preserve">Add signed approve links to the digest</w:t>
            </w:r>
          </w:p>
        </w:tc>
        <w:tc>
          <w:tcPr>
            <w:tcW w:type="dxa" w:w="5360"/>
            <w:tcMar>
              <w:top w:type="dxa" w:w="80"/>
              <w:left w:type="dxa" w:w="120"/>
              <w:bottom w:type="dxa" w:w="80"/>
              <w:right w:type="dxa" w:w="120"/>
            </w:tcMar>
          </w:tcPr>
          <w:p>
            <w:r>
              <w:rPr>
                <w:b w:val="false"/>
                <w:bCs w:val="false"/>
                <w:color w:val="1F2937"/>
                <w:sz w:val="19"/>
                <w:szCs w:val="19"/>
              </w:rPr>
              <w:t xml:space="preserve">Independent of the vector store; makes the daily email actionable.</w:t>
            </w:r>
          </w:p>
        </w:tc>
      </w:tr>
      <w:tr>
        <w:tc>
          <w:tcPr>
            <w:tcW w:type="dxa" w:w="700"/>
            <w:tcMar>
              <w:top w:type="dxa" w:w="80"/>
              <w:left w:type="dxa" w:w="120"/>
              <w:bottom w:type="dxa" w:w="80"/>
              <w:right w:type="dxa" w:w="120"/>
            </w:tcMar>
          </w:tcPr>
          <w:p>
            <w:r>
              <w:rPr>
                <w:b/>
                <w:bCs/>
                <w:color w:val="1F2937"/>
                <w:sz w:val="19"/>
                <w:szCs w:val="19"/>
              </w:rPr>
              <w:t xml:space="preserve">4</w:t>
            </w:r>
          </w:p>
        </w:tc>
        <w:tc>
          <w:tcPr>
            <w:tcW w:type="dxa" w:w="3300"/>
            <w:tcMar>
              <w:top w:type="dxa" w:w="80"/>
              <w:left w:type="dxa" w:w="120"/>
              <w:bottom w:type="dxa" w:w="80"/>
              <w:right w:type="dxa" w:w="120"/>
            </w:tcMar>
          </w:tcPr>
          <w:p>
            <w:r>
              <w:rPr>
                <w:b w:val="false"/>
                <w:bCs w:val="false"/>
                <w:color w:val="1F2937"/>
                <w:sz w:val="19"/>
                <w:szCs w:val="19"/>
              </w:rPr>
              <w:t xml:space="preserve">Move opportunities to Postgres</w:t>
            </w:r>
          </w:p>
        </w:tc>
        <w:tc>
          <w:tcPr>
            <w:tcW w:type="dxa" w:w="5360"/>
            <w:tcMar>
              <w:top w:type="dxa" w:w="80"/>
              <w:left w:type="dxa" w:w="120"/>
              <w:bottom w:type="dxa" w:w="80"/>
              <w:right w:type="dxa" w:w="120"/>
            </w:tcMar>
          </w:tcPr>
          <w:p>
            <w:r>
              <w:rPr>
                <w:b w:val="false"/>
                <w:bCs w:val="false"/>
                <w:color w:val="1F2937"/>
                <w:sz w:val="19"/>
                <w:szCs w:val="19"/>
              </w:rPr>
              <w:t xml:space="preserve">Do before vector work so the write is one transaction. Includes the FTS5 rewrite.</w:t>
            </w:r>
          </w:p>
        </w:tc>
      </w:tr>
      <w:tr>
        <w:tc>
          <w:tcPr>
            <w:tcW w:type="dxa" w:w="700"/>
            <w:tcMar>
              <w:top w:type="dxa" w:w="80"/>
              <w:left w:type="dxa" w:w="120"/>
              <w:bottom w:type="dxa" w:w="80"/>
              <w:right w:type="dxa" w:w="120"/>
            </w:tcMar>
          </w:tcPr>
          <w:p>
            <w:r>
              <w:rPr>
                <w:b/>
                <w:bCs/>
                <w:color w:val="1F2937"/>
                <w:sz w:val="19"/>
                <w:szCs w:val="19"/>
              </w:rPr>
              <w:t xml:space="preserve">5</w:t>
            </w:r>
          </w:p>
        </w:tc>
        <w:tc>
          <w:tcPr>
            <w:tcW w:type="dxa" w:w="3300"/>
            <w:tcMar>
              <w:top w:type="dxa" w:w="80"/>
              <w:left w:type="dxa" w:w="120"/>
              <w:bottom w:type="dxa" w:w="80"/>
              <w:right w:type="dxa" w:w="120"/>
            </w:tcMar>
          </w:tcPr>
          <w:p>
            <w:r>
              <w:rPr>
                <w:b w:val="false"/>
                <w:bCs w:val="false"/>
                <w:color w:val="1F2937"/>
                <w:sz w:val="19"/>
                <w:szCs w:val="19"/>
              </w:rPr>
              <w:t xml:space="preserve">Build embed + upsert on approval</w:t>
            </w:r>
          </w:p>
        </w:tc>
        <w:tc>
          <w:tcPr>
            <w:tcW w:type="dxa" w:w="5360"/>
            <w:tcMar>
              <w:top w:type="dxa" w:w="80"/>
              <w:left w:type="dxa" w:w="120"/>
              <w:bottom w:type="dxa" w:w="80"/>
              <w:right w:type="dxa" w:w="120"/>
            </w:tcMar>
          </w:tcPr>
          <w:p>
            <w:r>
              <w:rPr>
                <w:b w:val="false"/>
                <w:bCs w:val="false"/>
                <w:color w:val="1F2937"/>
                <w:sz w:val="19"/>
                <w:szCs w:val="19"/>
              </w:rPr>
              <w:t xml:space="preserve">Now unblocked and low-risk.</w:t>
            </w:r>
          </w:p>
        </w:tc>
      </w:tr>
      <w:tr>
        <w:tc>
          <w:tcPr>
            <w:tcW w:type="dxa" w:w="700"/>
            <w:tcMar>
              <w:top w:type="dxa" w:w="80"/>
              <w:left w:type="dxa" w:w="120"/>
              <w:bottom w:type="dxa" w:w="80"/>
              <w:right w:type="dxa" w:w="120"/>
            </w:tcMar>
          </w:tcPr>
          <w:p>
            <w:r>
              <w:rPr>
                <w:b/>
                <w:bCs/>
                <w:color w:val="1F2937"/>
                <w:sz w:val="19"/>
                <w:szCs w:val="19"/>
              </w:rPr>
              <w:t xml:space="preserve">6</w:t>
            </w:r>
          </w:p>
        </w:tc>
        <w:tc>
          <w:tcPr>
            <w:tcW w:type="dxa" w:w="3300"/>
            <w:tcMar>
              <w:top w:type="dxa" w:w="80"/>
              <w:left w:type="dxa" w:w="120"/>
              <w:bottom w:type="dxa" w:w="80"/>
              <w:right w:type="dxa" w:w="120"/>
            </w:tcMar>
          </w:tcPr>
          <w:p>
            <w:r>
              <w:rPr>
                <w:b w:val="false"/>
                <w:bCs w:val="false"/>
                <w:color w:val="1F2937"/>
                <w:sz w:val="19"/>
                <w:szCs w:val="19"/>
              </w:rPr>
              <w:t xml:space="preserve">Backfill already-approved records</w:t>
            </w:r>
          </w:p>
        </w:tc>
        <w:tc>
          <w:tcPr>
            <w:tcW w:type="dxa" w:w="5360"/>
            <w:tcMar>
              <w:top w:type="dxa" w:w="80"/>
              <w:left w:type="dxa" w:w="120"/>
              <w:bottom w:type="dxa" w:w="80"/>
              <w:right w:type="dxa" w:w="120"/>
            </w:tcMar>
          </w:tcPr>
          <w:p>
            <w:r>
              <w:rPr>
                <w:b w:val="false"/>
                <w:bCs w:val="false"/>
                <w:color w:val="1F2937"/>
                <w:sz w:val="19"/>
                <w:szCs w:val="19"/>
              </w:rPr>
              <w:t xml:space="preserve">Runs the same pipeline over anything approved during steps 2–3.</w:t>
            </w:r>
          </w:p>
        </w:tc>
      </w:tr>
      <w:tr>
        <w:tc>
          <w:tcPr>
            <w:tcW w:type="dxa" w:w="700"/>
            <w:tcMar>
              <w:top w:type="dxa" w:w="80"/>
              <w:left w:type="dxa" w:w="120"/>
              <w:bottom w:type="dxa" w:w="80"/>
              <w:right w:type="dxa" w:w="120"/>
            </w:tcMar>
          </w:tcPr>
          <w:p>
            <w:r>
              <w:rPr>
                <w:b/>
                <w:bCs/>
                <w:color w:val="1F2937"/>
                <w:sz w:val="19"/>
                <w:szCs w:val="19"/>
              </w:rPr>
              <w:t xml:space="preserve">7</w:t>
            </w:r>
          </w:p>
        </w:tc>
        <w:tc>
          <w:tcPr>
            <w:tcW w:type="dxa" w:w="3300"/>
            <w:tcMar>
              <w:top w:type="dxa" w:w="80"/>
              <w:left w:type="dxa" w:w="120"/>
              <w:bottom w:type="dxa" w:w="80"/>
              <w:right w:type="dxa" w:w="120"/>
            </w:tcMar>
          </w:tcPr>
          <w:p>
            <w:r>
              <w:rPr>
                <w:b w:val="false"/>
                <w:bCs w:val="false"/>
                <w:color w:val="1F2937"/>
                <w:sz w:val="19"/>
                <w:szCs w:val="19"/>
              </w:rPr>
              <w:t xml:space="preserve">Wire up the agentic layer</w:t>
            </w:r>
          </w:p>
        </w:tc>
        <w:tc>
          <w:tcPr>
            <w:tcW w:type="dxa" w:w="5360"/>
            <w:tcMar>
              <w:top w:type="dxa" w:w="80"/>
              <w:left w:type="dxa" w:w="120"/>
              <w:bottom w:type="dxa" w:w="80"/>
              <w:right w:type="dxa" w:w="120"/>
            </w:tcMar>
          </w:tcPr>
          <w:p>
            <w:r>
              <w:rPr>
                <w:b w:val="false"/>
                <w:bCs w:val="false"/>
                <w:color w:val="1F2937"/>
                <w:sz w:val="19"/>
                <w:szCs w:val="19"/>
              </w:rPr>
              <w:t xml:space="preserve">Both corpora are now queryable in one place.</w:t>
            </w:r>
          </w:p>
        </w:tc>
      </w:tr>
    </w:tbl>
    <w:p>
      <w:pPr>
        <w:pStyle w:val="Heading1"/>
        <w:spacing w:after="130" w:before="340"/>
      </w:pPr>
      <w:r>
        <w:rPr>
          <w:b/>
          <w:bCs/>
          <w:color w:val="1F2937"/>
          <w:sz w:val="27"/>
          <w:szCs w:val="27"/>
        </w:rPr>
        <w:t xml:space="preserve">9. Decisions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EF2FF" w:val="clear"/>
            <w:tcMar>
              <w:top w:type="dxa" w:w="80"/>
              <w:left w:type="dxa" w:w="120"/>
              <w:bottom w:type="dxa" w:w="80"/>
              <w:right w:type="dxa" w:w="120"/>
            </w:tcMar>
          </w:tcPr>
          <w:p>
            <w:r>
              <w:rPr>
                <w:b/>
                <w:bCs/>
                <w:color w:val="3730A3"/>
                <w:sz w:val="18"/>
                <w:szCs w:val="18"/>
              </w:rPr>
              <w:t xml:space="preserve">Question</w:t>
            </w:r>
          </w:p>
        </w:tc>
        <w:tc>
          <w:tcPr>
            <w:tcW w:type="dxa" w:w="6160"/>
            <w:shd w:fill="EEF2FF" w:val="clear"/>
            <w:tcMar>
              <w:top w:type="dxa" w:w="80"/>
              <w:left w:type="dxa" w:w="120"/>
              <w:bottom w:type="dxa" w:w="80"/>
              <w:right w:type="dxa" w:w="120"/>
            </w:tcMar>
          </w:tcPr>
          <w:p>
            <w:r>
              <w:rPr>
                <w:b/>
                <w:bCs/>
                <w:color w:val="3730A3"/>
                <w:sz w:val="18"/>
                <w:szCs w:val="18"/>
              </w:rPr>
              <w:t xml:space="preserve">Why it matters</w:t>
            </w:r>
          </w:p>
        </w:tc>
      </w:tr>
      <w:tr>
        <w:tc>
          <w:tcPr>
            <w:tcW w:type="dxa" w:w="3200"/>
            <w:tcMar>
              <w:top w:type="dxa" w:w="80"/>
              <w:left w:type="dxa" w:w="120"/>
              <w:bottom w:type="dxa" w:w="80"/>
              <w:right w:type="dxa" w:w="120"/>
            </w:tcMar>
          </w:tcPr>
          <w:p>
            <w:r>
              <w:rPr>
                <w:b/>
                <w:bCs/>
                <w:color w:val="1F2937"/>
                <w:sz w:val="19"/>
                <w:szCs w:val="19"/>
              </w:rPr>
              <w:t xml:space="preserve">Who can approve?</w:t>
            </w:r>
          </w:p>
        </w:tc>
        <w:tc>
          <w:tcPr>
            <w:tcW w:type="dxa" w:w="6160"/>
            <w:tcMar>
              <w:top w:type="dxa" w:w="80"/>
              <w:left w:type="dxa" w:w="120"/>
              <w:bottom w:type="dxa" w:w="80"/>
              <w:right w:type="dxa" w:w="120"/>
            </w:tcMar>
          </w:tcPr>
          <w:p>
            <w:r>
              <w:rPr>
                <w:b w:val="false"/>
                <w:bCs w:val="false"/>
                <w:color w:val="1F2937"/>
                <w:sz w:val="19"/>
                <w:szCs w:val="19"/>
              </w:rPr>
              <w:t xml:space="preserve">There is no login today. Signed email links identify the member; the dashboard currently cannot. Needed if approvals must be attributable.</w:t>
            </w:r>
          </w:p>
        </w:tc>
      </w:tr>
      <w:tr>
        <w:tc>
          <w:tcPr>
            <w:tcW w:type="dxa" w:w="3200"/>
            <w:tcMar>
              <w:top w:type="dxa" w:w="80"/>
              <w:left w:type="dxa" w:w="120"/>
              <w:bottom w:type="dxa" w:w="80"/>
              <w:right w:type="dxa" w:w="120"/>
            </w:tcMar>
          </w:tcPr>
          <w:p>
            <w:r>
              <w:rPr>
                <w:b/>
                <w:bCs/>
                <w:color w:val="1F2937"/>
                <w:sz w:val="19"/>
                <w:szCs w:val="19"/>
              </w:rPr>
              <w:t xml:space="preserve">Does rejection carry meaning?</w:t>
            </w:r>
          </w:p>
        </w:tc>
        <w:tc>
          <w:tcPr>
            <w:tcW w:type="dxa" w:w="6160"/>
            <w:tcMar>
              <w:top w:type="dxa" w:w="80"/>
              <w:left w:type="dxa" w:w="120"/>
              <w:bottom w:type="dxa" w:w="80"/>
              <w:right w:type="dxa" w:w="120"/>
            </w:tcMar>
          </w:tcPr>
          <w:p>
            <w:r>
              <w:rPr>
                <w:b w:val="false"/>
                <w:bCs w:val="false"/>
                <w:color w:val="1F2937"/>
                <w:sz w:val="19"/>
                <w:szCs w:val="19"/>
              </w:rPr>
              <w:t xml:space="preserve">A rejected opportunity is a useful negative signal for tuning relevance later — but only if the reason is captured.</w:t>
            </w:r>
          </w:p>
        </w:tc>
      </w:tr>
      <w:tr>
        <w:tc>
          <w:tcPr>
            <w:tcW w:type="dxa" w:w="3200"/>
            <w:tcMar>
              <w:top w:type="dxa" w:w="80"/>
              <w:left w:type="dxa" w:w="120"/>
              <w:bottom w:type="dxa" w:w="80"/>
              <w:right w:type="dxa" w:w="120"/>
            </w:tcMar>
          </w:tcPr>
          <w:p>
            <w:r>
              <w:rPr>
                <w:b/>
                <w:bCs/>
                <w:color w:val="1F2937"/>
                <w:sz w:val="19"/>
                <w:szCs w:val="19"/>
              </w:rPr>
              <w:t xml:space="preserve">Re-embed on update?</w:t>
            </w:r>
          </w:p>
        </w:tc>
        <w:tc>
          <w:tcPr>
            <w:tcW w:type="dxa" w:w="6160"/>
            <w:tcMar>
              <w:top w:type="dxa" w:w="80"/>
              <w:left w:type="dxa" w:w="120"/>
              <w:bottom w:type="dxa" w:w="80"/>
              <w:right w:type="dxa" w:w="120"/>
            </w:tcMar>
          </w:tcPr>
          <w:p>
            <w:r>
              <w:rPr>
                <w:b w:val="false"/>
                <w:bCs w:val="false"/>
                <w:color w:val="1F2937"/>
                <w:sz w:val="19"/>
                <w:szCs w:val="19"/>
              </w:rPr>
              <w:t xml:space="preserve">If a scrape updates an approved opportunity’s text, the stored vector goes stale. Decide whether updates re-trigger embedding.</w:t>
            </w:r>
          </w:p>
        </w:tc>
      </w:tr>
      <w:tr>
        <w:tc>
          <w:tcPr>
            <w:tcW w:type="dxa" w:w="3200"/>
            <w:tcMar>
              <w:top w:type="dxa" w:w="80"/>
              <w:left w:type="dxa" w:w="120"/>
              <w:bottom w:type="dxa" w:w="80"/>
              <w:right w:type="dxa" w:w="120"/>
            </w:tcMar>
          </w:tcPr>
          <w:p>
            <w:r>
              <w:rPr>
                <w:b/>
                <w:bCs/>
                <w:color w:val="1F2937"/>
                <w:sz w:val="19"/>
                <w:szCs w:val="19"/>
              </w:rPr>
              <w:t xml:space="preserve">Retention</w:t>
            </w:r>
          </w:p>
        </w:tc>
        <w:tc>
          <w:tcPr>
            <w:tcW w:type="dxa" w:w="6160"/>
            <w:tcMar>
              <w:top w:type="dxa" w:w="80"/>
              <w:left w:type="dxa" w:w="120"/>
              <w:bottom w:type="dxa" w:w="80"/>
              <w:right w:type="dxa" w:w="120"/>
            </w:tcMar>
          </w:tcPr>
          <w:p>
            <w:r>
              <w:rPr>
                <w:b w:val="false"/>
                <w:bCs w:val="false"/>
                <w:color w:val="1F2937"/>
                <w:sz w:val="19"/>
                <w:szCs w:val="19"/>
              </w:rPr>
              <w:t xml:space="preserve">Approved opportunities accumulate. Decide whether closed ones stay in the vector store as historical context or are removed.</w:t>
            </w:r>
          </w:p>
        </w:tc>
      </w:tr>
    </w:tbl>
    <w:sectPr>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2026-08-04T06:40:56.829Z</dcterms:created>
  <dcterms:modified xsi:type="dcterms:W3CDTF">2026-08-04T06:40:56.829Z</dcterms:modified>
</cp:coreProperties>
</file>

<file path=docProps/custom.xml><?xml version="1.0" encoding="utf-8"?>
<Properties xmlns="http://schemas.openxmlformats.org/officeDocument/2006/custom-properties" xmlns:vt="http://schemas.openxmlformats.org/officeDocument/2006/docPropsVTypes"/>
</file>