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BRRP — Master-plan, schedule XML and repeated-input review</w:t>
      </w:r>
    </w:p>
    <w:p>
      <w:r>
        <w:t>P13 |25October2026 |76 supplied file records; 76 successfully transferred; 21 distinct contents; 4 distinct contents with no exact prior local match. SHA-256 comparisons identify exact duplicates; a new hash does not itself establish a newer approved revision.</w:t>
      </w:r>
    </w:p>
    <w:p>
      <w:r>
        <w:t>Scope: version checking of the batch; content screening of the three distinct master-plan volumes; structural XML link/calendar/resource audit; classification of other distinct sources. Repeated sources retain prior review limitations. No claim is made of an exhaustive engineering/legal re-review, scheduler import/calculation, approved baseline or IFC/AFC release.</w:t>
      </w:r>
    </w:p>
    <w:p>
      <w:pPr>
        <w:pStyle w:val="Heading1"/>
      </w:pPr>
      <w:r>
        <w:t>Master-plan status</w:t>
      </w:r>
    </w:p>
    <w:p>
      <w:r>
        <w:t>Source: Volumes4–6 document status and source-basis paragraphs</w:t>
      </w:r>
    </w:p>
    <w:p>
      <w:r>
        <w:t>Volumes describe pre-award management planning, not construction release. Repeated copies are not proof of implementation or approval.</w:t>
      </w:r>
    </w:p>
    <w:p>
      <w:r>
        <w:t>Required update: Use these as management frameworks; link every bridge-specific deliverable to a controlled drawing/calculation, owner, due date and acceptance record.</w:t>
      </w:r>
    </w:p>
    <w:p>
      <w:pPr>
        <w:pStyle w:val="Heading1"/>
      </w:pPr>
      <w:r>
        <w:t>Marine plan</w:t>
      </w:r>
    </w:p>
    <w:p>
      <w:r>
        <w:t>Source: Volume4 clauses4.1–4.10</w:t>
      </w:r>
    </w:p>
    <w:p>
      <w:r>
        <w:t>Four proposed campaigns are management groupings, not four proven charters. Vessel selection, engineered module weights/COG, transport/lift/removal checks, permits and go/no-go gates remain evidence requirements.</w:t>
      </w:r>
    </w:p>
    <w:p>
      <w:r>
        <w:t>Required update: Close module-by-module geometry/weight/COG and rigging; crane radius/configuration, deck strength/stability, positioning, weather workability, assurance and charter availability. Never treat282MT BHS package quantity as a single lift weight.</w:t>
      </w:r>
    </w:p>
    <w:p>
      <w:pPr>
        <w:pStyle w:val="Heading1"/>
      </w:pPr>
      <w:r>
        <w:t>Internal logistics targets</w:t>
      </w:r>
    </w:p>
    <w:p>
      <w:r>
        <w:t>Source: Volume4 clause4.6</w:t>
      </w:r>
    </w:p>
    <w:p>
      <w:r>
        <w:t>14-day cargo readiness and72-hour manifest are proposed management controls. They are not established here as ONGC contractual notice periods.</w:t>
      </w:r>
    </w:p>
    <w:p>
      <w:r>
        <w:t>Required update: Mark proposed internal targets separately from mandatory contractual notices; coordinate actual shore-base and vessel booking requirements.</w:t>
      </w:r>
    </w:p>
    <w:p>
      <w:pPr>
        <w:pStyle w:val="Heading1"/>
      </w:pPr>
      <w:r>
        <w:t>Schedule planning windows</w:t>
      </w:r>
    </w:p>
    <w:p>
      <w:r>
        <w:t>Source: Volume5 clauses5.1,5.3,5.5,5.10</w:t>
      </w:r>
    </w:p>
    <w:p>
      <w:r>
        <w:t>Provisional day-number windows and360-day target are expressly unvalidated. Volume5 states feasibility is not demonstrated.</w:t>
      </w:r>
    </w:p>
    <w:p>
      <w:r>
        <w:t>Required update: Reconcile12months-from-NOA SCC against the360-day planning target; use actual commencement evidence, review-working-day calendars, monsoon conditions and resource capacity before approving baseline.</w:t>
      </w:r>
    </w:p>
    <w:p>
      <w:pPr>
        <w:pStyle w:val="Heading1"/>
      </w:pPr>
      <w:r>
        <w:t>XML structural checks</w:t>
      </w:r>
    </w:p>
    <w:p>
      <w:r>
        <w:t>Source: ProjectLibre XML Tasks/PredecessorLink; XML_schedule_audit.json</w:t>
      </w:r>
    </w:p>
    <w:p>
      <w:r>
        <w:t>207 non-summary tasks,124 predecessor links. No duplicate task UIDs, missing referenced predecessor IDs or directed cycles found by structural screening. All links have Type1 (FS in Microsoft Project XML).</w:t>
      </w:r>
    </w:p>
    <w:p>
      <w:r>
        <w:t>Required update: These checks establish parseable link structure only. Import compatibility and scheduling-engine calculations were not tested in ProjectLibre/P6.</w:t>
      </w:r>
    </w:p>
    <w:p>
      <w:pPr>
        <w:pStyle w:val="Heading1"/>
      </w:pPr>
      <w:r>
        <w:t>Open network ends</w:t>
      </w:r>
    </w:p>
    <w:p>
      <w:r>
        <w:t>Source: XML link audit</w:t>
      </w:r>
    </w:p>
    <w:p>
      <w:r>
        <w:t>83 tasks have no predecessor;83 have no successor;17 are isolated. Multiple package starts/finishes can be intentional, but no integrated completion-path proof follows.</w:t>
      </w:r>
    </w:p>
    <w:p>
      <w:r>
        <w:t>Required update: Review every open end and connect required engineering, procurement, inspection, fabrication, logistics, marine, installation and turnover gates. Add genuine project start/completion logic; do not add arbitrary links merely to reduce counts.</w:t>
      </w:r>
    </w:p>
    <w:p>
      <w:pPr>
        <w:pStyle w:val="Heading1"/>
      </w:pPr>
      <w:r>
        <w:t>XML calendar and duration semantics</w:t>
      </w:r>
    </w:p>
    <w:p>
      <w:r>
        <w:t>Source: XML StartDate/Calendars/MinutesPerDay; task Notes</w:t>
      </w:r>
    </w:p>
    <w:p>
      <w:r>
        <w:t>Start is assumed1November2026 at08:00; calendar is Standard5-day Placeholder with8hours/day and no calendar exceptions. Example first survey duration224hours corresponds28workingdays; provisional day windows in Notes are not calculated dates.</w:t>
      </w:r>
    </w:p>
    <w:p>
      <w:r>
        <w:t>Required update: Establish calendar meaning for each task. Separate working-day engineering review, yard shifts, marine offshore calendars, weather/season restrictions and approved relief; re-evaluate durations from quantities/productivity.</w:t>
      </w:r>
    </w:p>
    <w:p>
      <w:pPr>
        <w:pStyle w:val="Heading1"/>
      </w:pPr>
      <w:r>
        <w:t>Missing resource and CPM evidence</w:t>
      </w:r>
    </w:p>
    <w:p>
      <w:r>
        <w:t>Source: XML Resources/Assignments and task fields</w:t>
      </w:r>
    </w:p>
    <w:p>
      <w:r>
        <w:t>No resources or assignments are present. Examined task fields do not establish calculated start/finish, total float or an accepted critical path.</w:t>
      </w:r>
    </w:p>
    <w:p>
      <w:r>
        <w:t>Required update: Assign named capacity/units, work shifts, vessels, crews and workfront constraints. Run CPM then resource feasibility and sensitivity checks; retain scheduler settings and calculation logs. No revalidated finish date is claimed by this review.</w:t>
      </w:r>
    </w:p>
    <w:p>
      <w:pPr>
        <w:pStyle w:val="Heading1"/>
      </w:pPr>
      <w:r>
        <w:t>Commercial and progress controls</w:t>
      </w:r>
    </w:p>
    <w:p>
      <w:r>
        <w:t>Source: Volume6 clauses6.1–6.4,6.9</w:t>
      </w:r>
    </w:p>
    <w:p>
      <w:r>
        <w:t>Cost/commitment/accrual/actual, earned value, certified progress and cash receipts are distinct controls. Generic framework text does not populate project budgets or demonstrate bank funding.</w:t>
      </w:r>
    </w:p>
    <w:p>
      <w:r>
        <w:t>Required update: Link approved WBS quantities/rates and cost accounts to activity progress rules, amended A-10 milestones, invoicing/e-MB and full-life cash flow. Apply P9/P11 security, tax and amendment findings.</w:t>
      </w:r>
    </w:p>
    <w:p>
      <w:pPr>
        <w:pStyle w:val="Heading1"/>
      </w:pPr>
      <w:r>
        <w:t>Quality, HSE and turnover</w:t>
      </w:r>
    </w:p>
    <w:p>
      <w:r>
        <w:t>Source: Volume6 clauses6.5–6.10</w:t>
      </w:r>
    </w:p>
    <w:p>
      <w:r>
        <w:t>QA/HSE/emergency/risk/turnover provisions specify required systems and evidence; tables and narrative do not establish that tests, drills, inspections or handovers occurred.</w:t>
      </w:r>
    </w:p>
    <w:p>
      <w:r>
        <w:t>Required update: Issue scoped ITP/WPS/PQR/NDT/coating matrices; competent personnel and equipment records; HIRA/JSA/PTW/SIMOPS and emergency interfaces; bridge-wise completion, service reinstatement, scrap and acceptance dossiers.</w:t>
      </w:r>
    </w:p>
    <w:p>
      <w:pPr>
        <w:pStyle w:val="Heading1"/>
      </w:pPr>
      <w:r>
        <w:t>Benchmark claims</w:t>
      </w:r>
    </w:p>
    <w:p>
      <w:r>
        <w:t>Source: Volumes4–6 external EPC benchmark statement</w:t>
      </w:r>
    </w:p>
    <w:p>
      <w:r>
        <w:t>References to Saipem and McDermott are general benchmarks. This batch supplies no independent comparative performance evidence or verified internal company manuals.</w:t>
      </w:r>
    </w:p>
    <w:p>
      <w:r>
        <w:t>Required update: Describe adopted practices and measurable controls without claiming superiority to either EPC contractor.</w:t>
      </w:r>
    </w:p>
    <w:p>
      <w:pPr>
        <w:pStyle w:val="Heading1"/>
      </w:pPr>
      <w:r>
        <w:t>Reconciliation carry-forward</w:t>
      </w:r>
    </w:p>
    <w:p>
      <w:r>
        <w:t>Source: Volumes4–6 quantity basis; P8–P12 reviews</w:t>
      </w:r>
    </w:p>
    <w:p>
      <w:r>
        <w:t>Repeated SOW/specification/tender material does not close MTO discrepancies, design questions, revised SCC/A-3 issue identity or engineering approvals.</w:t>
      </w:r>
    </w:p>
    <w:p>
      <w:r>
        <w:t>Required update: Maintain open-item history, source precedence and amendment overlays; do not mark rows closed because a file was re-uploaded.</w:t>
      </w:r>
    </w:p>
    <w:p>
      <w:pPr>
        <w:pStyle w:val="Heading1"/>
      </w:pPr>
      <w:r>
        <w:t>Unclassified file</w:t>
      </w:r>
    </w:p>
    <w:p>
      <w:r>
        <w:t>Source: ticket.pdf; unique-content extract</w:t>
      </w:r>
    </w:p>
    <w:p>
      <w:r>
        <w:t>Classify separately based on actual content. A personal/travel document does not change project technical or commercial scope merely because uploaded with tender documents.</w:t>
      </w:r>
    </w:p>
    <w:p>
      <w:r>
        <w:t>Required update: Exclude unrelated personal information from shared project deliverables; do not treat a ticket as project award, approval or mobilisation evidence without a relevant explicit reference.</w:t>
      </w:r>
    </w:p>
    <w:p>
      <w:pPr>
        <w:pStyle w:val="Heading1"/>
      </w:pPr>
      <w:r>
        <w:t>Next controlled issue</w:t>
      </w:r>
    </w:p>
    <w:p>
      <w:r>
        <w:t>Use one controlled source register and one governing schedule. Reconcile amendments and outstanding engineering inputs, implement approval/inspection dependencies, verify resource and vessel availability, resolve open ends, set calendars, price the full scope and run the chosen scheduler. Document critical and near-critical paths, resource overloads, monsoon exposure and cash requirements before seeking baseline acceptance. Actual procurement, fabrication, installation, commissioning and approvals remain evidence-based execution gates. Document requirements are reference content, not instructions to perform external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