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 — Project Management Package Self-Review and Completion Supplement</w:t>
      </w:r>
    </w:p>
    <w:p>
      <w:r>
        <w:t>P7 |25 October 2026 | Forreview | No claim of superiority, independentassurance or constructionapproval</w:t>
      </w:r>
    </w:p>
    <w:p>
      <w:r>
        <w:t>Conclusion: the package cannot be substantiated as better than leading offshore EPC companies. It remains a preliminary planning/engineering-development package. Document counts, correctly calculated example arithmetic and a connected schedule do not demonstrate a complete, executable or approved project. This review identifies 24 additional or insufficientlydeveloped controls and 96 closure actions. It supplements, rather than duplicates or cancels, the 104 P 6 actions.</w:t>
      </w:r>
    </w:p>
    <w:p>
      <w:pPr>
        <w:pStyle w:val="Heading1"/>
      </w:pPr>
      <w:r>
        <w:t>1. Actual maturity and correction to any overstatement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sz w:val="16"/>
              </w:rPr>
              <w:t>Area</w:t>
            </w:r>
          </w:p>
        </w:tc>
        <w:tc>
          <w:tcPr>
            <w:tcW w:type="dxa" w:w="2880"/>
          </w:tcPr>
          <w:p>
            <w:r>
              <w:rPr>
                <w:sz w:val="16"/>
              </w:rPr>
              <w:t>Status</w:t>
            </w:r>
          </w:p>
        </w:tc>
        <w:tc>
          <w:tcPr>
            <w:tcW w:type="dxa" w:w="2880"/>
          </w:tcPr>
          <w:p>
            <w:r>
              <w:rPr>
                <w:sz w:val="16"/>
              </w:rPr>
              <w:t>Meaning</w:t>
            </w:r>
          </w:p>
        </w:tc>
      </w:tr>
      <w:tr>
        <w:tc>
          <w:tcPr>
            <w:tcW w:type="dxa" w:w="2880"/>
          </w:tcPr>
          <w:p>
            <w:r>
              <w:rPr>
                <w:sz w:val="16"/>
              </w:rPr>
              <w:t>Benchmark claim</w:t>
            </w:r>
          </w:p>
        </w:tc>
        <w:tc>
          <w:tcPr>
            <w:tcW w:type="dxa" w:w="2880"/>
          </w:tcPr>
          <w:p>
            <w:r>
              <w:rPr>
                <w:sz w:val="16"/>
              </w:rPr>
              <w:t>NOT SUBSTANTIATED</w:t>
            </w:r>
          </w:p>
        </w:tc>
        <w:tc>
          <w:tcPr>
            <w:tcW w:type="dxa" w:w="2880"/>
          </w:tcPr>
          <w:p>
            <w:r>
              <w:rPr>
                <w:sz w:val="16"/>
              </w:rPr>
              <w:t>No audited comparison withSaipem/McDermott; companyinternalprocedures and outcomes not verified.</w:t>
            </w:r>
          </w:p>
        </w:tc>
      </w:tr>
      <w:tr>
        <w:tc>
          <w:tcPr>
            <w:tcW w:type="dxa" w:w="2880"/>
          </w:tcPr>
          <w:p>
            <w:r>
              <w:rPr>
                <w:sz w:val="16"/>
              </w:rPr>
              <w:t>Review independence</w:t>
            </w:r>
          </w:p>
        </w:tc>
        <w:tc>
          <w:tcPr>
            <w:tcW w:type="dxa" w:w="2880"/>
          </w:tcPr>
          <w:p>
            <w:r>
              <w:rPr>
                <w:sz w:val="16"/>
              </w:rPr>
              <w:t>SELF-REVIEW</w:t>
            </w:r>
          </w:p>
        </w:tc>
        <w:tc>
          <w:tcPr>
            <w:tcW w:type="dxa" w:w="2880"/>
          </w:tcPr>
          <w:p>
            <w:r>
              <w:rPr>
                <w:sz w:val="16"/>
              </w:rPr>
              <w:t>This supplement is not independentengineering or projectassurance sign-off.</w:t>
            </w:r>
          </w:p>
        </w:tc>
      </w:tr>
      <w:tr>
        <w:tc>
          <w:tcPr>
            <w:tcW w:type="dxa" w:w="2880"/>
          </w:tcPr>
          <w:p>
            <w:r>
              <w:rPr>
                <w:sz w:val="16"/>
              </w:rPr>
              <w:t>Management documents</w:t>
            </w:r>
          </w:p>
        </w:tc>
        <w:tc>
          <w:tcPr>
            <w:tcW w:type="dxa" w:w="2880"/>
          </w:tcPr>
          <w:p>
            <w:r>
              <w:rPr>
                <w:sz w:val="16"/>
              </w:rPr>
              <w:t>PRELIMINARY / DEVELOPING</w:t>
            </w:r>
          </w:p>
        </w:tc>
        <w:tc>
          <w:tcPr>
            <w:tcW w:type="dxa" w:w="2880"/>
          </w:tcPr>
          <w:p>
            <w:r>
              <w:rPr>
                <w:sz w:val="16"/>
              </w:rPr>
              <w:t>P5/P6 provide scope,registers and workstreamplans; some procedures require project-specificpopulation/review.</w:t>
            </w:r>
          </w:p>
        </w:tc>
      </w:tr>
      <w:tr>
        <w:tc>
          <w:tcPr>
            <w:tcW w:type="dxa" w:w="2880"/>
          </w:tcPr>
          <w:p>
            <w:r>
              <w:rPr>
                <w:sz w:val="16"/>
              </w:rPr>
              <w:t>Engineering</w:t>
            </w:r>
          </w:p>
        </w:tc>
        <w:tc>
          <w:tcPr>
            <w:tcW w:type="dxa" w:w="2880"/>
          </w:tcPr>
          <w:p>
            <w:r>
              <w:rPr>
                <w:sz w:val="16"/>
              </w:rPr>
              <w:t>INCOMPLETE</w:t>
            </w:r>
          </w:p>
        </w:tc>
        <w:tc>
          <w:tcPr>
            <w:tcW w:type="dxa" w:w="2880"/>
          </w:tcPr>
          <w:p>
            <w:r>
              <w:rPr>
                <w:sz w:val="16"/>
              </w:rPr>
              <w:t>P 4 source-basedsheets/arithmetic are not completedglobal/member/connection/bearing/fatigue/liftingdesign.</w:t>
            </w:r>
          </w:p>
        </w:tc>
      </w:tr>
      <w:tr>
        <w:tc>
          <w:tcPr>
            <w:tcW w:type="dxa" w:w="2880"/>
          </w:tcPr>
          <w:p>
            <w:r>
              <w:rPr>
                <w:sz w:val="16"/>
              </w:rPr>
              <w:t>Schedule</w:t>
            </w:r>
          </w:p>
        </w:tc>
        <w:tc>
          <w:tcPr>
            <w:tcW w:type="dxa" w:w="2880"/>
          </w:tcPr>
          <w:p>
            <w:r>
              <w:rPr>
                <w:sz w:val="16"/>
              </w:rPr>
              <w:t>ILLUSTRATIVE CONDITIONAL SCENARIO</w:t>
            </w:r>
          </w:p>
        </w:tc>
        <w:tc>
          <w:tcPr>
            <w:tcW w:type="dxa" w:w="2880"/>
          </w:tcPr>
          <w:p>
            <w:r>
              <w:rPr>
                <w:sz w:val="16"/>
              </w:rPr>
              <w:t>Validconnectivity does not establish scopecoverage,resourcefeasibility or weatherconfidence.</w:t>
            </w:r>
          </w:p>
        </w:tc>
      </w:tr>
      <w:tr>
        <w:tc>
          <w:tcPr>
            <w:tcW w:type="dxa" w:w="2880"/>
          </w:tcPr>
          <w:p>
            <w:r>
              <w:rPr>
                <w:sz w:val="16"/>
              </w:rPr>
              <w:t>Quantities</w:t>
            </w:r>
          </w:p>
        </w:tc>
        <w:tc>
          <w:tcPr>
            <w:tcW w:type="dxa" w:w="2880"/>
          </w:tcPr>
          <w:p>
            <w:r>
              <w:rPr>
                <w:sz w:val="16"/>
              </w:rPr>
              <w:t>TENDER / UNRECONCILED</w:t>
            </w:r>
          </w:p>
        </w:tc>
        <w:tc>
          <w:tcPr>
            <w:tcW w:type="dxa" w:w="2880"/>
          </w:tcPr>
          <w:p>
            <w:r>
              <w:rPr>
                <w:sz w:val="16"/>
              </w:rPr>
              <w:t>Three arithmeticdiscrepancies remainopen; nofinalpurchaseMTO.</w:t>
            </w:r>
          </w:p>
        </w:tc>
      </w:tr>
      <w:tr>
        <w:tc>
          <w:tcPr>
            <w:tcW w:type="dxa" w:w="2880"/>
          </w:tcPr>
          <w:p>
            <w:r>
              <w:rPr>
                <w:sz w:val="16"/>
              </w:rPr>
              <w:t>Cost/cash</w:t>
            </w:r>
          </w:p>
        </w:tc>
        <w:tc>
          <w:tcPr>
            <w:tcW w:type="dxa" w:w="2880"/>
          </w:tcPr>
          <w:p>
            <w:r>
              <w:rPr>
                <w:sz w:val="16"/>
              </w:rPr>
              <w:t>UNPRICED</w:t>
            </w:r>
          </w:p>
        </w:tc>
        <w:tc>
          <w:tcPr>
            <w:tcW w:type="dxa" w:w="2880"/>
          </w:tcPr>
          <w:p>
            <w:r>
              <w:rPr>
                <w:sz w:val="16"/>
              </w:rPr>
              <w:t>Noapprovedbudget,margin,fundingadequacy or costconfidence.</w:t>
            </w:r>
          </w:p>
        </w:tc>
      </w:tr>
      <w:tr>
        <w:tc>
          <w:tcPr>
            <w:tcW w:type="dxa" w:w="2880"/>
          </w:tcPr>
          <w:p>
            <w:r>
              <w:rPr>
                <w:sz w:val="16"/>
              </w:rPr>
              <w:t>AFC</w:t>
            </w:r>
          </w:p>
        </w:tc>
        <w:tc>
          <w:tcPr>
            <w:tcW w:type="dxa" w:w="2880"/>
          </w:tcPr>
          <w:p>
            <w:r>
              <w:rPr>
                <w:sz w:val="16"/>
              </w:rPr>
              <w:t>NOT APPROVED</w:t>
            </w:r>
          </w:p>
        </w:tc>
        <w:tc>
          <w:tcPr>
            <w:tcW w:type="dxa" w:w="2880"/>
          </w:tcPr>
          <w:p>
            <w:r>
              <w:rPr>
                <w:sz w:val="16"/>
              </w:rPr>
              <w:t>Register/forms are not actualapproved drawings.</w:t>
            </w:r>
          </w:p>
        </w:tc>
      </w:tr>
      <w:tr>
        <w:tc>
          <w:tcPr>
            <w:tcW w:type="dxa" w:w="2880"/>
          </w:tcPr>
          <w:p>
            <w:r>
              <w:rPr>
                <w:sz w:val="16"/>
              </w:rPr>
              <w:t>Execution/acceptance</w:t>
            </w:r>
          </w:p>
        </w:tc>
        <w:tc>
          <w:tcPr>
            <w:tcW w:type="dxa" w:w="2880"/>
          </w:tcPr>
          <w:p>
            <w:r>
              <w:rPr>
                <w:sz w:val="16"/>
              </w:rPr>
              <w:t>NOT EVIDENCED HERE</w:t>
            </w:r>
          </w:p>
        </w:tc>
        <w:tc>
          <w:tcPr>
            <w:tcW w:type="dxa" w:w="2880"/>
          </w:tcPr>
          <w:p>
            <w:r>
              <w:rPr>
                <w:sz w:val="16"/>
              </w:rPr>
              <w:t>No suppliercommitment,physical completionorclientacceptance inferred.</w:t>
            </w:r>
          </w:p>
        </w:tc>
      </w:tr>
      <w:tr>
        <w:tc>
          <w:tcPr>
            <w:tcW w:type="dxa" w:w="2880"/>
          </w:tcPr>
          <w:p>
            <w:r>
              <w:rPr>
                <w:sz w:val="16"/>
              </w:rPr>
              <w:t>Delivery</w:t>
            </w:r>
          </w:p>
        </w:tc>
        <w:tc>
          <w:tcPr>
            <w:tcW w:type="dxa" w:w="2880"/>
          </w:tcPr>
          <w:p>
            <w:r>
              <w:rPr>
                <w:sz w:val="16"/>
              </w:rPr>
              <w:t>NOT CONFIRMED</w:t>
            </w:r>
          </w:p>
        </w:tc>
        <w:tc>
          <w:tcPr>
            <w:tcW w:type="dxa" w:w="2880"/>
          </w:tcPr>
          <w:p>
            <w:r>
              <w:rPr>
                <w:sz w:val="16"/>
              </w:rPr>
              <w:t>Workspacefileintegrity does notprove recipientdownload/opening.</w:t>
            </w:r>
          </w:p>
        </w:tc>
      </w:tr>
    </w:tbl>
    <w:p>
      <w:r>
        <w:t>A register containing 101 engineering deliverables is not evidence that 101 designs or drawings have been completed. The nineP 4 sheets comprise source-informed arrangements, functional support interfaces and detailing schedules. They are not nine fully engineered drawings. The package is not ready for baseline approval while design, cost, resource, procurement, weather and review evidence remain unresolved.</w:t>
      </w:r>
    </w:p>
    <w:p>
      <w:pPr>
        <w:pStyle w:val="Heading1"/>
      </w:pPr>
      <w:r>
        <w:t>2. Evidence-based schedule findings</w:t>
      </w:r>
    </w:p>
    <w:p>
      <w:r>
        <w:t>The 205 activity scenario has one start and one terminal milestone, and its dependency, calendar and named-resource sequencing checks passed. Those checks establish internal consistency only. The 25 procurement packages do not have individual vendor-backed lead times. P010 is a generic 25 day bulk-material workflow. Crew, yard, inspection, coating and POB capacities and most duration inputs are unverified. The 10 day weather hold is not an operation-specific weather forecast. The 15 June 2027 target remains an illustrative scenario until these gaps are resolved.</w:t>
      </w:r>
    </w:p>
    <w:p>
      <w:r>
        <w:t>The earlier three-day material-delay test measures the sensitivity of the coarse seasonal calendar and reserve assumptions. It does not prove that actual demobilisation must wait until October. Final planning requires actual operating limits, workability, safe suspension, restart and demobilisation strategies. Contractual relief and cost entitlement are separate assessments.</w:t>
      </w:r>
    </w:p>
    <w:p>
      <w:pPr>
        <w:pStyle w:val="Heading1"/>
      </w:pPr>
      <w:r>
        <w:t>3. Additional or underdeveloped controls</w:t>
      </w:r>
    </w:p>
    <w:p>
      <w:pPr>
        <w:pStyle w:val="Heading2"/>
      </w:pPr>
      <w:r>
        <w:t>PM01 — Contract-to-evidence requirements traceability</w:t>
      </w:r>
    </w:p>
    <w:p>
      <w:r>
        <w:t>Classification: UNDERDEVELOPED. Finding: P5 source list and obligations are not a clause-by-clause verification matrix. Owner: Contracts / Engineering. Need-by: Before scope/design baseline.</w:t>
      </w:r>
    </w:p>
    <w:p>
      <w:r>
        <w:t>PM01.01 Assign a unique requirement ID and exact source clause/revision.</w:t>
      </w:r>
    </w:p>
    <w:p>
      <w:r>
        <w:t>PM01.02 Link each requirement to applicable bridges, calculation/drawing, procurement and test evidence.</w:t>
      </w:r>
    </w:p>
    <w:p>
      <w:r>
        <w:t>PM01.03 Assign verification method, responsible owner and acceptance authority.</w:t>
      </w:r>
    </w:p>
    <w:p>
      <w:r>
        <w:t>PM01.04 Close only against actual approved evidence; retain exceptions and changes.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PM02 — Integrated WBS / CBS / OBS / control accounts</w:t>
      </w:r>
    </w:p>
    <w:p>
      <w:r>
        <w:t>Classification: UNDERDEVELOPED. Finding: Package IDs exist but cost, responsibility, procurement and progress are not fully mapped. Owner: Project Controls / Cost. Need-by: Before cost/schedule baseline.</w:t>
      </w:r>
    </w:p>
    <w:p>
      <w:r>
        <w:t>PM02.01 Adopt one bridge/workstream coding dictionary across scope, schedule, cost and documentation.</w:t>
      </w:r>
    </w:p>
    <w:p>
      <w:r>
        <w:t>PM02.02 Define control accounts with one accountable manager, budget, schedule and deliverable boundary.</w:t>
      </w:r>
    </w:p>
    <w:p>
      <w:r>
        <w:t>PM02.03 Map procurement, material, invoice and accepted quantities to those control accounts.</w:t>
      </w:r>
    </w:p>
    <w:p>
      <w:r>
        <w:t>PM02.04 Prevent shared marine/engineering cost duplication and cross-bridge quantity double counting.</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PM03 — Execution-concept and constructability selection</w:t>
      </w:r>
    </w:p>
    <w:p>
      <w:r>
        <w:t>Classification: UNDERDEVELOPED. Finding: Source concept is carried forward; project-specific alternatives and constraints are not decided. Owner: Engineering / Marine / Construction. Need-by: Before design freeze.</w:t>
      </w:r>
    </w:p>
    <w:p>
      <w:r>
        <w:t>PM03.01 Compare practical module splits, lifting/transport strategies and fabrication routes.</w:t>
      </w:r>
    </w:p>
    <w:p>
      <w:r>
        <w:t>PM03.02 Assess live-service clearances, existing bridge interference, access and operational restrictions.</w:t>
      </w:r>
    </w:p>
    <w:p>
      <w:r>
        <w:t>PM03.03 Record cost, schedule, safety and interface consequences with qualified engineering input.</w:t>
      </w:r>
    </w:p>
    <w:p>
      <w:r>
        <w:t>PM03.04 Approve the selected concept and propagate it to model, MTO, vessel needs and schedule.</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PM04 — Engineering-model validation and checking plan</w:t>
      </w:r>
    </w:p>
    <w:p>
      <w:r>
        <w:t>Classification: OPEN ENGINEERING. Finding: Source arithmetic and pictures do not reproduce the structural model. Owner: Technical Authority / Checker. Need-by: Before detailed design approval.</w:t>
      </w:r>
    </w:p>
    <w:p>
      <w:r>
        <w:t>PM04.01 Issue model/input/checking registers with calculation IDs and validation responsibility.</w:t>
      </w:r>
    </w:p>
    <w:p>
      <w:r>
        <w:t>PM04.02 Reproduce source load totals and gravity response or explain changes before new analyses.</w:t>
      </w:r>
    </w:p>
    <w:p>
      <w:r>
        <w:t>PM04.03 Check geometry, section groups, stiffness, releases, stability, units and load combinations.</w:t>
      </w:r>
    </w:p>
    <w:p>
      <w:r>
        <w:t>PM04.04 Document independent checking of members, joints, bearings, existing structures and temporary states.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PM05 — Long-lead procurement network</w:t>
      </w:r>
    </w:p>
    <w:p>
      <w:r>
        <w:t>Classification: MATERIAL SCHEDULE GAP. Finding: P010 is one bulk-material placeholder; all 25 procurement packages lack separate validated logic. Owner: Procurement / Planning. Need-by: Before schedule baseline.</w:t>
      </w:r>
    </w:p>
    <w:p>
      <w:r>
        <w:t>PM05.01 Create separate vendor-document, approval, manufacture, inspection, dispatch and receipt milestones where relevant.</w:t>
      </w:r>
    </w:p>
    <w:p>
      <w:r>
        <w:t>PM05.02 Obtain actual quotations and lead times for bearings, services, lifesaving equipment and specialist suppliers.</w:t>
      </w:r>
    </w:p>
    <w:p>
      <w:r>
        <w:t>PM05.03 Connect each package to its earliest genuine design/fabrication/installation/test need date.</w:t>
      </w:r>
    </w:p>
    <w:p>
      <w:r>
        <w:t>PM05.04 Recalculate critical paths after these links and commitments are entered; do not retain target dates by force.</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PM06 — Schedule quality and full resource validation</w:t>
      </w:r>
    </w:p>
    <w:p>
      <w:r>
        <w:t>Classification: UNDERDEVELOPED. Finding: Network connectivity checks pass; durations and full capacity constraints remain unverified. Owner: Project Controls / Discipline Leads. Need-by: Before baseline approval.</w:t>
      </w:r>
    </w:p>
    <w:p>
      <w:r>
        <w:t>PM06.01 Validate every task duration against quantities, crew-hours, access and demonstrated productivity.</w:t>
      </w:r>
    </w:p>
    <w:p>
      <w:r>
        <w:t>PM06.02 Include review cycles, vendor data, port/field moves, inspection/coating, shutdowns and operational windows.</w:t>
      </w:r>
    </w:p>
    <w:p>
      <w:r>
        <w:t>PM06.03 Level labour, supervision, cranes, QA/NDT, coating bays, vessels, shifts, rotations and POB.</w:t>
      </w:r>
    </w:p>
    <w:p>
      <w:r>
        <w:t>PM06.04 Audit calendars, open ends, excessive constraints, lags, safe seasonal stoppoints and milestone definitions.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PM07 — Activity-specific weather and operability model</w:t>
      </w:r>
    </w:p>
    <w:p>
      <w:r>
        <w:t>Classification: CORRECTION REQUIRED. Finding: The 10-day hold after offshore work is not a validated weather-risk model. Owner: Marine / Planning / Assurance. Need-by: Before offshore campaign sanction.</w:t>
      </w:r>
    </w:p>
    <w:p>
      <w:r>
        <w:t>PM07.01 Establish operation-specific wind/wave/current/visibility limits from actual vessels and approved methods.</w:t>
      </w:r>
    </w:p>
    <w:p>
      <w:r>
        <w:t>PM07.02 Use relevant seasonal/metocean evidence to estimate workable hours and continuous safe windows.</w:t>
      </w:r>
    </w:p>
    <w:p>
      <w:r>
        <w:t>PM07.03 Model interruption, recovery, safe suspension, standby and demobilisation where they occur.</w:t>
      </w:r>
    </w:p>
    <w:p>
      <w:r>
        <w:t>PM07.04 Replace the coarse hold with a documented weather/contingency basis; retain P5 only as an illustrative scenario.</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PM08 — Quantitative schedule and cost risk assessment</w:t>
      </w:r>
    </w:p>
    <w:p>
      <w:r>
        <w:t>Classification: NOT PERFORMED. Finding: Deterministic delay tests exist; no calibrated probabilistic risk model or confidence dates exist. Owner: Risk / Planning / Cost. Need-by: Before management forecast commitment.</w:t>
      </w:r>
    </w:p>
    <w:p>
      <w:r>
        <w:t>PM08.01 Link risks to specific activities, costs, owners, triggers and responses.</w:t>
      </w:r>
    </w:p>
    <w:p>
      <w:r>
        <w:t>PM08.02 Develop evidence-based duration/risk ranges and correlation assumptions.</w:t>
      </w:r>
    </w:p>
    <w:p>
      <w:r>
        <w:t>PM08.03 Run quantitative scenarios/probabilistic assessment with documented inputs if confidence dates are required.</w:t>
      </w:r>
    </w:p>
    <w:p>
      <w:r>
        <w:t>PM08.04 Report confidence levels and drivers only after analysis; do not invent P50/P80 dates or contingency percentages.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PM09 — Progress measurement and earned-value rules</w:t>
      </w:r>
    </w:p>
    <w:p>
      <w:r>
        <w:t>Classification: UNDERDEVELOPED. Finding: Accepted quantities are specified, but discipline weighting and credit rules are not approved. Owner: Project Controls / QA / Cost. Need-by: Before first progress report.</w:t>
      </w:r>
    </w:p>
    <w:p>
      <w:r>
        <w:t>PM09.01 Define units, denominator, milestone weights and acceptance evidence for each work type.</w:t>
      </w:r>
    </w:p>
    <w:p>
      <w:r>
        <w:t>PM09.02 Keep physical progress, commercial billing and cash receipts separate.</w:t>
      </w:r>
    </w:p>
    <w:p>
      <w:r>
        <w:t>PM09.03 Base project-level weighting on approved budgets/hours and control accounts; avoid arbitrary mixed-tonnage percentages.</w:t>
      </w:r>
    </w:p>
    <w:p>
      <w:r>
        <w:t>PM09.04 Use CPI/SPI only with compatible approved planned/earned/actual baselines and consistent units.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PM10 — Weekly update and forecasting protocol</w:t>
      </w:r>
    </w:p>
    <w:p>
      <w:r>
        <w:t>Classification: UNDERDEVELOPED. Finding: Reporting rhythm exists; data-date, actualisation and remaining-work rules need formal definition. Owner: Project Controls. Need-by: Before first controlled update.</w:t>
      </w:r>
    </w:p>
    <w:p>
      <w:r>
        <w:t>PM10.01 Fix reporting data date, responsible data owners and evidence deadlines.</w:t>
      </w:r>
    </w:p>
    <w:p>
      <w:r>
        <w:t>PM10.02 Record accepted actual starts/finishes, remaining quantities and realistic remaining durations.</w:t>
      </w:r>
    </w:p>
    <w:p>
      <w:r>
        <w:t>PM10.03 Reconcile out-of-sequence work through authorised logic updates with preserved baseline history.</w:t>
      </w:r>
    </w:p>
    <w:p>
      <w:r>
        <w:t>PM10.04 Issue variance narrative, critical/near-critical changes, six-week constraints and decisions with owners.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PM11 — Weight and centre-of-gravity control</w:t>
      </w:r>
    </w:p>
    <w:p>
      <w:r>
        <w:t>Classification: UNDERDEVELOPED. Finding: Weight/COG is recognised but no live controlled register or change-trigger workflow exists. Owner: Engineering / Fabrication / Marine. Need-by: Before vessel commitment and each lift.</w:t>
      </w:r>
    </w:p>
    <w:p>
      <w:r>
        <w:t>PM11.01 Assign module IDs, weight categories, uncertainty, inclusions/exclusions and COG coordinates.</w:t>
      </w:r>
    </w:p>
    <w:p>
      <w:r>
        <w:t>PM11.02 Reconcile theoretical and measured weights including temporary steel, rigging and loose-shipped items.</w:t>
      </w:r>
    </w:p>
    <w:p>
      <w:r>
        <w:t>PM11.03 Apply the supplied criteria reanalysis triggers:weight increase over 5% or COG shift over 2% of corresponding dimension.</w:t>
      </w:r>
    </w:p>
    <w:p>
      <w:r>
        <w:t>PM11.04 Release revised lift/transport calculations and communicate changes to vessel and installation authorities.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PM12 — Technical interfaces and decision escalation</w:t>
      </w:r>
    </w:p>
    <w:p>
      <w:r>
        <w:t>Classification: UNDERDEVELOPED. Finding: Interface and decision registers are described but not fully populated with closure deadlines. Owner: Interface Manager / Project Director. Need-by: Before design release and weekly.</w:t>
      </w:r>
    </w:p>
    <w:p>
      <w:r>
        <w:t>PM12.01 Populate physical, functional, operational, organisational and document interfaces bridge by bridge.</w:t>
      </w:r>
    </w:p>
    <w:p>
      <w:r>
        <w:t>PM12.02 Assign one interface owner, responding party, need-by date and objective closure evidence.</w:t>
      </w:r>
    </w:p>
    <w:p>
      <w:r>
        <w:t>PM12.03 Escalate missed critical need dates and preserve decision rationale and authorised changes.</w:t>
      </w:r>
    </w:p>
    <w:p>
      <w:r>
        <w:t>PM12.04 Separate information requests from deviations, nonconformances and commercial change requests.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PM13 — Supplier and subcontract performance assurance</w:t>
      </w:r>
    </w:p>
    <w:p>
      <w:r>
        <w:t>Classification: UNDERDEVELOPED. Finding: Procurement packages exist but supplier-specific surveillance and performance controls are not developed. Owner: Supply Chain / QA / Contracts. Need-by: Before placement and during supply.</w:t>
      </w:r>
    </w:p>
    <w:p>
      <w:r>
        <w:t>PM13.01 Qualify capability, actual capacity, competence, financial exposure and subcontract interfaces as applicable.</w:t>
      </w:r>
    </w:p>
    <w:p>
      <w:r>
        <w:t>PM13.02 Flow down drawings/specifications, QA/HSE, documentation, schedule, change and completion obligations.</w:t>
      </w:r>
    </w:p>
    <w:p>
      <w:r>
        <w:t>PM13.03 Agree supplier deliverable registers, inspections, expediting milestones and evidence requirements.</w:t>
      </w:r>
    </w:p>
    <w:p>
      <w:r>
        <w:t>PM13.04 Review recovery, quality failures and counterparty risks; secure authorised remedies and alternative plans.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PM14 — Field change and configuration management</w:t>
      </w:r>
    </w:p>
    <w:p>
      <w:r>
        <w:t>Classification: UNDERDEVELOPED. Finding: Change control is general; technical field-change routing and affected-document propagation need definition. Owner: Engineering / Construction / Contracts. Need-by: Before offshore execution.</w:t>
      </w:r>
    </w:p>
    <w:p>
      <w:r>
        <w:t>PM14.01 Use distinct TQ/RFI, NCR, concession/deviation, field-change and commercial-change identifiers.</w:t>
      </w:r>
    </w:p>
    <w:p>
      <w:r>
        <w:t>PM14.02 Require technical evaluation before any design-affecting field modification.</w:t>
      </w:r>
    </w:p>
    <w:p>
      <w:r>
        <w:t>PM14.03 Update affected calculations, drawings, MTO, inspection, safety, schedule and cost records.</w:t>
      </w:r>
    </w:p>
    <w:p>
      <w:r>
        <w:t>PM14.04 Maintain red-lines and superseded-document control; verbal instructions are not a design release.</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PM15 — Critical safety-barrier verification</w:t>
      </w:r>
    </w:p>
    <w:p>
      <w:r>
        <w:t>Classification: UNDERDEVELOPED. Finding: HSE topics are covered; operation-specific critical controls and verification evidence are not established. Owner: HSE / Operation Owners. Need-by: Before each high-risk operation.</w:t>
      </w:r>
    </w:p>
    <w:p>
      <w:r>
        <w:t>PM15.01 Identify credible major hazards for the actual lifting, structural modification, marine and live-service tasks.</w:t>
      </w:r>
    </w:p>
    <w:p>
      <w:r>
        <w:t>PM15.02 Assign each critical preventive/mitigating control an owner, standard and verification record.</w:t>
      </w:r>
    </w:p>
    <w:p>
      <w:r>
        <w:t>PM15.03 Check controls at the work front; unresolved critical barriers hold the operation.</w:t>
      </w:r>
    </w:p>
    <w:p>
      <w:r>
        <w:t>PM15.04 Include emergency, rescue, isolation, communication and simultaneous-operation responsibilities.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PM16 — SIMOPS, shutdown and access integration</w:t>
      </w:r>
    </w:p>
    <w:p>
      <w:r>
        <w:t>Classification: UNDERDEVELOPED. Finding: Access/permits are gates but operational windows are not fully scheduled and agreed. Owner: ONGC Interface / Offshore / Marine. Need-by: Before baseline and mobilisation.</w:t>
      </w:r>
    </w:p>
    <w:p>
      <w:r>
        <w:t>PM16.01 Build platform-specific access, hot-work, isolation, shutdown and simultaneous-operation calendars.</w:t>
      </w:r>
    </w:p>
    <w:p>
      <w:r>
        <w:t>PM16.02 Coordinate vessels, transfers, cranes, service routes and emergency access in space and time.</w:t>
      </w:r>
    </w:p>
    <w:p>
      <w:r>
        <w:t>PM16.03 Connect agreed windows to work packs and schedule logic; record operational restrictions.</w:t>
      </w:r>
    </w:p>
    <w:p>
      <w:r>
        <w:t>PM16.04 Obtain renewed permissions after weather, configuration or seasonal changes.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PM17 — Safe seasonal suspension and restart plan</w:t>
      </w:r>
    </w:p>
    <w:p>
      <w:r>
        <w:t>Classification: UNDERDEVELOPED. Finding: Second-season comparator assumes safe stoppoints and 7-day remobilisation without operation-specific proof. Owner: Marine / Construction / Engineering. Need-by: Before adopting two-season strategy.</w:t>
      </w:r>
    </w:p>
    <w:p>
      <w:r>
        <w:t>PM17.01 Define structurally and operationally safe suspension states for every unfinished package.</w:t>
      </w:r>
    </w:p>
    <w:p>
      <w:r>
        <w:t>PM17.02 Engineer temporary support, preservation, service continuity and protection through the gap.</w:t>
      </w:r>
    </w:p>
    <w:p>
      <w:r>
        <w:t>PM17.03 Plan actual demobilisation/remobilisation, reinspection, revalidation, renewed permits and costs.</w:t>
      </w:r>
    </w:p>
    <w:p>
      <w:r>
        <w:t>PM17.04 Recalculate restart dates and commitments; seven days is only a placeholder, not established readiness.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PM18 — Systems-based completion and turnover</w:t>
      </w:r>
    </w:p>
    <w:p>
      <w:r>
        <w:t>Classification: UNDERDEVELOPED. Finding: Test categories exist; detailed system boundaries and completion certificates are not mapped. Owner: Completions / Discipline Leads / ONGC. Need-by: Before construction work packs.</w:t>
      </w:r>
    </w:p>
    <w:p>
      <w:r>
        <w:t>PM18.01 Assign bridge/system/subsystem IDs and define structural, electrical, piping and instrument boundaries.</w:t>
      </w:r>
    </w:p>
    <w:p>
      <w:r>
        <w:t>PM18.02 Define agreed construction-complete, ready-for-test, ready-for-service and client-acceptance evidence.</w:t>
      </w:r>
    </w:p>
    <w:p>
      <w:r>
        <w:t>PM18.03 Link tests, punch categories, reinstatement, isolations and certificates to each boundary.</w:t>
      </w:r>
    </w:p>
    <w:p>
      <w:r>
        <w:t>PM18.04 For BHS require accepted new bridge/services before demolition release; do not substitute structural completion alone.</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PM19 — Operations, maintainability and asset-data handover</w:t>
      </w:r>
    </w:p>
    <w:p>
      <w:r>
        <w:t>Classification: UNDERDEVELOPED. Finding: Dossiers are planned but operations/maintenance deliverables and asset-data requirements need agreement. Owner: Engineering / Completions / ONGC Operations. Need-by: Before detailed design freeze and handover.</w:t>
      </w:r>
    </w:p>
    <w:p>
      <w:r>
        <w:t>PM19.01 Review bearing replacement, inspection access, drainage/coating maintenance and service access.</w:t>
      </w:r>
    </w:p>
    <w:p>
      <w:r>
        <w:t>PM19.02 Agree applicable vendor manuals, preservation/maintenance requirements, spares and training.</w:t>
      </w:r>
    </w:p>
    <w:p>
      <w:r>
        <w:t>PM19.03 Prepare asset/tag lists and agreed digital/as-built/model formats and ownership.</w:t>
      </w:r>
    </w:p>
    <w:p>
      <w:r>
        <w:t>PM19.04 Obtain operations acceptance of maintainability actions and delivered asset data as applicable.</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PM20 — Funding, contingency and financial risk governance</w:t>
      </w:r>
    </w:p>
    <w:p>
      <w:r>
        <w:t>Classification: OPEN COMMERCIAL. Finding: Cost register is unpriced; no funding adequacy, margin or approved contingency can be claimed. Owner: Finance / Cost / Commercial. Need-by: Before financial sanction.</w:t>
      </w:r>
    </w:p>
    <w:p>
      <w:r>
        <w:t>PM20.01 Obtain quotations and actual charter terms, mobilisation, standby, tax, FX/import/local-content treatment.</w:t>
      </w:r>
    </w:p>
    <w:p>
      <w:r>
        <w:t>PM20.02 Build integrated cost, commitment, cash, certification, collections and bank-margin forecasts.</w:t>
      </w:r>
    </w:p>
    <w:p>
      <w:r>
        <w:t>PM20.03 Define risk contingency ownership, drawdown authority and change/budget thresholds.</w:t>
      </w:r>
    </w:p>
    <w:p>
      <w:r>
        <w:t>PM20.04 Test late payments, cost escalation and second-season exposures; confirm funded response options.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PM21 — Communication and stakeholder engagement</w:t>
      </w:r>
    </w:p>
    <w:p>
      <w:r>
        <w:t>Classification: UNDERDEVELOPED. Finding: Meeting rhythm exists but a stakeholder/communications responsibility plan is not explicit. Owner: Project Director / Interface Manager. Need-by: At project initiation.</w:t>
      </w:r>
    </w:p>
    <w:p>
      <w:r>
        <w:t>PM21.01 Identify ONGC engineering/operations/SCM, vessel/yard/vendor, assurance and statutory stakeholders as applicable.</w:t>
      </w:r>
    </w:p>
    <w:p>
      <w:r>
        <w:t>PM21.02 Define authorised channels, transmittals, meeting decisions and required approval notifications.</w:t>
      </w:r>
    </w:p>
    <w:p>
      <w:r>
        <w:t>PM21.03 Assign escalation routes for engineering, quality, operational and commercial issues.</w:t>
      </w:r>
    </w:p>
    <w:p>
      <w:r>
        <w:t>PM21.04 Control external commitments; minutes are not automatically contract amendments or technical approvals.</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PM22 — Data, document and delivery assurance</w:t>
      </w:r>
    </w:p>
    <w:p>
      <w:r>
        <w:t>Classification: UNDERDEVELOPED. Finding: Files exist, but successful recipient download/opening remains unverified. Owner: Document Control / Project Controls. Need-by: Before each formal issue.</w:t>
      </w:r>
    </w:p>
    <w:p>
      <w:r>
        <w:t>PM22.01 Use a controlled repository, permissions, revision history, backup and agreed file naming/formats.</w:t>
      </w:r>
    </w:p>
    <w:p>
      <w:r>
        <w:t>PM22.02 Maintain issued-file manifest, checksums, transmittal purpose and affected-document links.</w:t>
      </w:r>
    </w:p>
    <w:p>
      <w:r>
        <w:t>PM22.03 Test readability, units, formulas, print layouts and recipient access to the actual delivery route.</w:t>
      </w:r>
    </w:p>
    <w:p>
      <w:r>
        <w:t>PM22.04 Obtain recipient acknowledgement; local file integrity does not prove successful delivery.</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PM23 — Integrated assurance and independent review</w:t>
      </w:r>
    </w:p>
    <w:p>
      <w:r>
        <w:t>Classification: NOT COMPLETED. Finding: Current audit is a self-review; there is no evidenced independent project/design assurance sign-off. Owner: Project Director / Independent Review Authority. Need-by: Before baseline, marine and construction release.</w:t>
      </w:r>
    </w:p>
    <w:p>
      <w:r>
        <w:t>PM23.01 Plan risk-based reviews of scope, engineering, schedule/cost, fabrication, marine and completion readiness.</w:t>
      </w:r>
    </w:p>
    <w:p>
      <w:r>
        <w:t>PM23.02 Assign suitably competent reviewers with required independence and clear review scope.</w:t>
      </w:r>
    </w:p>
    <w:p>
      <w:r>
        <w:t>PM23.03 Close review findings with accountable owners and objective evidence.</w:t>
      </w:r>
    </w:p>
    <w:p>
      <w:r>
        <w:t>PM23.04 Record release decisions and residual risks; document count and checklist completion alone do not establish adequacy.</w:t>
      </w:r>
    </w:p>
    <w:p>
      <w:r>
        <w:t>Closure requires a project-specific procedure or populated register, the designated review, objective evidence and updates to affected baseline documents. Drafting a procedure does not establish its implementation or approval.</w:t>
      </w:r>
    </w:p>
    <w:p>
      <w:pPr>
        <w:pStyle w:val="Heading2"/>
      </w:pPr>
      <w:r>
        <w:t>PM24 — Package acceptance, lessons and closure criteria</w:t>
      </w:r>
    </w:p>
    <w:p>
      <w:r>
        <w:t>Classification: UNDERDEVELOPED. Finding: A-to-Z actions exist; measurable package acceptance and evidence-based final closure need agreement. Owner: Project Director / Contracts / QA. Need-by: Before management package approval.</w:t>
      </w:r>
    </w:p>
    <w:p>
      <w:r>
        <w:t>PM24.01 Agree a deliverable acceptance matrix distinguishing prepared, checked, approved, issued, executed and accepted states.</w:t>
      </w:r>
    </w:p>
    <w:p>
      <w:r>
        <w:t>PM24.02 Link remaining P6 actions and this supplement to named owners, dates and evidence.</w:t>
      </w:r>
    </w:p>
    <w:p>
      <w:r>
        <w:t>PM24.03 Capture actual productivity, rework and marine downtime and feed changes into forecasts.</w:t>
      </w:r>
    </w:p>
    <w:p>
      <w:r>
        <w:t>PM24.04 Close the management package only when it is internally consistent and the required project-specific reviews are evidenced.</w:t>
      </w:r>
    </w:p>
    <w:p>
      <w:r>
        <w:t>Closure requires a project-specific procedure or populated register, the designated review, objective evidence and updates to affected baseline documents. Drafting a procedure does not establish its implementation or approval.</w:t>
      </w:r>
    </w:p>
    <w:p>
      <w:pPr>
        <w:pStyle w:val="Heading1"/>
      </w:pPr>
      <w:r>
        <w:t>4. Requirement-to-evidence traceability: populated starter matrix</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ID</w:t>
            </w:r>
          </w:p>
        </w:tc>
        <w:tc>
          <w:tcPr>
            <w:tcW w:type="dxa" w:w="2160"/>
          </w:tcPr>
          <w:p>
            <w:r>
              <w:rPr>
                <w:sz w:val="16"/>
              </w:rPr>
              <w:t>Requirement/source</w:t>
            </w:r>
          </w:p>
        </w:tc>
        <w:tc>
          <w:tcPr>
            <w:tcW w:type="dxa" w:w="2160"/>
          </w:tcPr>
          <w:p>
            <w:r>
              <w:rPr>
                <w:sz w:val="16"/>
              </w:rPr>
              <w:t>Deliverable/evidence</w:t>
            </w:r>
          </w:p>
        </w:tc>
        <w:tc>
          <w:tcPr>
            <w:tcW w:type="dxa" w:w="2160"/>
          </w:tcPr>
          <w:p>
            <w:r>
              <w:rPr>
                <w:sz w:val="16"/>
              </w:rPr>
              <w:t>Verification/authority</w:t>
            </w:r>
          </w:p>
        </w:tc>
      </w:tr>
      <w:tr>
        <w:tc>
          <w:tcPr>
            <w:tcW w:type="dxa" w:w="2160"/>
          </w:tcPr>
          <w:p>
            <w:r>
              <w:rPr>
                <w:sz w:val="16"/>
              </w:rPr>
              <w:t>REQ01</w:t>
            </w:r>
          </w:p>
        </w:tc>
        <w:tc>
          <w:tcPr>
            <w:tcW w:type="dxa" w:w="2160"/>
          </w:tcPr>
          <w:p>
            <w:r>
              <w:rPr>
                <w:sz w:val="16"/>
              </w:rPr>
              <w:t>Tenbridge EPC scope and interfaces; B774 structuralSOW RevC / GCC2.1.1</w:t>
            </w:r>
          </w:p>
        </w:tc>
        <w:tc>
          <w:tcPr>
            <w:tcW w:type="dxa" w:w="2160"/>
          </w:tcPr>
          <w:p>
            <w:r>
              <w:rPr>
                <w:sz w:val="16"/>
              </w:rPr>
              <w:t>Scope matrix + bridge work packs</w:t>
            </w:r>
          </w:p>
        </w:tc>
        <w:tc>
          <w:tcPr>
            <w:tcW w:type="dxa" w:w="2160"/>
          </w:tcPr>
          <w:p>
            <w:r>
              <w:rPr>
                <w:sz w:val="16"/>
              </w:rPr>
              <w:t>Document/scope review; Project Director / ONGC as applicable</w:t>
            </w:r>
          </w:p>
        </w:tc>
      </w:tr>
      <w:tr>
        <w:tc>
          <w:tcPr>
            <w:tcW w:type="dxa" w:w="2160"/>
          </w:tcPr>
          <w:p>
            <w:r>
              <w:rPr>
                <w:sz w:val="16"/>
              </w:rPr>
              <w:t>REQ02</w:t>
            </w:r>
          </w:p>
        </w:tc>
        <w:tc>
          <w:tcPr>
            <w:tcW w:type="dxa" w:w="2160"/>
          </w:tcPr>
          <w:p>
            <w:r>
              <w:rPr>
                <w:sz w:val="16"/>
              </w:rPr>
              <w:t>25 year design life; BRRP Part II p 119</w:t>
            </w:r>
          </w:p>
        </w:tc>
        <w:tc>
          <w:tcPr>
            <w:tcW w:type="dxa" w:w="2160"/>
          </w:tcPr>
          <w:p>
            <w:r>
              <w:rPr>
                <w:sz w:val="16"/>
              </w:rPr>
              <w:t>Design basis and calculations</w:t>
            </w:r>
          </w:p>
        </w:tc>
        <w:tc>
          <w:tcPr>
            <w:tcW w:type="dxa" w:w="2160"/>
          </w:tcPr>
          <w:p>
            <w:r>
              <w:rPr>
                <w:sz w:val="16"/>
              </w:rPr>
              <w:t>Engineering check; Technical Authority</w:t>
            </w:r>
          </w:p>
        </w:tc>
      </w:tr>
      <w:tr>
        <w:tc>
          <w:tcPr>
            <w:tcW w:type="dxa" w:w="2160"/>
          </w:tcPr>
          <w:p>
            <w:r>
              <w:rPr>
                <w:sz w:val="16"/>
              </w:rPr>
              <w:t>REQ03</w:t>
            </w:r>
          </w:p>
        </w:tc>
        <w:tc>
          <w:tcPr>
            <w:tcW w:type="dxa" w:w="2160"/>
          </w:tcPr>
          <w:p>
            <w:r>
              <w:rPr>
                <w:sz w:val="16"/>
              </w:rPr>
              <w:t>Material elastic properties; Part I Annexure 2 p 66</w:t>
            </w:r>
          </w:p>
        </w:tc>
        <w:tc>
          <w:tcPr>
            <w:tcW w:type="dxa" w:w="2160"/>
          </w:tcPr>
          <w:p>
            <w:r>
              <w:rPr>
                <w:sz w:val="16"/>
              </w:rPr>
              <w:t>Model input record E210000 MPa and material properties</w:t>
            </w:r>
          </w:p>
        </w:tc>
        <w:tc>
          <w:tcPr>
            <w:tcW w:type="dxa" w:w="2160"/>
          </w:tcPr>
          <w:p>
            <w:r>
              <w:rPr>
                <w:sz w:val="16"/>
              </w:rPr>
              <w:t>Model audit; Checker</w:t>
            </w:r>
          </w:p>
        </w:tc>
      </w:tr>
      <w:tr>
        <w:tc>
          <w:tcPr>
            <w:tcW w:type="dxa" w:w="2160"/>
          </w:tcPr>
          <w:p>
            <w:r>
              <w:rPr>
                <w:sz w:val="16"/>
              </w:rPr>
              <w:t>REQ04</w:t>
            </w:r>
          </w:p>
        </w:tc>
        <w:tc>
          <w:tcPr>
            <w:tcW w:type="dxa" w:w="2160"/>
          </w:tcPr>
          <w:p>
            <w:r>
              <w:rPr>
                <w:sz w:val="16"/>
              </w:rPr>
              <w:t>Globalwalkway 250 kg/m2;local grating 500 kg/m2; Part I bridgeclausep 42;Annexure 4 p 70</w:t>
            </w:r>
          </w:p>
        </w:tc>
        <w:tc>
          <w:tcPr>
            <w:tcW w:type="dxa" w:w="2160"/>
          </w:tcPr>
          <w:p>
            <w:r>
              <w:rPr>
                <w:sz w:val="16"/>
              </w:rPr>
              <w:t>Load maps and element checks</w:t>
            </w:r>
          </w:p>
        </w:tc>
        <w:tc>
          <w:tcPr>
            <w:tcW w:type="dxa" w:w="2160"/>
          </w:tcPr>
          <w:p>
            <w:r>
              <w:rPr>
                <w:sz w:val="16"/>
              </w:rPr>
              <w:t>Calculation review; Engineering/QA</w:t>
            </w:r>
          </w:p>
        </w:tc>
      </w:tr>
      <w:tr>
        <w:tc>
          <w:tcPr>
            <w:tcW w:type="dxa" w:w="2160"/>
          </w:tcPr>
          <w:p>
            <w:r>
              <w:rPr>
                <w:sz w:val="16"/>
              </w:rPr>
              <w:t>REQ05</w:t>
            </w:r>
          </w:p>
        </w:tc>
        <w:tc>
          <w:tcPr>
            <w:tcW w:type="dxa" w:w="2160"/>
          </w:tcPr>
          <w:p>
            <w:r>
              <w:rPr>
                <w:sz w:val="16"/>
              </w:rPr>
              <w:t>Minimum 1.20 m clearwalkway; Part I bridgeclausep 43</w:t>
            </w:r>
          </w:p>
        </w:tc>
        <w:tc>
          <w:tcPr>
            <w:tcW w:type="dxa" w:w="2160"/>
          </w:tcPr>
          <w:p>
            <w:r>
              <w:rPr>
                <w:sz w:val="16"/>
              </w:rPr>
              <w:t>GA/clearance details and survey</w:t>
            </w:r>
          </w:p>
        </w:tc>
        <w:tc>
          <w:tcPr>
            <w:tcW w:type="dxa" w:w="2160"/>
          </w:tcPr>
          <w:p>
            <w:r>
              <w:rPr>
                <w:sz w:val="16"/>
              </w:rPr>
              <w:t>Drawing/field inspection; Engineering/ONGC</w:t>
            </w:r>
          </w:p>
        </w:tc>
      </w:tr>
      <w:tr>
        <w:tc>
          <w:tcPr>
            <w:tcW w:type="dxa" w:w="2160"/>
          </w:tcPr>
          <w:p>
            <w:r>
              <w:rPr>
                <w:sz w:val="16"/>
              </w:rPr>
              <w:t>REQ06</w:t>
            </w:r>
          </w:p>
        </w:tc>
        <w:tc>
          <w:tcPr>
            <w:tcW w:type="dxa" w:w="2160"/>
          </w:tcPr>
          <w:p>
            <w:r>
              <w:rPr>
                <w:sz w:val="16"/>
              </w:rPr>
              <w:t>Relative movement 150%;hinged thrust 150%; Part I bridgeclausep 43</w:t>
            </w:r>
          </w:p>
        </w:tc>
        <w:tc>
          <w:tcPr>
            <w:tcW w:type="dxa" w:w="2160"/>
          </w:tcPr>
          <w:p>
            <w:r>
              <w:rPr>
                <w:sz w:val="16"/>
              </w:rPr>
              <w:t>Movement envelopes, bearing/connection calculations</w:t>
            </w:r>
          </w:p>
        </w:tc>
        <w:tc>
          <w:tcPr>
            <w:tcW w:type="dxa" w:w="2160"/>
          </w:tcPr>
          <w:p>
            <w:r>
              <w:rPr>
                <w:sz w:val="16"/>
              </w:rPr>
              <w:t>Calculation review; Technical Authority</w:t>
            </w:r>
          </w:p>
        </w:tc>
      </w:tr>
      <w:tr>
        <w:tc>
          <w:tcPr>
            <w:tcW w:type="dxa" w:w="2160"/>
          </w:tcPr>
          <w:p>
            <w:r>
              <w:rPr>
                <w:sz w:val="16"/>
              </w:rPr>
              <w:t>REQ07</w:t>
            </w:r>
          </w:p>
        </w:tc>
        <w:tc>
          <w:tcPr>
            <w:tcW w:type="dxa" w:w="2160"/>
          </w:tcPr>
          <w:p>
            <w:r>
              <w:rPr>
                <w:sz w:val="16"/>
              </w:rPr>
              <w:t>Applicablefuturepiping 20% allowance; Part I bridgeclausep 42</w:t>
            </w:r>
          </w:p>
        </w:tc>
        <w:tc>
          <w:tcPr>
            <w:tcW w:type="dxa" w:w="2160"/>
          </w:tcPr>
          <w:p>
            <w:r>
              <w:rPr>
                <w:sz w:val="16"/>
              </w:rPr>
              <w:t>Load register with included allowances</w:t>
            </w:r>
          </w:p>
        </w:tc>
        <w:tc>
          <w:tcPr>
            <w:tcW w:type="dxa" w:w="2160"/>
          </w:tcPr>
          <w:p>
            <w:r>
              <w:rPr>
                <w:sz w:val="16"/>
              </w:rPr>
              <w:t>Calculation reconciliation; Engineering</w:t>
            </w:r>
          </w:p>
        </w:tc>
      </w:tr>
      <w:tr>
        <w:tc>
          <w:tcPr>
            <w:tcW w:type="dxa" w:w="2160"/>
          </w:tcPr>
          <w:p>
            <w:r>
              <w:rPr>
                <w:sz w:val="16"/>
              </w:rPr>
              <w:t>REQ08</w:t>
            </w:r>
          </w:p>
        </w:tc>
        <w:tc>
          <w:tcPr>
            <w:tcW w:type="dxa" w:w="2160"/>
          </w:tcPr>
          <w:p>
            <w:r>
              <w:rPr>
                <w:sz w:val="16"/>
              </w:rPr>
              <w:t>VerticalL/400;lateralwindL/500; Part I p 43;Annexure 12 p 86</w:t>
            </w:r>
          </w:p>
        </w:tc>
        <w:tc>
          <w:tcPr>
            <w:tcW w:type="dxa" w:w="2160"/>
          </w:tcPr>
          <w:p>
            <w:r>
              <w:rPr>
                <w:sz w:val="16"/>
              </w:rPr>
              <w:t>Serviceability calculations</w:t>
            </w:r>
          </w:p>
        </w:tc>
        <w:tc>
          <w:tcPr>
            <w:tcW w:type="dxa" w:w="2160"/>
          </w:tcPr>
          <w:p>
            <w:r>
              <w:rPr>
                <w:sz w:val="16"/>
              </w:rPr>
              <w:t>Model/result review; Checker</w:t>
            </w:r>
          </w:p>
        </w:tc>
      </w:tr>
      <w:tr>
        <w:tc>
          <w:tcPr>
            <w:tcW w:type="dxa" w:w="2160"/>
          </w:tcPr>
          <w:p>
            <w:r>
              <w:rPr>
                <w:sz w:val="16"/>
              </w:rPr>
              <w:t>REQ09</w:t>
            </w:r>
          </w:p>
        </w:tc>
        <w:tc>
          <w:tcPr>
            <w:tcW w:type="dxa" w:w="2160"/>
          </w:tcPr>
          <w:p>
            <w:r>
              <w:rPr>
                <w:sz w:val="16"/>
              </w:rPr>
              <w:t>Camber compensates dead-load deflection; Part I bridgeclausep 43</w:t>
            </w:r>
          </w:p>
        </w:tc>
        <w:tc>
          <w:tcPr>
            <w:tcW w:type="dxa" w:w="2160"/>
          </w:tcPr>
          <w:p>
            <w:r>
              <w:rPr>
                <w:sz w:val="16"/>
              </w:rPr>
              <w:t>Camber profile and setting geometry</w:t>
            </w:r>
          </w:p>
        </w:tc>
        <w:tc>
          <w:tcPr>
            <w:tcW w:type="dxa" w:w="2160"/>
          </w:tcPr>
          <w:p>
            <w:r>
              <w:rPr>
                <w:sz w:val="16"/>
              </w:rPr>
              <w:t>Calculation/drawing check; Technical Authority</w:t>
            </w:r>
          </w:p>
        </w:tc>
      </w:tr>
      <w:tr>
        <w:tc>
          <w:tcPr>
            <w:tcW w:type="dxa" w:w="2160"/>
          </w:tcPr>
          <w:p>
            <w:r>
              <w:rPr>
                <w:sz w:val="16"/>
              </w:rPr>
              <w:t>REQ10</w:t>
            </w:r>
          </w:p>
        </w:tc>
        <w:tc>
          <w:tcPr>
            <w:tcW w:type="dxa" w:w="2160"/>
          </w:tcPr>
          <w:p>
            <w:r>
              <w:rPr>
                <w:sz w:val="16"/>
              </w:rPr>
              <w:t>15 secgust&gt;50 m;3 secgust&lt;50 m; Part I Annexure 5 p 73</w:t>
            </w:r>
          </w:p>
        </w:tc>
        <w:tc>
          <w:tcPr>
            <w:tcW w:type="dxa" w:w="2160"/>
          </w:tcPr>
          <w:p>
            <w:r>
              <w:rPr>
                <w:sz w:val="16"/>
              </w:rPr>
              <w:t>Wind derivation and load cases</w:t>
            </w:r>
          </w:p>
        </w:tc>
        <w:tc>
          <w:tcPr>
            <w:tcW w:type="dxa" w:w="2160"/>
          </w:tcPr>
          <w:p>
            <w:r>
              <w:rPr>
                <w:sz w:val="16"/>
              </w:rPr>
              <w:t>Calculation review; Checker</w:t>
            </w:r>
          </w:p>
        </w:tc>
      </w:tr>
      <w:tr>
        <w:tc>
          <w:tcPr>
            <w:tcW w:type="dxa" w:w="2160"/>
          </w:tcPr>
          <w:p>
            <w:r>
              <w:rPr>
                <w:sz w:val="16"/>
              </w:rPr>
              <w:t>REQ11</w:t>
            </w:r>
          </w:p>
        </w:tc>
        <w:tc>
          <w:tcPr>
            <w:tcW w:type="dxa" w:w="2160"/>
          </w:tcPr>
          <w:p>
            <w:r>
              <w:rPr>
                <w:sz w:val="16"/>
              </w:rPr>
              <w:t>TrussVIV displacement/fatigue; Part I bridgeclausep 42</w:t>
            </w:r>
          </w:p>
        </w:tc>
        <w:tc>
          <w:tcPr>
            <w:tcW w:type="dxa" w:w="2160"/>
          </w:tcPr>
          <w:p>
            <w:r>
              <w:rPr>
                <w:sz w:val="16"/>
              </w:rPr>
              <w:t>VIV/fatigue report</w:t>
            </w:r>
          </w:p>
        </w:tc>
        <w:tc>
          <w:tcPr>
            <w:tcW w:type="dxa" w:w="2160"/>
          </w:tcPr>
          <w:p>
            <w:r>
              <w:rPr>
                <w:sz w:val="16"/>
              </w:rPr>
              <w:t>Specialistcheck; Technical Authority</w:t>
            </w:r>
          </w:p>
        </w:tc>
      </w:tr>
      <w:tr>
        <w:tc>
          <w:tcPr>
            <w:tcW w:type="dxa" w:w="2160"/>
          </w:tcPr>
          <w:p>
            <w:r>
              <w:rPr>
                <w:sz w:val="16"/>
              </w:rPr>
              <w:t>REQ12</w:t>
            </w:r>
          </w:p>
        </w:tc>
        <w:tc>
          <w:tcPr>
            <w:tcW w:type="dxa" w:w="2160"/>
          </w:tcPr>
          <w:p>
            <w:r>
              <w:rPr>
                <w:sz w:val="16"/>
              </w:rPr>
              <w:t>Actualweight/COG change-trigger reanalysis; Part I liftingcriteriap 20</w:t>
            </w:r>
          </w:p>
        </w:tc>
        <w:tc>
          <w:tcPr>
            <w:tcW w:type="dxa" w:w="2160"/>
          </w:tcPr>
          <w:p>
            <w:r>
              <w:rPr>
                <w:sz w:val="16"/>
              </w:rPr>
              <w:t>Weight register and revised lift analysis</w:t>
            </w:r>
          </w:p>
        </w:tc>
        <w:tc>
          <w:tcPr>
            <w:tcW w:type="dxa" w:w="2160"/>
          </w:tcPr>
          <w:p>
            <w:r>
              <w:rPr>
                <w:sz w:val="16"/>
              </w:rPr>
              <w:t>Weight/liftreview; Marine/Structural</w:t>
            </w:r>
          </w:p>
        </w:tc>
      </w:tr>
      <w:tr>
        <w:tc>
          <w:tcPr>
            <w:tcW w:type="dxa" w:w="2160"/>
          </w:tcPr>
          <w:p>
            <w:r>
              <w:rPr>
                <w:sz w:val="16"/>
              </w:rPr>
              <w:t>REQ13</w:t>
            </w:r>
          </w:p>
        </w:tc>
        <w:tc>
          <w:tcPr>
            <w:tcW w:type="dxa" w:w="2160"/>
          </w:tcPr>
          <w:p>
            <w:r>
              <w:rPr>
                <w:sz w:val="16"/>
              </w:rPr>
              <w:t>NewBHS bridge/services acceptedbefore demolition; SOW6.3.4;B 774 methodologyRevC</w:t>
            </w:r>
          </w:p>
        </w:tc>
        <w:tc>
          <w:tcPr>
            <w:tcW w:type="dxa" w:w="2160"/>
          </w:tcPr>
          <w:p>
            <w:r>
              <w:rPr>
                <w:sz w:val="16"/>
              </w:rPr>
              <w:t>Operationalacceptance + demolitionrelease</w:t>
            </w:r>
          </w:p>
        </w:tc>
        <w:tc>
          <w:tcPr>
            <w:tcW w:type="dxa" w:w="2160"/>
          </w:tcPr>
          <w:p>
            <w:r>
              <w:rPr>
                <w:sz w:val="16"/>
              </w:rPr>
              <w:t>Operational/engineering review; ONGC/Technical Authority</w:t>
            </w:r>
          </w:p>
        </w:tc>
      </w:tr>
      <w:tr>
        <w:tc>
          <w:tcPr>
            <w:tcW w:type="dxa" w:w="2160"/>
          </w:tcPr>
          <w:p>
            <w:r>
              <w:rPr>
                <w:sz w:val="16"/>
              </w:rPr>
              <w:t>REQ14</w:t>
            </w:r>
          </w:p>
        </w:tc>
        <w:tc>
          <w:tcPr>
            <w:tcW w:type="dxa" w:w="2160"/>
          </w:tcPr>
          <w:p>
            <w:r>
              <w:rPr>
                <w:sz w:val="16"/>
              </w:rPr>
              <w:t>ICG/ICP/BHS strengthening addendum; Addendum_Structure_SOW p 1</w:t>
            </w:r>
          </w:p>
        </w:tc>
        <w:tc>
          <w:tcPr>
            <w:tcW w:type="dxa" w:w="2160"/>
          </w:tcPr>
          <w:p>
            <w:r>
              <w:rPr>
                <w:sz w:val="16"/>
              </w:rPr>
              <w:t>Checkedwrap/landing/jacketdetails and records</w:t>
            </w:r>
          </w:p>
        </w:tc>
        <w:tc>
          <w:tcPr>
            <w:tcW w:type="dxa" w:w="2160"/>
          </w:tcPr>
          <w:p>
            <w:r>
              <w:rPr>
                <w:sz w:val="16"/>
              </w:rPr>
              <w:t>Calculation/inspection; Engineering/QA</w:t>
            </w:r>
          </w:p>
        </w:tc>
      </w:tr>
      <w:tr>
        <w:tc>
          <w:tcPr>
            <w:tcW w:type="dxa" w:w="2160"/>
          </w:tcPr>
          <w:p>
            <w:r>
              <w:rPr>
                <w:sz w:val="16"/>
              </w:rPr>
              <w:t>REQ15</w:t>
            </w:r>
          </w:p>
        </w:tc>
        <w:tc>
          <w:tcPr>
            <w:tcW w:type="dxa" w:w="2160"/>
          </w:tcPr>
          <w:p>
            <w:r>
              <w:rPr>
                <w:sz w:val="16"/>
              </w:rPr>
              <w:t>Weld/NDT/material/coatingcontrols; Specifications 2009 F/6001 F/2005;MTO IRT</w:t>
            </w:r>
          </w:p>
        </w:tc>
        <w:tc>
          <w:tcPr>
            <w:tcW w:type="dxa" w:w="2160"/>
          </w:tcPr>
          <w:p>
            <w:r>
              <w:rPr>
                <w:sz w:val="16"/>
              </w:rPr>
              <w:t>ApprovedITP and inspectionrecords</w:t>
            </w:r>
          </w:p>
        </w:tc>
        <w:tc>
          <w:tcPr>
            <w:tcW w:type="dxa" w:w="2160"/>
          </w:tcPr>
          <w:p>
            <w:r>
              <w:rPr>
                <w:sz w:val="16"/>
              </w:rPr>
              <w:t>Inspection/audit; QA/CA/TPI as applicable</w:t>
            </w:r>
          </w:p>
        </w:tc>
      </w:tr>
      <w:tr>
        <w:tc>
          <w:tcPr>
            <w:tcW w:type="dxa" w:w="2160"/>
          </w:tcPr>
          <w:p>
            <w:r>
              <w:rPr>
                <w:sz w:val="16"/>
              </w:rPr>
              <w:t>REQ16</w:t>
            </w:r>
          </w:p>
        </w:tc>
        <w:tc>
          <w:tcPr>
            <w:tcW w:type="dxa" w:w="2160"/>
          </w:tcPr>
          <w:p>
            <w:r>
              <w:rPr>
                <w:sz w:val="16"/>
              </w:rPr>
              <w:t>Digitalmeasurement beforebilling; TechnicalSCC e-MBprovisions</w:t>
            </w:r>
          </w:p>
        </w:tc>
        <w:tc>
          <w:tcPr>
            <w:tcW w:type="dxa" w:w="2160"/>
          </w:tcPr>
          <w:p>
            <w:r>
              <w:rPr>
                <w:sz w:val="16"/>
              </w:rPr>
              <w:t>Acceptedquantity/e-MB/certification/invoicepack</w:t>
            </w:r>
          </w:p>
        </w:tc>
        <w:tc>
          <w:tcPr>
            <w:tcW w:type="dxa" w:w="2160"/>
          </w:tcPr>
          <w:p>
            <w:r>
              <w:rPr>
                <w:sz w:val="16"/>
              </w:rPr>
              <w:t>Commercialrecordreview; Contracts/ONGC</w:t>
            </w:r>
          </w:p>
        </w:tc>
      </w:tr>
      <w:tr>
        <w:tc>
          <w:tcPr>
            <w:tcW w:type="dxa" w:w="2160"/>
          </w:tcPr>
          <w:p>
            <w:r>
              <w:rPr>
                <w:sz w:val="16"/>
              </w:rPr>
              <w:t>REQ17</w:t>
            </w:r>
          </w:p>
        </w:tc>
        <w:tc>
          <w:tcPr>
            <w:tcW w:type="dxa" w:w="2160"/>
          </w:tcPr>
          <w:p>
            <w:r>
              <w:rPr>
                <w:sz w:val="16"/>
              </w:rPr>
              <w:t>12 months fromNOA;conditionalmonsoon relief; GCC6.3.1.1;TechnicalSCC 2</w:t>
            </w:r>
          </w:p>
        </w:tc>
        <w:tc>
          <w:tcPr>
            <w:tcW w:type="dxa" w:w="2160"/>
          </w:tcPr>
          <w:p>
            <w:r>
              <w:rPr>
                <w:sz w:val="16"/>
              </w:rPr>
              <w:t>Contractcalendar,notices and extensionrecords</w:t>
            </w:r>
          </w:p>
        </w:tc>
        <w:tc>
          <w:tcPr>
            <w:tcW w:type="dxa" w:w="2160"/>
          </w:tcPr>
          <w:p>
            <w:r>
              <w:rPr>
                <w:sz w:val="16"/>
              </w:rPr>
              <w:t>Contractreview; Contracts/ONGC</w:t>
            </w:r>
          </w:p>
        </w:tc>
      </w:tr>
      <w:tr>
        <w:tc>
          <w:tcPr>
            <w:tcW w:type="dxa" w:w="2160"/>
          </w:tcPr>
          <w:p>
            <w:r>
              <w:rPr>
                <w:sz w:val="16"/>
              </w:rPr>
              <w:t>REQ18</w:t>
            </w:r>
          </w:p>
        </w:tc>
        <w:tc>
          <w:tcPr>
            <w:tcW w:type="dxa" w:w="2160"/>
          </w:tcPr>
          <w:p>
            <w:r>
              <w:rPr>
                <w:sz w:val="16"/>
              </w:rPr>
              <w:t>Contractorconstruction supportresources; B 774 methodologyRevC pp 137 onward</w:t>
            </w:r>
          </w:p>
        </w:tc>
        <w:tc>
          <w:tcPr>
            <w:tcW w:type="dxa" w:w="2160"/>
          </w:tcPr>
          <w:p>
            <w:r>
              <w:rPr>
                <w:sz w:val="16"/>
              </w:rPr>
              <w:t>Spread,accommodation,crane/logisticsplan</w:t>
            </w:r>
          </w:p>
        </w:tc>
        <w:tc>
          <w:tcPr>
            <w:tcW w:type="dxa" w:w="2160"/>
          </w:tcPr>
          <w:p>
            <w:r>
              <w:rPr>
                <w:sz w:val="16"/>
              </w:rPr>
              <w:t>Readinessreview; Marine/Construction</w:t>
            </w:r>
          </w:p>
        </w:tc>
      </w:tr>
    </w:tbl>
    <w:p>
      <w:pPr>
        <w:pStyle w:val="Heading1"/>
      </w:pPr>
      <w:r>
        <w:t>5. Integrated coding and control-account procedure</w:t>
      </w:r>
    </w:p>
    <w:p>
      <w:r>
        <w:t>Use a common code such as BRRP/&lt;bridge&gt;/&lt;workstream&gt;. ENG,MAT,FAB,MAR,OFF and COM identify engineering, materials, fabrication, marine, offshore construction and completions. Each control account requires one accountable manager, scope, budget/hours, deliverables, schedule and measurement rules. Purchase items, material issues, timesheets, accepted quantities, invoices and turnover records must use compatible codes. Allocate shared costs once.</w:t>
      </w:r>
    </w:p>
    <w:p>
      <w:pPr>
        <w:pStyle w:val="Heading1"/>
      </w:pPr>
      <w:r>
        <w:t>6. Proposed progress-measurement procedure</w:t>
      </w:r>
    </w:p>
    <w:p>
      <w:r>
        <w:t>The following are proposed internal physical-progress rules, separate from contractual billing milestones. Approve them before use and align them with accepted work and budgeted hours/cost. Do not assign actual progress without evidence. Discipline weights total 100 percent; overall project weighting needs an approved basis. Drawing counts, steel tonnage, services and cash cannot be averaged as one physical unit.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Discipline</w:t>
            </w:r>
          </w:p>
        </w:tc>
        <w:tc>
          <w:tcPr>
            <w:tcW w:type="dxa" w:w="2160"/>
          </w:tcPr>
          <w:p>
            <w:r>
              <w:rPr>
                <w:sz w:val="16"/>
              </w:rPr>
              <w:t>Milestone</w:t>
            </w:r>
          </w:p>
        </w:tc>
        <w:tc>
          <w:tcPr>
            <w:tcW w:type="dxa" w:w="2160"/>
          </w:tcPr>
          <w:p>
            <w:r>
              <w:rPr>
                <w:sz w:val="16"/>
              </w:rPr>
              <w:t>Proposedweight%</w:t>
            </w:r>
          </w:p>
        </w:tc>
        <w:tc>
          <w:tcPr>
            <w:tcW w:type="dxa" w:w="2160"/>
          </w:tcPr>
          <w:p>
            <w:r>
              <w:rPr>
                <w:sz w:val="16"/>
              </w:rPr>
              <w:t>Evidence</w:t>
            </w:r>
          </w:p>
        </w:tc>
      </w:tr>
      <w:tr>
        <w:tc>
          <w:tcPr>
            <w:tcW w:type="dxa" w:w="2160"/>
          </w:tcPr>
          <w:p>
            <w:r>
              <w:rPr>
                <w:sz w:val="16"/>
              </w:rPr>
              <w:t>Engineering</w:t>
            </w:r>
          </w:p>
        </w:tc>
        <w:tc>
          <w:tcPr>
            <w:tcW w:type="dxa" w:w="2160"/>
          </w:tcPr>
          <w:p>
            <w:r>
              <w:rPr>
                <w:sz w:val="16"/>
              </w:rPr>
              <w:t>Reviewed design-input/calculation scope</w:t>
            </w:r>
          </w:p>
        </w:tc>
        <w:tc>
          <w:tcPr>
            <w:tcW w:type="dxa" w:w="2160"/>
          </w:tcPr>
          <w:p>
            <w:r>
              <w:rPr>
                <w:sz w:val="16"/>
              </w:rPr>
              <w:t>15</w:t>
            </w:r>
          </w:p>
        </w:tc>
        <w:tc>
          <w:tcPr>
            <w:tcW w:type="dxa" w:w="2160"/>
          </w:tcPr>
          <w:p>
            <w:r>
              <w:rPr>
                <w:sz w:val="16"/>
              </w:rPr>
              <w:t>Accepted input/checking scope</w:t>
            </w:r>
          </w:p>
        </w:tc>
      </w:tr>
      <w:tr>
        <w:tc>
          <w:tcPr>
            <w:tcW w:type="dxa" w:w="2160"/>
          </w:tcPr>
          <w:p>
            <w:r>
              <w:rPr>
                <w:sz w:val="16"/>
              </w:rPr>
              <w:t>Engineering</w:t>
            </w:r>
          </w:p>
        </w:tc>
        <w:tc>
          <w:tcPr>
            <w:tcW w:type="dxa" w:w="2160"/>
          </w:tcPr>
          <w:p>
            <w:r>
              <w:rPr>
                <w:sz w:val="16"/>
              </w:rPr>
              <w:t>Checked calculations and discipline drawings</w:t>
            </w:r>
          </w:p>
        </w:tc>
        <w:tc>
          <w:tcPr>
            <w:tcW w:type="dxa" w:w="2160"/>
          </w:tcPr>
          <w:p>
            <w:r>
              <w:rPr>
                <w:sz w:val="16"/>
              </w:rPr>
              <w:t>45</w:t>
            </w:r>
          </w:p>
        </w:tc>
        <w:tc>
          <w:tcPr>
            <w:tcW w:type="dxa" w:w="2160"/>
          </w:tcPr>
          <w:p>
            <w:r>
              <w:rPr>
                <w:sz w:val="16"/>
              </w:rPr>
              <w:t>Checker records</w:t>
            </w:r>
          </w:p>
        </w:tc>
      </w:tr>
      <w:tr>
        <w:tc>
          <w:tcPr>
            <w:tcW w:type="dxa" w:w="2160"/>
          </w:tcPr>
          <w:p>
            <w:r>
              <w:rPr>
                <w:sz w:val="16"/>
              </w:rPr>
              <w:t>Engineering</w:t>
            </w:r>
          </w:p>
        </w:tc>
        <w:tc>
          <w:tcPr>
            <w:tcW w:type="dxa" w:w="2160"/>
          </w:tcPr>
          <w:p>
            <w:r>
              <w:rPr>
                <w:sz w:val="16"/>
              </w:rPr>
              <w:t>Applicable client/interface comments closed</w:t>
            </w:r>
          </w:p>
        </w:tc>
        <w:tc>
          <w:tcPr>
            <w:tcW w:type="dxa" w:w="2160"/>
          </w:tcPr>
          <w:p>
            <w:r>
              <w:rPr>
                <w:sz w:val="16"/>
              </w:rPr>
              <w:t>30</w:t>
            </w:r>
          </w:p>
        </w:tc>
        <w:tc>
          <w:tcPr>
            <w:tcW w:type="dxa" w:w="2160"/>
          </w:tcPr>
          <w:p>
            <w:r>
              <w:rPr>
                <w:sz w:val="16"/>
              </w:rPr>
              <w:t>Review/closure records</w:t>
            </w:r>
          </w:p>
        </w:tc>
      </w:tr>
      <w:tr>
        <w:tc>
          <w:tcPr>
            <w:tcW w:type="dxa" w:w="2160"/>
          </w:tcPr>
          <w:p>
            <w:r>
              <w:rPr>
                <w:sz w:val="16"/>
              </w:rPr>
              <w:t>Engineering</w:t>
            </w:r>
          </w:p>
        </w:tc>
        <w:tc>
          <w:tcPr>
            <w:tcW w:type="dxa" w:w="2160"/>
          </w:tcPr>
          <w:p>
            <w:r>
              <w:rPr>
                <w:sz w:val="16"/>
              </w:rPr>
              <w:t>Authorised issue and complete records</w:t>
            </w:r>
          </w:p>
        </w:tc>
        <w:tc>
          <w:tcPr>
            <w:tcW w:type="dxa" w:w="2160"/>
          </w:tcPr>
          <w:p>
            <w:r>
              <w:rPr>
                <w:sz w:val="16"/>
              </w:rPr>
              <w:t>10</w:t>
            </w:r>
          </w:p>
        </w:tc>
        <w:tc>
          <w:tcPr>
            <w:tcW w:type="dxa" w:w="2160"/>
          </w:tcPr>
          <w:p>
            <w:r>
              <w:rPr>
                <w:sz w:val="16"/>
              </w:rPr>
              <w:t>Controlled transmittal</w:t>
            </w:r>
          </w:p>
        </w:tc>
      </w:tr>
      <w:tr>
        <w:tc>
          <w:tcPr>
            <w:tcW w:type="dxa" w:w="2160"/>
          </w:tcPr>
          <w:p>
            <w:r>
              <w:rPr>
                <w:sz w:val="16"/>
              </w:rPr>
              <w:t>Procurement</w:t>
            </w:r>
          </w:p>
        </w:tc>
        <w:tc>
          <w:tcPr>
            <w:tcW w:type="dxa" w:w="2160"/>
          </w:tcPr>
          <w:p>
            <w:r>
              <w:rPr>
                <w:sz w:val="16"/>
              </w:rPr>
              <w:t>Technically accepted order placement</w:t>
            </w:r>
          </w:p>
        </w:tc>
        <w:tc>
          <w:tcPr>
            <w:tcW w:type="dxa" w:w="2160"/>
          </w:tcPr>
          <w:p>
            <w:r>
              <w:rPr>
                <w:sz w:val="16"/>
              </w:rPr>
              <w:t>10</w:t>
            </w:r>
          </w:p>
        </w:tc>
        <w:tc>
          <w:tcPr>
            <w:tcW w:type="dxa" w:w="2160"/>
          </w:tcPr>
          <w:p>
            <w:r>
              <w:rPr>
                <w:sz w:val="16"/>
              </w:rPr>
              <w:t>Authorised PO and technical acceptance</w:t>
            </w:r>
          </w:p>
        </w:tc>
      </w:tr>
      <w:tr>
        <w:tc>
          <w:tcPr>
            <w:tcW w:type="dxa" w:w="2160"/>
          </w:tcPr>
          <w:p>
            <w:r>
              <w:rPr>
                <w:sz w:val="16"/>
              </w:rPr>
              <w:t>Procurement</w:t>
            </w:r>
          </w:p>
        </w:tc>
        <w:tc>
          <w:tcPr>
            <w:tcW w:type="dxa" w:w="2160"/>
          </w:tcPr>
          <w:p>
            <w:r>
              <w:rPr>
                <w:sz w:val="16"/>
              </w:rPr>
              <w:t>Verified manufacturing milestones</w:t>
            </w:r>
          </w:p>
        </w:tc>
        <w:tc>
          <w:tcPr>
            <w:tcW w:type="dxa" w:w="2160"/>
          </w:tcPr>
          <w:p>
            <w:r>
              <w:rPr>
                <w:sz w:val="16"/>
              </w:rPr>
              <w:t>30</w:t>
            </w:r>
          </w:p>
        </w:tc>
        <w:tc>
          <w:tcPr>
            <w:tcW w:type="dxa" w:w="2160"/>
          </w:tcPr>
          <w:p>
            <w:r>
              <w:rPr>
                <w:sz w:val="16"/>
              </w:rPr>
              <w:t>Agreed milestone/inspection evidence</w:t>
            </w:r>
          </w:p>
        </w:tc>
      </w:tr>
      <w:tr>
        <w:tc>
          <w:tcPr>
            <w:tcW w:type="dxa" w:w="2160"/>
          </w:tcPr>
          <w:p>
            <w:r>
              <w:rPr>
                <w:sz w:val="16"/>
              </w:rPr>
              <w:t>Procurement</w:t>
            </w:r>
          </w:p>
        </w:tc>
        <w:tc>
          <w:tcPr>
            <w:tcW w:type="dxa" w:w="2160"/>
          </w:tcPr>
          <w:p>
            <w:r>
              <w:rPr>
                <w:sz w:val="16"/>
              </w:rPr>
              <w:t>Accepted inspection and dispatch</w:t>
            </w:r>
          </w:p>
        </w:tc>
        <w:tc>
          <w:tcPr>
            <w:tcW w:type="dxa" w:w="2160"/>
          </w:tcPr>
          <w:p>
            <w:r>
              <w:rPr>
                <w:sz w:val="16"/>
              </w:rPr>
              <w:t>30</w:t>
            </w:r>
          </w:p>
        </w:tc>
        <w:tc>
          <w:tcPr>
            <w:tcW w:type="dxa" w:w="2160"/>
          </w:tcPr>
          <w:p>
            <w:r>
              <w:rPr>
                <w:sz w:val="16"/>
              </w:rPr>
              <w:t>Release/dispatch records</w:t>
            </w:r>
          </w:p>
        </w:tc>
      </w:tr>
      <w:tr>
        <w:tc>
          <w:tcPr>
            <w:tcW w:type="dxa" w:w="2160"/>
          </w:tcPr>
          <w:p>
            <w:r>
              <w:rPr>
                <w:sz w:val="16"/>
              </w:rPr>
              <w:t>Procurement</w:t>
            </w:r>
          </w:p>
        </w:tc>
        <w:tc>
          <w:tcPr>
            <w:tcW w:type="dxa" w:w="2160"/>
          </w:tcPr>
          <w:p>
            <w:r>
              <w:rPr>
                <w:sz w:val="16"/>
              </w:rPr>
              <w:t>Accepted site/yard receipt</w:t>
            </w:r>
          </w:p>
        </w:tc>
        <w:tc>
          <w:tcPr>
            <w:tcW w:type="dxa" w:w="2160"/>
          </w:tcPr>
          <w:p>
            <w:r>
              <w:rPr>
                <w:sz w:val="16"/>
              </w:rPr>
              <w:t>20</w:t>
            </w:r>
          </w:p>
        </w:tc>
        <w:tc>
          <w:tcPr>
            <w:tcW w:type="dxa" w:w="2160"/>
          </w:tcPr>
          <w:p>
            <w:r>
              <w:rPr>
                <w:sz w:val="16"/>
              </w:rPr>
              <w:t>Receipt/traceability</w:t>
            </w:r>
          </w:p>
        </w:tc>
      </w:tr>
      <w:tr>
        <w:tc>
          <w:tcPr>
            <w:tcW w:type="dxa" w:w="2160"/>
          </w:tcPr>
          <w:p>
            <w:r>
              <w:rPr>
                <w:sz w:val="16"/>
              </w:rPr>
              <w:t>Procurement</w:t>
            </w:r>
          </w:p>
        </w:tc>
        <w:tc>
          <w:tcPr>
            <w:tcW w:type="dxa" w:w="2160"/>
          </w:tcPr>
          <w:p>
            <w:r>
              <w:rPr>
                <w:sz w:val="16"/>
              </w:rPr>
              <w:t>Complete supplier documentation</w:t>
            </w:r>
          </w:p>
        </w:tc>
        <w:tc>
          <w:tcPr>
            <w:tcW w:type="dxa" w:w="2160"/>
          </w:tcPr>
          <w:p>
            <w:r>
              <w:rPr>
                <w:sz w:val="16"/>
              </w:rPr>
              <w:t>10</w:t>
            </w:r>
          </w:p>
        </w:tc>
        <w:tc>
          <w:tcPr>
            <w:tcW w:type="dxa" w:w="2160"/>
          </w:tcPr>
          <w:p>
            <w:r>
              <w:rPr>
                <w:sz w:val="16"/>
              </w:rPr>
              <w:t>Accepted dossier</w:t>
            </w:r>
          </w:p>
        </w:tc>
      </w:tr>
      <w:tr>
        <w:tc>
          <w:tcPr>
            <w:tcW w:type="dxa" w:w="2160"/>
          </w:tcPr>
          <w:p>
            <w:r>
              <w:rPr>
                <w:sz w:val="16"/>
              </w:rPr>
              <w:t>Fabrication</w:t>
            </w:r>
          </w:p>
        </w:tc>
        <w:tc>
          <w:tcPr>
            <w:tcW w:type="dxa" w:w="2160"/>
          </w:tcPr>
          <w:p>
            <w:r>
              <w:rPr>
                <w:sz w:val="16"/>
              </w:rPr>
              <w:t>Traceable prepared material</w:t>
            </w:r>
          </w:p>
        </w:tc>
        <w:tc>
          <w:tcPr>
            <w:tcW w:type="dxa" w:w="2160"/>
          </w:tcPr>
          <w:p>
            <w:r>
              <w:rPr>
                <w:sz w:val="16"/>
              </w:rPr>
              <w:t>10</w:t>
            </w:r>
          </w:p>
        </w:tc>
        <w:tc>
          <w:tcPr>
            <w:tcW w:type="dxa" w:w="2160"/>
          </w:tcPr>
          <w:p>
            <w:r>
              <w:rPr>
                <w:sz w:val="16"/>
              </w:rPr>
              <w:t>Accepted material/preparation records</w:t>
            </w:r>
          </w:p>
        </w:tc>
      </w:tr>
      <w:tr>
        <w:tc>
          <w:tcPr>
            <w:tcW w:type="dxa" w:w="2160"/>
          </w:tcPr>
          <w:p>
            <w:r>
              <w:rPr>
                <w:sz w:val="16"/>
              </w:rPr>
              <w:t>Fabrication</w:t>
            </w:r>
          </w:p>
        </w:tc>
        <w:tc>
          <w:tcPr>
            <w:tcW w:type="dxa" w:w="2160"/>
          </w:tcPr>
          <w:p>
            <w:r>
              <w:rPr>
                <w:sz w:val="16"/>
              </w:rPr>
              <w:t>Accepted fit-up/assembly</w:t>
            </w:r>
          </w:p>
        </w:tc>
        <w:tc>
          <w:tcPr>
            <w:tcW w:type="dxa" w:w="2160"/>
          </w:tcPr>
          <w:p>
            <w:r>
              <w:rPr>
                <w:sz w:val="16"/>
              </w:rPr>
              <w:t>20</w:t>
            </w:r>
          </w:p>
        </w:tc>
        <w:tc>
          <w:tcPr>
            <w:tcW w:type="dxa" w:w="2160"/>
          </w:tcPr>
          <w:p>
            <w:r>
              <w:rPr>
                <w:sz w:val="16"/>
              </w:rPr>
              <w:t>Inspection record</w:t>
            </w:r>
          </w:p>
        </w:tc>
      </w:tr>
      <w:tr>
        <w:tc>
          <w:tcPr>
            <w:tcW w:type="dxa" w:w="2160"/>
          </w:tcPr>
          <w:p>
            <w:r>
              <w:rPr>
                <w:sz w:val="16"/>
              </w:rPr>
              <w:t>Fabrication</w:t>
            </w:r>
          </w:p>
        </w:tc>
        <w:tc>
          <w:tcPr>
            <w:tcW w:type="dxa" w:w="2160"/>
          </w:tcPr>
          <w:p>
            <w:r>
              <w:rPr>
                <w:sz w:val="16"/>
              </w:rPr>
              <w:t>Completed weld production stage</w:t>
            </w:r>
          </w:p>
        </w:tc>
        <w:tc>
          <w:tcPr>
            <w:tcW w:type="dxa" w:w="2160"/>
          </w:tcPr>
          <w:p>
            <w:r>
              <w:rPr>
                <w:sz w:val="16"/>
              </w:rPr>
              <w:t>35</w:t>
            </w:r>
          </w:p>
        </w:tc>
        <w:tc>
          <w:tcPr>
            <w:tcW w:type="dxa" w:w="2160"/>
          </w:tcPr>
          <w:p>
            <w:r>
              <w:rPr>
                <w:sz w:val="16"/>
              </w:rPr>
              <w:t>Weld map/records; no defect closure implied</w:t>
            </w:r>
          </w:p>
        </w:tc>
      </w:tr>
      <w:tr>
        <w:tc>
          <w:tcPr>
            <w:tcW w:type="dxa" w:w="2160"/>
          </w:tcPr>
          <w:p>
            <w:r>
              <w:rPr>
                <w:sz w:val="16"/>
              </w:rPr>
              <w:t>Fabrication</w:t>
            </w:r>
          </w:p>
        </w:tc>
        <w:tc>
          <w:tcPr>
            <w:tcW w:type="dxa" w:w="2160"/>
          </w:tcPr>
          <w:p>
            <w:r>
              <w:rPr>
                <w:sz w:val="16"/>
              </w:rPr>
              <w:t>Required NDT/repairs and dimensions accepted</w:t>
            </w:r>
          </w:p>
        </w:tc>
        <w:tc>
          <w:tcPr>
            <w:tcW w:type="dxa" w:w="2160"/>
          </w:tcPr>
          <w:p>
            <w:r>
              <w:rPr>
                <w:sz w:val="16"/>
              </w:rPr>
              <w:t>20</w:t>
            </w:r>
          </w:p>
        </w:tc>
        <w:tc>
          <w:tcPr>
            <w:tcW w:type="dxa" w:w="2160"/>
          </w:tcPr>
          <w:p>
            <w:r>
              <w:rPr>
                <w:sz w:val="16"/>
              </w:rPr>
              <w:t>QA acceptance</w:t>
            </w:r>
          </w:p>
        </w:tc>
      </w:tr>
      <w:tr>
        <w:tc>
          <w:tcPr>
            <w:tcW w:type="dxa" w:w="2160"/>
          </w:tcPr>
          <w:p>
            <w:r>
              <w:rPr>
                <w:sz w:val="16"/>
              </w:rPr>
              <w:t>Fabrication</w:t>
            </w:r>
          </w:p>
        </w:tc>
        <w:tc>
          <w:tcPr>
            <w:tcW w:type="dxa" w:w="2160"/>
          </w:tcPr>
          <w:p>
            <w:r>
              <w:rPr>
                <w:sz w:val="16"/>
              </w:rPr>
              <w:t>Coating and preservation accepted</w:t>
            </w:r>
          </w:p>
        </w:tc>
        <w:tc>
          <w:tcPr>
            <w:tcW w:type="dxa" w:w="2160"/>
          </w:tcPr>
          <w:p>
            <w:r>
              <w:rPr>
                <w:sz w:val="16"/>
              </w:rPr>
              <w:t>10</w:t>
            </w:r>
          </w:p>
        </w:tc>
        <w:tc>
          <w:tcPr>
            <w:tcW w:type="dxa" w:w="2160"/>
          </w:tcPr>
          <w:p>
            <w:r>
              <w:rPr>
                <w:sz w:val="16"/>
              </w:rPr>
              <w:t>Coating record</w:t>
            </w:r>
          </w:p>
        </w:tc>
      </w:tr>
      <w:tr>
        <w:tc>
          <w:tcPr>
            <w:tcW w:type="dxa" w:w="2160"/>
          </w:tcPr>
          <w:p>
            <w:r>
              <w:rPr>
                <w:sz w:val="16"/>
              </w:rPr>
              <w:t>Fabrication</w:t>
            </w:r>
          </w:p>
        </w:tc>
        <w:tc>
          <w:tcPr>
            <w:tcW w:type="dxa" w:w="2160"/>
          </w:tcPr>
          <w:p>
            <w:r>
              <w:rPr>
                <w:sz w:val="16"/>
              </w:rPr>
              <w:t>Final package release/dossier</w:t>
            </w:r>
          </w:p>
        </w:tc>
        <w:tc>
          <w:tcPr>
            <w:tcW w:type="dxa" w:w="2160"/>
          </w:tcPr>
          <w:p>
            <w:r>
              <w:rPr>
                <w:sz w:val="16"/>
              </w:rPr>
              <w:t>5</w:t>
            </w:r>
          </w:p>
        </w:tc>
        <w:tc>
          <w:tcPr>
            <w:tcW w:type="dxa" w:w="2160"/>
          </w:tcPr>
          <w:p>
            <w:r>
              <w:rPr>
                <w:sz w:val="16"/>
              </w:rPr>
              <w:t>QA release</w:t>
            </w:r>
          </w:p>
        </w:tc>
      </w:tr>
      <w:tr>
        <w:tc>
          <w:tcPr>
            <w:tcW w:type="dxa" w:w="2160"/>
          </w:tcPr>
          <w:p>
            <w:r>
              <w:rPr>
                <w:sz w:val="16"/>
              </w:rPr>
              <w:t>Installation</w:t>
            </w:r>
          </w:p>
        </w:tc>
        <w:tc>
          <w:tcPr>
            <w:tcW w:type="dxa" w:w="2160"/>
          </w:tcPr>
          <w:p>
            <w:r>
              <w:rPr>
                <w:sz w:val="16"/>
              </w:rPr>
              <w:t>Accepted landing/placement stage</w:t>
            </w:r>
          </w:p>
        </w:tc>
        <w:tc>
          <w:tcPr>
            <w:tcW w:type="dxa" w:w="2160"/>
          </w:tcPr>
          <w:p>
            <w:r>
              <w:rPr>
                <w:sz w:val="16"/>
              </w:rPr>
              <w:t>25</w:t>
            </w:r>
          </w:p>
        </w:tc>
        <w:tc>
          <w:tcPr>
            <w:tcW w:type="dxa" w:w="2160"/>
          </w:tcPr>
          <w:p>
            <w:r>
              <w:rPr>
                <w:sz w:val="16"/>
              </w:rPr>
              <w:t>Approved installation record</w:t>
            </w:r>
          </w:p>
        </w:tc>
      </w:tr>
      <w:tr>
        <w:tc>
          <w:tcPr>
            <w:tcW w:type="dxa" w:w="2160"/>
          </w:tcPr>
          <w:p>
            <w:r>
              <w:rPr>
                <w:sz w:val="16"/>
              </w:rPr>
              <w:t>Installation</w:t>
            </w:r>
          </w:p>
        </w:tc>
        <w:tc>
          <w:tcPr>
            <w:tcW w:type="dxa" w:w="2160"/>
          </w:tcPr>
          <w:p>
            <w:r>
              <w:rPr>
                <w:sz w:val="16"/>
              </w:rPr>
              <w:t>Permanent connections completed</w:t>
            </w:r>
          </w:p>
        </w:tc>
        <w:tc>
          <w:tcPr>
            <w:tcW w:type="dxa" w:w="2160"/>
          </w:tcPr>
          <w:p>
            <w:r>
              <w:rPr>
                <w:sz w:val="16"/>
              </w:rPr>
              <w:t>40</w:t>
            </w:r>
          </w:p>
        </w:tc>
        <w:tc>
          <w:tcPr>
            <w:tcW w:type="dxa" w:w="2160"/>
          </w:tcPr>
          <w:p>
            <w:r>
              <w:rPr>
                <w:sz w:val="16"/>
              </w:rPr>
              <w:t>Connection records; acceptance pending as applicable</w:t>
            </w:r>
          </w:p>
        </w:tc>
      </w:tr>
      <w:tr>
        <w:tc>
          <w:tcPr>
            <w:tcW w:type="dxa" w:w="2160"/>
          </w:tcPr>
          <w:p>
            <w:r>
              <w:rPr>
                <w:sz w:val="16"/>
              </w:rPr>
              <w:t>Installation</w:t>
            </w:r>
          </w:p>
        </w:tc>
        <w:tc>
          <w:tcPr>
            <w:tcW w:type="dxa" w:w="2160"/>
          </w:tcPr>
          <w:p>
            <w:r>
              <w:rPr>
                <w:sz w:val="16"/>
              </w:rPr>
              <w:t>Required inspections/restoration accepted</w:t>
            </w:r>
          </w:p>
        </w:tc>
        <w:tc>
          <w:tcPr>
            <w:tcW w:type="dxa" w:w="2160"/>
          </w:tcPr>
          <w:p>
            <w:r>
              <w:rPr>
                <w:sz w:val="16"/>
              </w:rPr>
              <w:t>20</w:t>
            </w:r>
          </w:p>
        </w:tc>
        <w:tc>
          <w:tcPr>
            <w:tcW w:type="dxa" w:w="2160"/>
          </w:tcPr>
          <w:p>
            <w:r>
              <w:rPr>
                <w:sz w:val="16"/>
              </w:rPr>
              <w:t>QA acceptance</w:t>
            </w:r>
          </w:p>
        </w:tc>
      </w:tr>
      <w:tr>
        <w:tc>
          <w:tcPr>
            <w:tcW w:type="dxa" w:w="2160"/>
          </w:tcPr>
          <w:p>
            <w:r>
              <w:rPr>
                <w:sz w:val="16"/>
              </w:rPr>
              <w:t>Installation</w:t>
            </w:r>
          </w:p>
        </w:tc>
        <w:tc>
          <w:tcPr>
            <w:tcW w:type="dxa" w:w="2160"/>
          </w:tcPr>
          <w:p>
            <w:r>
              <w:rPr>
                <w:sz w:val="16"/>
              </w:rPr>
              <w:t>Package acceptance and records</w:t>
            </w:r>
          </w:p>
        </w:tc>
        <w:tc>
          <w:tcPr>
            <w:tcW w:type="dxa" w:w="2160"/>
          </w:tcPr>
          <w:p>
            <w:r>
              <w:rPr>
                <w:sz w:val="16"/>
              </w:rPr>
              <w:t>15</w:t>
            </w:r>
          </w:p>
        </w:tc>
        <w:tc>
          <w:tcPr>
            <w:tcW w:type="dxa" w:w="2160"/>
          </w:tcPr>
          <w:p>
            <w:r>
              <w:rPr>
                <w:sz w:val="16"/>
              </w:rPr>
              <w:t>Accepted package closure</w:t>
            </w:r>
          </w:p>
        </w:tc>
      </w:tr>
      <w:tr>
        <w:tc>
          <w:tcPr>
            <w:tcW w:type="dxa" w:w="2160"/>
          </w:tcPr>
          <w:p>
            <w:r>
              <w:rPr>
                <w:sz w:val="16"/>
              </w:rPr>
              <w:t>Commissioning</w:t>
            </w:r>
          </w:p>
        </w:tc>
        <w:tc>
          <w:tcPr>
            <w:tcW w:type="dxa" w:w="2160"/>
          </w:tcPr>
          <w:p>
            <w:r>
              <w:rPr>
                <w:sz w:val="16"/>
              </w:rPr>
              <w:t>Test readiness accepted</w:t>
            </w:r>
          </w:p>
        </w:tc>
        <w:tc>
          <w:tcPr>
            <w:tcW w:type="dxa" w:w="2160"/>
          </w:tcPr>
          <w:p>
            <w:r>
              <w:rPr>
                <w:sz w:val="16"/>
              </w:rPr>
              <w:t>20</w:t>
            </w:r>
          </w:p>
        </w:tc>
        <w:tc>
          <w:tcPr>
            <w:tcW w:type="dxa" w:w="2160"/>
          </w:tcPr>
          <w:p>
            <w:r>
              <w:rPr>
                <w:sz w:val="16"/>
              </w:rPr>
              <w:t>Approved prerequisites and boundary</w:t>
            </w:r>
          </w:p>
        </w:tc>
      </w:tr>
      <w:tr>
        <w:tc>
          <w:tcPr>
            <w:tcW w:type="dxa" w:w="2160"/>
          </w:tcPr>
          <w:p>
            <w:r>
              <w:rPr>
                <w:sz w:val="16"/>
              </w:rPr>
              <w:t>Commissioning</w:t>
            </w:r>
          </w:p>
        </w:tc>
        <w:tc>
          <w:tcPr>
            <w:tcW w:type="dxa" w:w="2160"/>
          </w:tcPr>
          <w:p>
            <w:r>
              <w:rPr>
                <w:sz w:val="16"/>
              </w:rPr>
              <w:t>Applicable tests executed and accepted</w:t>
            </w:r>
          </w:p>
        </w:tc>
        <w:tc>
          <w:tcPr>
            <w:tcW w:type="dxa" w:w="2160"/>
          </w:tcPr>
          <w:p>
            <w:r>
              <w:rPr>
                <w:sz w:val="16"/>
              </w:rPr>
              <w:t>50</w:t>
            </w:r>
          </w:p>
        </w:tc>
        <w:tc>
          <w:tcPr>
            <w:tcW w:type="dxa" w:w="2160"/>
          </w:tcPr>
          <w:p>
            <w:r>
              <w:rPr>
                <w:sz w:val="16"/>
              </w:rPr>
              <w:t>Signed test records</w:t>
            </w:r>
          </w:p>
        </w:tc>
      </w:tr>
      <w:tr>
        <w:tc>
          <w:tcPr>
            <w:tcW w:type="dxa" w:w="2160"/>
          </w:tcPr>
          <w:p>
            <w:r>
              <w:rPr>
                <w:sz w:val="16"/>
              </w:rPr>
              <w:t>Commissioning</w:t>
            </w:r>
          </w:p>
        </w:tc>
        <w:tc>
          <w:tcPr>
            <w:tcW w:type="dxa" w:w="2160"/>
          </w:tcPr>
          <w:p>
            <w:r>
              <w:rPr>
                <w:sz w:val="16"/>
              </w:rPr>
              <w:t>Reinstatement and critical punch closure</w:t>
            </w:r>
          </w:p>
        </w:tc>
        <w:tc>
          <w:tcPr>
            <w:tcW w:type="dxa" w:w="2160"/>
          </w:tcPr>
          <w:p>
            <w:r>
              <w:rPr>
                <w:sz w:val="16"/>
              </w:rPr>
              <w:t>20</w:t>
            </w:r>
          </w:p>
        </w:tc>
        <w:tc>
          <w:tcPr>
            <w:tcW w:type="dxa" w:w="2160"/>
          </w:tcPr>
          <w:p>
            <w:r>
              <w:rPr>
                <w:sz w:val="16"/>
              </w:rPr>
              <w:t>Operational/QA closure</w:t>
            </w:r>
          </w:p>
        </w:tc>
      </w:tr>
      <w:tr>
        <w:tc>
          <w:tcPr>
            <w:tcW w:type="dxa" w:w="2160"/>
          </w:tcPr>
          <w:p>
            <w:r>
              <w:rPr>
                <w:sz w:val="16"/>
              </w:rPr>
              <w:t>Commissioning</w:t>
            </w:r>
          </w:p>
        </w:tc>
        <w:tc>
          <w:tcPr>
            <w:tcW w:type="dxa" w:w="2160"/>
          </w:tcPr>
          <w:p>
            <w:r>
              <w:rPr>
                <w:sz w:val="16"/>
              </w:rPr>
              <w:t>Operational acceptance and dossier</w:t>
            </w:r>
          </w:p>
        </w:tc>
        <w:tc>
          <w:tcPr>
            <w:tcW w:type="dxa" w:w="2160"/>
          </w:tcPr>
          <w:p>
            <w:r>
              <w:rPr>
                <w:sz w:val="16"/>
              </w:rPr>
              <w:t>10</w:t>
            </w:r>
          </w:p>
        </w:tc>
        <w:tc>
          <w:tcPr>
            <w:tcW w:type="dxa" w:w="2160"/>
          </w:tcPr>
          <w:p>
            <w:r>
              <w:rPr>
                <w:sz w:val="16"/>
              </w:rPr>
              <w:t>Client acceptance</w:t>
            </w:r>
          </w:p>
        </w:tc>
      </w:tr>
    </w:tbl>
    <w:p>
      <w:r>
        <w:t>Weighted progress equals the sum of approved milestone weight multiplied by evidenced completion fraction. Use consistent measurement and acceptance rules and preserve the approved baseline. Earned value(EV) is the approved budgeted value of performed work; actual cost(AC) covers the same scope, period and currency; planned value(PV) is the approved time-phased plan. CPI=EV/AC and SPI=EV/PV require valid compatible inputs. No project CPI or SPI is calculated here because those inputs are not established.</w:t>
      </w:r>
    </w:p>
    <w:p>
      <w:pPr>
        <w:pStyle w:val="Heading1"/>
      </w:pPr>
      <w:r>
        <w:t>7. Controlled weekly-update and decision cycle</w:t>
      </w:r>
    </w:p>
    <w:p>
      <w:pPr>
        <w:pStyle w:val="ListBullet"/>
      </w:pPr>
      <w:r>
        <w:t>Fix one reporting data date and named data owners. Collect evidenced actual starts/finishes, accepted quantities, inspection status, remaining work and actual resource/cost records.</w:t>
      </w:r>
    </w:p>
    <w:p>
      <w:pPr>
        <w:pStyle w:val="ListBullet"/>
      </w:pPr>
      <w:r>
        <w:t>Validate actuals and resolve out-of-sequence work. Preserve the baseline and approved change history. Forecast dates must not be forced to match a target.</w:t>
      </w:r>
    </w:p>
    <w:p>
      <w:pPr>
        <w:pStyle w:val="ListBullet"/>
      </w:pPr>
      <w:r>
        <w:t>Recalculate critical and near-critical paths, forecast cost/cash, weather exposure and procurement/resource constraints.</w:t>
      </w:r>
    </w:p>
    <w:p>
      <w:pPr>
        <w:pStyle w:val="ListBullet"/>
      </w:pPr>
      <w:r>
        <w:t>Escalate a critical prerequisite missing its required date, an operational gate on HOLD, an uncommitted supplier window or an uncovered funding requirement. Approve internal response times separately; do not represent them as contractual limits.</w:t>
      </w:r>
    </w:p>
    <w:p>
      <w:pPr>
        <w:pStyle w:val="ListBullet"/>
      </w:pPr>
      <w:r>
        <w:t>Issue a weekly report identifying each decision, accountable owner, need-by date, evidence and consequence. Build the six-week look-ahead from executable work fronts.</w:t>
      </w:r>
    </w:p>
    <w:p>
      <w:pPr>
        <w:pStyle w:val="Heading1"/>
      </w:pPr>
      <w:r>
        <w:t>8. Technical-query, nonconformance and change workflows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Recordtype</w:t>
            </w:r>
          </w:p>
        </w:tc>
        <w:tc>
          <w:tcPr>
            <w:tcW w:type="dxa" w:w="2160"/>
          </w:tcPr>
          <w:p>
            <w:r>
              <w:rPr>
                <w:sz w:val="16"/>
              </w:rPr>
              <w:t>Trigger</w:t>
            </w:r>
          </w:p>
        </w:tc>
        <w:tc>
          <w:tcPr>
            <w:tcW w:type="dxa" w:w="2160"/>
          </w:tcPr>
          <w:p>
            <w:r>
              <w:rPr>
                <w:sz w:val="16"/>
              </w:rPr>
              <w:t>Process</w:t>
            </w:r>
          </w:p>
        </w:tc>
        <w:tc>
          <w:tcPr>
            <w:tcW w:type="dxa" w:w="2160"/>
          </w:tcPr>
          <w:p>
            <w:r>
              <w:rPr>
                <w:sz w:val="16"/>
              </w:rPr>
              <w:t>Releaseboundary</w:t>
            </w:r>
          </w:p>
        </w:tc>
      </w:tr>
      <w:tr>
        <w:tc>
          <w:tcPr>
            <w:tcW w:type="dxa" w:w="2160"/>
          </w:tcPr>
          <w:p>
            <w:r>
              <w:rPr>
                <w:sz w:val="16"/>
              </w:rPr>
              <w:t>RFI/TQ</w:t>
            </w:r>
          </w:p>
        </w:tc>
        <w:tc>
          <w:tcPr>
            <w:tcW w:type="dxa" w:w="2160"/>
          </w:tcPr>
          <w:p>
            <w:r>
              <w:rPr>
                <w:sz w:val="16"/>
              </w:rPr>
              <w:t>Clarify existing information/requirement</w:t>
            </w:r>
          </w:p>
        </w:tc>
        <w:tc>
          <w:tcPr>
            <w:tcW w:type="dxa" w:w="2160"/>
          </w:tcPr>
          <w:p>
            <w:r>
              <w:rPr>
                <w:sz w:val="16"/>
              </w:rPr>
              <w:t>Engineeringresponse;recordsource;assessaffectedwork</w:t>
            </w:r>
          </w:p>
        </w:tc>
        <w:tc>
          <w:tcPr>
            <w:tcW w:type="dxa" w:w="2160"/>
          </w:tcPr>
          <w:p>
            <w:r>
              <w:rPr>
                <w:sz w:val="16"/>
              </w:rPr>
              <w:t>No automaticdesignchangeauthorisation</w:t>
            </w:r>
          </w:p>
        </w:tc>
      </w:tr>
      <w:tr>
        <w:tc>
          <w:tcPr>
            <w:tcW w:type="dxa" w:w="2160"/>
          </w:tcPr>
          <w:p>
            <w:r>
              <w:rPr>
                <w:sz w:val="16"/>
              </w:rPr>
              <w:t>NCR</w:t>
            </w:r>
          </w:p>
        </w:tc>
        <w:tc>
          <w:tcPr>
            <w:tcW w:type="dxa" w:w="2160"/>
          </w:tcPr>
          <w:p>
            <w:r>
              <w:rPr>
                <w:sz w:val="16"/>
              </w:rPr>
              <w:t>Actualwork/materialdoesnotmeetrequirement</w:t>
            </w:r>
          </w:p>
        </w:tc>
        <w:tc>
          <w:tcPr>
            <w:tcW w:type="dxa" w:w="2160"/>
          </w:tcPr>
          <w:p>
            <w:r>
              <w:rPr>
                <w:sz w:val="16"/>
              </w:rPr>
              <w:t>Contain;evaluate;approvedrepair/rework/disposition;verifyclosure</w:t>
            </w:r>
          </w:p>
        </w:tc>
        <w:tc>
          <w:tcPr>
            <w:tcW w:type="dxa" w:w="2160"/>
          </w:tcPr>
          <w:p>
            <w:r>
              <w:rPr>
                <w:sz w:val="16"/>
              </w:rPr>
              <w:t>Concessionrequiresauthorisedtechnical/clientacceptancewhereapplicable</w:t>
            </w:r>
          </w:p>
        </w:tc>
      </w:tr>
      <w:tr>
        <w:tc>
          <w:tcPr>
            <w:tcW w:type="dxa" w:w="2160"/>
          </w:tcPr>
          <w:p>
            <w:r>
              <w:rPr>
                <w:sz w:val="16"/>
              </w:rPr>
              <w:t>Deviation/concession</w:t>
            </w:r>
          </w:p>
        </w:tc>
        <w:tc>
          <w:tcPr>
            <w:tcW w:type="dxa" w:w="2160"/>
          </w:tcPr>
          <w:p>
            <w:r>
              <w:rPr>
                <w:sz w:val="16"/>
              </w:rPr>
              <w:t>Proposeddeparturefromrequirement</w:t>
            </w:r>
          </w:p>
        </w:tc>
        <w:tc>
          <w:tcPr>
            <w:tcW w:type="dxa" w:w="2160"/>
          </w:tcPr>
          <w:p>
            <w:r>
              <w:rPr>
                <w:sz w:val="16"/>
              </w:rPr>
              <w:t>Technical/commercialevaluation;approvalbeforeuse</w:t>
            </w:r>
          </w:p>
        </w:tc>
        <w:tc>
          <w:tcPr>
            <w:tcW w:type="dxa" w:w="2160"/>
          </w:tcPr>
          <w:p>
            <w:r>
              <w:rPr>
                <w:sz w:val="16"/>
              </w:rPr>
              <w:t>Do not treatassilentscopechange</w:t>
            </w:r>
          </w:p>
        </w:tc>
      </w:tr>
      <w:tr>
        <w:tc>
          <w:tcPr>
            <w:tcW w:type="dxa" w:w="2160"/>
          </w:tcPr>
          <w:p>
            <w:r>
              <w:rPr>
                <w:sz w:val="16"/>
              </w:rPr>
              <w:t>Fieldchange</w:t>
            </w:r>
          </w:p>
        </w:tc>
        <w:tc>
          <w:tcPr>
            <w:tcW w:type="dxa" w:w="2160"/>
          </w:tcPr>
          <w:p>
            <w:r>
              <w:rPr>
                <w:sz w:val="16"/>
              </w:rPr>
              <w:t>Proposedchangeatsite</w:t>
            </w:r>
          </w:p>
        </w:tc>
        <w:tc>
          <w:tcPr>
            <w:tcW w:type="dxa" w:w="2160"/>
          </w:tcPr>
          <w:p>
            <w:r>
              <w:rPr>
                <w:sz w:val="16"/>
              </w:rPr>
              <w:t>Technicalreviewandaffectedcalculation/drawing/MTO/safetyreview</w:t>
            </w:r>
          </w:p>
        </w:tc>
        <w:tc>
          <w:tcPr>
            <w:tcW w:type="dxa" w:w="2160"/>
          </w:tcPr>
          <w:p>
            <w:r>
              <w:rPr>
                <w:sz w:val="16"/>
              </w:rPr>
              <w:t>Workhelduntilrequiredrelease</w:t>
            </w:r>
          </w:p>
        </w:tc>
      </w:tr>
      <w:tr>
        <w:tc>
          <w:tcPr>
            <w:tcW w:type="dxa" w:w="2160"/>
          </w:tcPr>
          <w:p>
            <w:r>
              <w:rPr>
                <w:sz w:val="16"/>
              </w:rPr>
              <w:t>Commercialchange</w:t>
            </w:r>
          </w:p>
        </w:tc>
        <w:tc>
          <w:tcPr>
            <w:tcW w:type="dxa" w:w="2160"/>
          </w:tcPr>
          <w:p>
            <w:r>
              <w:rPr>
                <w:sz w:val="16"/>
              </w:rPr>
              <w:t>Potentialcontractscope/time/costchange</w:t>
            </w:r>
          </w:p>
        </w:tc>
        <w:tc>
          <w:tcPr>
            <w:tcW w:type="dxa" w:w="2160"/>
          </w:tcPr>
          <w:p>
            <w:r>
              <w:rPr>
                <w:sz w:val="16"/>
              </w:rPr>
              <w:t>Timelynotices;instruction;substantiation;authorisedsettlement</w:t>
            </w:r>
          </w:p>
        </w:tc>
        <w:tc>
          <w:tcPr>
            <w:tcW w:type="dxa" w:w="2160"/>
          </w:tcPr>
          <w:p>
            <w:r>
              <w:rPr>
                <w:sz w:val="16"/>
              </w:rPr>
              <w:t>Noentitlementassumedfromtechnicalqueryalone</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IssueID</w:t>
            </w:r>
          </w:p>
        </w:tc>
        <w:tc>
          <w:tcPr>
            <w:tcW w:type="dxa" w:w="2160"/>
          </w:tcPr>
          <w:p>
            <w:r>
              <w:rPr>
                <w:sz w:val="16"/>
              </w:rPr>
              <w:t>Issue</w:t>
            </w:r>
          </w:p>
        </w:tc>
        <w:tc>
          <w:tcPr>
            <w:tcW w:type="dxa" w:w="2160"/>
          </w:tcPr>
          <w:p>
            <w:r>
              <w:rPr>
                <w:sz w:val="16"/>
              </w:rPr>
              <w:t>Owner</w:t>
            </w:r>
          </w:p>
        </w:tc>
        <w:tc>
          <w:tcPr>
            <w:tcW w:type="dxa" w:w="2160"/>
          </w:tcPr>
          <w:p>
            <w:r>
              <w:rPr>
                <w:sz w:val="16"/>
              </w:rPr>
              <w:t>Requiredclosure</w:t>
            </w:r>
          </w:p>
        </w:tc>
      </w:tr>
      <w:tr>
        <w:tc>
          <w:tcPr>
            <w:tcW w:type="dxa" w:w="2160"/>
          </w:tcPr>
          <w:p>
            <w:r>
              <w:rPr>
                <w:sz w:val="16"/>
              </w:rPr>
              <w:t>TQ01</w:t>
            </w:r>
          </w:p>
        </w:tc>
        <w:tc>
          <w:tcPr>
            <w:tcW w:type="dxa" w:w="2160"/>
          </w:tcPr>
          <w:p>
            <w:r>
              <w:rPr>
                <w:sz w:val="16"/>
              </w:rPr>
              <w:t>BHS SLQ support wording</w:t>
            </w:r>
          </w:p>
        </w:tc>
        <w:tc>
          <w:tcPr>
            <w:tcW w:type="dxa" w:w="2160"/>
          </w:tcPr>
          <w:p>
            <w:r>
              <w:rPr>
                <w:sz w:val="16"/>
              </w:rPr>
              <w:t>Engineering/ONGC</w:t>
            </w:r>
          </w:p>
        </w:tc>
        <w:tc>
          <w:tcPr>
            <w:tcW w:type="dxa" w:w="2160"/>
          </w:tcPr>
          <w:p>
            <w:r>
              <w:rPr>
                <w:sz w:val="16"/>
              </w:rPr>
              <w:t>Approvedsupportphilosophy and drawing/modelupdate</w:t>
            </w:r>
          </w:p>
        </w:tc>
      </w:tr>
      <w:tr>
        <w:tc>
          <w:tcPr>
            <w:tcW w:type="dxa" w:w="2160"/>
          </w:tcPr>
          <w:p>
            <w:r>
              <w:rPr>
                <w:sz w:val="16"/>
              </w:rPr>
              <w:t>TQ02</w:t>
            </w:r>
          </w:p>
        </w:tc>
        <w:tc>
          <w:tcPr>
            <w:tcW w:type="dxa" w:w="2160"/>
          </w:tcPr>
          <w:p>
            <w:r>
              <w:rPr>
                <w:sz w:val="16"/>
              </w:rPr>
              <w:t>Camber rule versus source 1:200</w:t>
            </w:r>
          </w:p>
        </w:tc>
        <w:tc>
          <w:tcPr>
            <w:tcW w:type="dxa" w:w="2160"/>
          </w:tcPr>
          <w:p>
            <w:r>
              <w:rPr>
                <w:sz w:val="16"/>
              </w:rPr>
              <w:t>Technical Authority</w:t>
            </w:r>
          </w:p>
        </w:tc>
        <w:tc>
          <w:tcPr>
            <w:tcW w:type="dxa" w:w="2160"/>
          </w:tcPr>
          <w:p>
            <w:r>
              <w:rPr>
                <w:sz w:val="16"/>
              </w:rPr>
              <w:t>Checkedcamberprofile and instructions</w:t>
            </w:r>
          </w:p>
        </w:tc>
      </w:tr>
      <w:tr>
        <w:tc>
          <w:tcPr>
            <w:tcW w:type="dxa" w:w="2160"/>
          </w:tcPr>
          <w:p>
            <w:r>
              <w:rPr>
                <w:sz w:val="16"/>
              </w:rPr>
              <w:t>TQ03</w:t>
            </w:r>
          </w:p>
        </w:tc>
        <w:tc>
          <w:tcPr>
            <w:tcW w:type="dxa" w:w="2160"/>
          </w:tcPr>
          <w:p>
            <w:r>
              <w:rPr>
                <w:sz w:val="16"/>
              </w:rPr>
              <w:t>Live-load totals and actual areas</w:t>
            </w:r>
          </w:p>
        </w:tc>
        <w:tc>
          <w:tcPr>
            <w:tcW w:type="dxa" w:w="2160"/>
          </w:tcPr>
          <w:p>
            <w:r>
              <w:rPr>
                <w:sz w:val="16"/>
              </w:rPr>
              <w:t>AnalysisLead</w:t>
            </w:r>
          </w:p>
        </w:tc>
        <w:tc>
          <w:tcPr>
            <w:tcW w:type="dxa" w:w="2160"/>
          </w:tcPr>
          <w:p>
            <w:r>
              <w:rPr>
                <w:sz w:val="16"/>
              </w:rPr>
              <w:t>Reconciledload map and modelrevision</w:t>
            </w:r>
          </w:p>
        </w:tc>
      </w:tr>
      <w:tr>
        <w:tc>
          <w:tcPr>
            <w:tcW w:type="dxa" w:w="2160"/>
          </w:tcPr>
          <w:p>
            <w:r>
              <w:rPr>
                <w:sz w:val="16"/>
              </w:rPr>
              <w:t>MTO01</w:t>
            </w:r>
          </w:p>
        </w:tc>
        <w:tc>
          <w:tcPr>
            <w:tcW w:type="dxa" w:w="2160"/>
          </w:tcPr>
          <w:p>
            <w:r>
              <w:rPr>
                <w:sz w:val="16"/>
              </w:rPr>
              <w:t>Structural 1141 vs 1142 MT</w:t>
            </w:r>
          </w:p>
        </w:tc>
        <w:tc>
          <w:tcPr>
            <w:tcW w:type="dxa" w:w="2160"/>
          </w:tcPr>
          <w:p>
            <w:r>
              <w:rPr>
                <w:sz w:val="16"/>
              </w:rPr>
              <w:t>Engineering/QS</w:t>
            </w:r>
          </w:p>
        </w:tc>
        <w:tc>
          <w:tcPr>
            <w:tcW w:type="dxa" w:w="2160"/>
          </w:tcPr>
          <w:p>
            <w:r>
              <w:rPr>
                <w:sz w:val="16"/>
              </w:rPr>
              <w:t>ControlledMTOreconciliation</w:t>
            </w:r>
          </w:p>
        </w:tc>
      </w:tr>
      <w:tr>
        <w:tc>
          <w:tcPr>
            <w:tcW w:type="dxa" w:w="2160"/>
          </w:tcPr>
          <w:p>
            <w:r>
              <w:rPr>
                <w:sz w:val="16"/>
              </w:rPr>
              <w:t>MTO02</w:t>
            </w:r>
          </w:p>
        </w:tc>
        <w:tc>
          <w:tcPr>
            <w:tcW w:type="dxa" w:w="2160"/>
          </w:tcPr>
          <w:p>
            <w:r>
              <w:rPr>
                <w:sz w:val="16"/>
              </w:rPr>
              <w:t>Handrail 1166 vs 1168 m</w:t>
            </w:r>
          </w:p>
        </w:tc>
        <w:tc>
          <w:tcPr>
            <w:tcW w:type="dxa" w:w="2160"/>
          </w:tcPr>
          <w:p>
            <w:r>
              <w:rPr>
                <w:sz w:val="16"/>
              </w:rPr>
              <w:t>Engineering/QS</w:t>
            </w:r>
          </w:p>
        </w:tc>
        <w:tc>
          <w:tcPr>
            <w:tcW w:type="dxa" w:w="2160"/>
          </w:tcPr>
          <w:p>
            <w:r>
              <w:rPr>
                <w:sz w:val="16"/>
              </w:rPr>
              <w:t>Drawing-basedtake-off</w:t>
            </w:r>
          </w:p>
        </w:tc>
      </w:tr>
      <w:tr>
        <w:tc>
          <w:tcPr>
            <w:tcW w:type="dxa" w:w="2160"/>
          </w:tcPr>
          <w:p>
            <w:r>
              <w:rPr>
                <w:sz w:val="16"/>
              </w:rPr>
              <w:t>MTO03</w:t>
            </w:r>
          </w:p>
        </w:tc>
        <w:tc>
          <w:tcPr>
            <w:tcW w:type="dxa" w:w="2160"/>
          </w:tcPr>
          <w:p>
            <w:r>
              <w:rPr>
                <w:sz w:val="16"/>
              </w:rPr>
              <w:t>Grating 718 vs 719 m2</w:t>
            </w:r>
          </w:p>
        </w:tc>
        <w:tc>
          <w:tcPr>
            <w:tcW w:type="dxa" w:w="2160"/>
          </w:tcPr>
          <w:p>
            <w:r>
              <w:rPr>
                <w:sz w:val="16"/>
              </w:rPr>
              <w:t>Engineering/QS</w:t>
            </w:r>
          </w:p>
        </w:tc>
        <w:tc>
          <w:tcPr>
            <w:tcW w:type="dxa" w:w="2160"/>
          </w:tcPr>
          <w:p>
            <w:r>
              <w:rPr>
                <w:sz w:val="16"/>
              </w:rPr>
              <w:t>Drawing-basedtake-off</w:t>
            </w:r>
          </w:p>
        </w:tc>
      </w:tr>
      <w:tr>
        <w:tc>
          <w:tcPr>
            <w:tcW w:type="dxa" w:w="2160"/>
          </w:tcPr>
          <w:p>
            <w:r>
              <w:rPr>
                <w:sz w:val="16"/>
              </w:rPr>
              <w:t>SCH01</w:t>
            </w:r>
          </w:p>
        </w:tc>
        <w:tc>
          <w:tcPr>
            <w:tcW w:type="dxa" w:w="2160"/>
          </w:tcPr>
          <w:p>
            <w:r>
              <w:rPr>
                <w:sz w:val="16"/>
              </w:rPr>
              <w:t>Longlead packages not individually validated</w:t>
            </w:r>
          </w:p>
        </w:tc>
        <w:tc>
          <w:tcPr>
            <w:tcW w:type="dxa" w:w="2160"/>
          </w:tcPr>
          <w:p>
            <w:r>
              <w:rPr>
                <w:sz w:val="16"/>
              </w:rPr>
              <w:t>Procurement/Planning</w:t>
            </w:r>
          </w:p>
        </w:tc>
        <w:tc>
          <w:tcPr>
            <w:tcW w:type="dxa" w:w="2160"/>
          </w:tcPr>
          <w:p>
            <w:r>
              <w:rPr>
                <w:sz w:val="16"/>
              </w:rPr>
              <w:t>Vendor-backednetworkupdate</w:t>
            </w:r>
          </w:p>
        </w:tc>
      </w:tr>
      <w:tr>
        <w:tc>
          <w:tcPr>
            <w:tcW w:type="dxa" w:w="2160"/>
          </w:tcPr>
          <w:p>
            <w:r>
              <w:rPr>
                <w:sz w:val="16"/>
              </w:rPr>
              <w:t>SCH02</w:t>
            </w:r>
          </w:p>
        </w:tc>
        <w:tc>
          <w:tcPr>
            <w:tcW w:type="dxa" w:w="2160"/>
          </w:tcPr>
          <w:p>
            <w:r>
              <w:rPr>
                <w:sz w:val="16"/>
              </w:rPr>
              <w:t>Weatherreserve model too coarse</w:t>
            </w:r>
          </w:p>
        </w:tc>
        <w:tc>
          <w:tcPr>
            <w:tcW w:type="dxa" w:w="2160"/>
          </w:tcPr>
          <w:p>
            <w:r>
              <w:rPr>
                <w:sz w:val="16"/>
              </w:rPr>
              <w:t>Marine/Planning</w:t>
            </w:r>
          </w:p>
        </w:tc>
        <w:tc>
          <w:tcPr>
            <w:tcW w:type="dxa" w:w="2160"/>
          </w:tcPr>
          <w:p>
            <w:r>
              <w:rPr>
                <w:sz w:val="16"/>
              </w:rPr>
              <w:t>Operation-specificweather/contingencymodel</w:t>
            </w:r>
          </w:p>
        </w:tc>
      </w:tr>
      <w:tr>
        <w:tc>
          <w:tcPr>
            <w:tcW w:type="dxa" w:w="2160"/>
          </w:tcPr>
          <w:p>
            <w:r>
              <w:rPr>
                <w:sz w:val="16"/>
              </w:rPr>
              <w:t>DEL01</w:t>
            </w:r>
          </w:p>
        </w:tc>
        <w:tc>
          <w:tcPr>
            <w:tcW w:type="dxa" w:w="2160"/>
          </w:tcPr>
          <w:p>
            <w:r>
              <w:rPr>
                <w:sz w:val="16"/>
              </w:rPr>
              <w:t>Recipientdownloadsnotconfirmed</w:t>
            </w:r>
          </w:p>
        </w:tc>
        <w:tc>
          <w:tcPr>
            <w:tcW w:type="dxa" w:w="2160"/>
          </w:tcPr>
          <w:p>
            <w:r>
              <w:rPr>
                <w:sz w:val="16"/>
              </w:rPr>
              <w:t>DocumentControl</w:t>
            </w:r>
          </w:p>
        </w:tc>
        <w:tc>
          <w:tcPr>
            <w:tcW w:type="dxa" w:w="2160"/>
          </w:tcPr>
          <w:p>
            <w:r>
              <w:rPr>
                <w:sz w:val="16"/>
              </w:rPr>
              <w:t>Recipientopensactualissuedfiles</w:t>
            </w:r>
          </w:p>
        </w:tc>
      </w:tr>
    </w:tbl>
    <w:p>
      <w:pPr>
        <w:pStyle w:val="Heading1"/>
      </w:pPr>
      <w:r>
        <w:t>9. Procurement and resource integration</w:t>
      </w:r>
    </w:p>
    <w:p>
      <w:r>
        <w:t>The workbook maps all 25 procurement packages to need points, leaving unknown supplier lead times and dates blank. Obtain vendor-document, approval, manufacture, inspection and delivery milestones; connect them to genuine work-front needs. Validate shared inspection/coating, support vessels, transfers and POB as well as fabrication lines and crews. No purchase, charter or external contact has been performed.</w:t>
      </w:r>
    </w:p>
    <w:p>
      <w:pPr>
        <w:pStyle w:val="Heading1"/>
      </w:pPr>
      <w:r>
        <w:t>10. Completion/turnover and operations acceptance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BoundaryID</w:t>
            </w:r>
          </w:p>
        </w:tc>
        <w:tc>
          <w:tcPr>
            <w:tcW w:type="dxa" w:w="2160"/>
          </w:tcPr>
          <w:p>
            <w:r>
              <w:rPr>
                <w:sz w:val="16"/>
              </w:rPr>
              <w:t>Scope</w:t>
            </w:r>
          </w:p>
        </w:tc>
        <w:tc>
          <w:tcPr>
            <w:tcW w:type="dxa" w:w="2160"/>
          </w:tcPr>
          <w:p>
            <w:r>
              <w:rPr>
                <w:sz w:val="16"/>
              </w:rPr>
              <w:t>Evidence</w:t>
            </w:r>
          </w:p>
        </w:tc>
        <w:tc>
          <w:tcPr>
            <w:tcW w:type="dxa" w:w="2160"/>
          </w:tcPr>
          <w:p>
            <w:r>
              <w:rPr>
                <w:sz w:val="16"/>
              </w:rPr>
              <w:t>Dependency</w:t>
            </w:r>
          </w:p>
        </w:tc>
      </w:tr>
      <w:tr>
        <w:tc>
          <w:tcPr>
            <w:tcW w:type="dxa" w:w="2160"/>
          </w:tcPr>
          <w:p>
            <w:r>
              <w:rPr>
                <w:sz w:val="16"/>
              </w:rPr>
              <w:t>SYS-STR</w:t>
            </w:r>
          </w:p>
        </w:tc>
        <w:tc>
          <w:tcPr>
            <w:tcW w:type="dxa" w:w="2160"/>
          </w:tcPr>
          <w:p>
            <w:r>
              <w:rPr>
                <w:sz w:val="16"/>
              </w:rPr>
              <w:t>Connections,grating,handrails,coating,dimensions</w:t>
            </w:r>
          </w:p>
        </w:tc>
        <w:tc>
          <w:tcPr>
            <w:tcW w:type="dxa" w:w="2160"/>
          </w:tcPr>
          <w:p>
            <w:r>
              <w:rPr>
                <w:sz w:val="16"/>
              </w:rPr>
              <w:t>Acceptedinspections and punch status</w:t>
            </w:r>
          </w:p>
        </w:tc>
        <w:tc>
          <w:tcPr>
            <w:tcW w:type="dxa" w:w="2160"/>
          </w:tcPr>
          <w:p>
            <w:r>
              <w:rPr>
                <w:sz w:val="16"/>
              </w:rPr>
              <w:t>Required for bridge acceptance</w:t>
            </w:r>
          </w:p>
        </w:tc>
      </w:tr>
      <w:tr>
        <w:tc>
          <w:tcPr>
            <w:tcW w:type="dxa" w:w="2160"/>
          </w:tcPr>
          <w:p>
            <w:r>
              <w:rPr>
                <w:sz w:val="16"/>
              </w:rPr>
              <w:t>SYS-BRG</w:t>
            </w:r>
          </w:p>
        </w:tc>
        <w:tc>
          <w:tcPr>
            <w:tcW w:type="dxa" w:w="2160"/>
          </w:tcPr>
          <w:p>
            <w:r>
              <w:rPr>
                <w:sz w:val="16"/>
              </w:rPr>
              <w:t>Settings,movementclearances,restraints,protection</w:t>
            </w:r>
          </w:p>
        </w:tc>
        <w:tc>
          <w:tcPr>
            <w:tcW w:type="dxa" w:w="2160"/>
          </w:tcPr>
          <w:p>
            <w:r>
              <w:rPr>
                <w:sz w:val="16"/>
              </w:rPr>
              <w:t>Acceptedinstallation/setting records</w:t>
            </w:r>
          </w:p>
        </w:tc>
        <w:tc>
          <w:tcPr>
            <w:tcW w:type="dxa" w:w="2160"/>
          </w:tcPr>
          <w:p>
            <w:r>
              <w:rPr>
                <w:sz w:val="16"/>
              </w:rPr>
              <w:t>Required before operational acceptance</w:t>
            </w:r>
          </w:p>
        </w:tc>
      </w:tr>
      <w:tr>
        <w:tc>
          <w:tcPr>
            <w:tcW w:type="dxa" w:w="2160"/>
          </w:tcPr>
          <w:p>
            <w:r>
              <w:rPr>
                <w:sz w:val="16"/>
              </w:rPr>
              <w:t>SYS-ELE</w:t>
            </w:r>
          </w:p>
        </w:tc>
        <w:tc>
          <w:tcPr>
            <w:tcW w:type="dxa" w:w="2160"/>
          </w:tcPr>
          <w:p>
            <w:r>
              <w:rPr>
                <w:sz w:val="16"/>
              </w:rPr>
              <w:t>Cables,trays,lighting,earthing,isolations</w:t>
            </w:r>
          </w:p>
        </w:tc>
        <w:tc>
          <w:tcPr>
            <w:tcW w:type="dxa" w:w="2160"/>
          </w:tcPr>
          <w:p>
            <w:r>
              <w:rPr>
                <w:sz w:val="16"/>
              </w:rPr>
              <w:t>Approvedtests and energisation/reinstatement</w:t>
            </w:r>
          </w:p>
        </w:tc>
        <w:tc>
          <w:tcPr>
            <w:tcW w:type="dxa" w:w="2160"/>
          </w:tcPr>
          <w:p>
            <w:r>
              <w:rPr>
                <w:sz w:val="16"/>
              </w:rPr>
              <w:t>Boundaries/values to agree</w:t>
            </w:r>
          </w:p>
        </w:tc>
      </w:tr>
      <w:tr>
        <w:tc>
          <w:tcPr>
            <w:tcW w:type="dxa" w:w="2160"/>
          </w:tcPr>
          <w:p>
            <w:r>
              <w:rPr>
                <w:sz w:val="16"/>
              </w:rPr>
              <w:t>SYS-PIP</w:t>
            </w:r>
          </w:p>
        </w:tc>
        <w:tc>
          <w:tcPr>
            <w:tcW w:type="dxa" w:w="2160"/>
          </w:tcPr>
          <w:p>
            <w:r>
              <w:rPr>
                <w:sz w:val="16"/>
              </w:rPr>
              <w:t>Lines,tie-ins,supports,tests,isolation/reinstatement</w:t>
            </w:r>
          </w:p>
        </w:tc>
        <w:tc>
          <w:tcPr>
            <w:tcW w:type="dxa" w:w="2160"/>
          </w:tcPr>
          <w:p>
            <w:r>
              <w:rPr>
                <w:sz w:val="16"/>
              </w:rPr>
              <w:t>Line-specifictests and operatingacceptance</w:t>
            </w:r>
          </w:p>
        </w:tc>
        <w:tc>
          <w:tcPr>
            <w:tcW w:type="dxa" w:w="2160"/>
          </w:tcPr>
          <w:p>
            <w:r>
              <w:rPr>
                <w:sz w:val="16"/>
              </w:rPr>
              <w:t>Required before relevantoldservice removal</w:t>
            </w:r>
          </w:p>
        </w:tc>
      </w:tr>
      <w:tr>
        <w:tc>
          <w:tcPr>
            <w:tcW w:type="dxa" w:w="2160"/>
          </w:tcPr>
          <w:p>
            <w:r>
              <w:rPr>
                <w:sz w:val="16"/>
              </w:rPr>
              <w:t>SYS-INS</w:t>
            </w:r>
          </w:p>
        </w:tc>
        <w:tc>
          <w:tcPr>
            <w:tcW w:type="dxa" w:w="2160"/>
          </w:tcPr>
          <w:p>
            <w:r>
              <w:rPr>
                <w:sz w:val="16"/>
              </w:rPr>
              <w:t>Loops,functions,isolations and restoration</w:t>
            </w:r>
          </w:p>
        </w:tc>
        <w:tc>
          <w:tcPr>
            <w:tcW w:type="dxa" w:w="2160"/>
          </w:tcPr>
          <w:p>
            <w:r>
              <w:rPr>
                <w:sz w:val="16"/>
              </w:rPr>
              <w:t>Loop/functiontest records</w:t>
            </w:r>
          </w:p>
        </w:tc>
        <w:tc>
          <w:tcPr>
            <w:tcW w:type="dxa" w:w="2160"/>
          </w:tcPr>
          <w:p>
            <w:r>
              <w:rPr>
                <w:sz w:val="16"/>
              </w:rPr>
              <w:t>Applicable scope to confirm</w:t>
            </w:r>
          </w:p>
        </w:tc>
      </w:tr>
      <w:tr>
        <w:tc>
          <w:tcPr>
            <w:tcW w:type="dxa" w:w="2160"/>
          </w:tcPr>
          <w:p>
            <w:r>
              <w:rPr>
                <w:sz w:val="16"/>
              </w:rPr>
              <w:t>SYS-LSA</w:t>
            </w:r>
          </w:p>
        </w:tc>
        <w:tc>
          <w:tcPr>
            <w:tcW w:type="dxa" w:w="2160"/>
          </w:tcPr>
          <w:p>
            <w:r>
              <w:rPr>
                <w:sz w:val="16"/>
              </w:rPr>
              <w:t>Muster,access,lifeboatinterfaces,safetystudyactions</w:t>
            </w:r>
          </w:p>
        </w:tc>
        <w:tc>
          <w:tcPr>
            <w:tcW w:type="dxa" w:w="2160"/>
          </w:tcPr>
          <w:p>
            <w:r>
              <w:rPr>
                <w:sz w:val="16"/>
              </w:rPr>
              <w:t>Approvedcommissioning/operationalrecords</w:t>
            </w:r>
          </w:p>
        </w:tc>
        <w:tc>
          <w:tcPr>
            <w:tcW w:type="dxa" w:w="2160"/>
          </w:tcPr>
          <w:p>
            <w:r>
              <w:rPr>
                <w:sz w:val="16"/>
              </w:rPr>
              <w:t>Scope/vendorrequirements to confirm</w:t>
            </w:r>
          </w:p>
        </w:tc>
      </w:tr>
      <w:tr>
        <w:tc>
          <w:tcPr>
            <w:tcW w:type="dxa" w:w="2160"/>
          </w:tcPr>
          <w:p>
            <w:r>
              <w:rPr>
                <w:sz w:val="16"/>
              </w:rPr>
              <w:t>SYS-DMO</w:t>
            </w:r>
          </w:p>
        </w:tc>
        <w:tc>
          <w:tcPr>
            <w:tcW w:type="dxa" w:w="2160"/>
          </w:tcPr>
          <w:p>
            <w:r>
              <w:rPr>
                <w:sz w:val="16"/>
              </w:rPr>
              <w:t>Isolation,stability,demolition/backload</w:t>
            </w:r>
          </w:p>
        </w:tc>
        <w:tc>
          <w:tcPr>
            <w:tcW w:type="dxa" w:w="2160"/>
          </w:tcPr>
          <w:p>
            <w:r>
              <w:rPr>
                <w:sz w:val="16"/>
              </w:rPr>
              <w:t>Newbridge/servicesaccepted + demolitionrelease</w:t>
            </w:r>
          </w:p>
        </w:tc>
        <w:tc>
          <w:tcPr>
            <w:tcW w:type="dxa" w:w="2160"/>
          </w:tcPr>
          <w:p>
            <w:r>
              <w:rPr>
                <w:sz w:val="16"/>
              </w:rPr>
              <w:t>No removal on structuralplacementalone</w:t>
            </w:r>
          </w:p>
        </w:tc>
      </w:tr>
    </w:tbl>
    <w:p>
      <w:r>
        <w:t>Agree the client terminology and certificate criteria for construction completion, readiness for testing, readiness for service and contractual acceptance. These are proposed planning categories, not asserted contract terms. Define test values, punch classification, reinstatement/isolation, applicable manuals/spares/training and asset-data requirements. BHS demolition remains dependent on new-bridge/service acceptance and engineered removal release.</w:t>
      </w:r>
    </w:p>
    <w:p>
      <w:pPr>
        <w:pStyle w:val="Heading1"/>
      </w:pPr>
      <w:r>
        <w:t>11. Gate for declaring the management package complete</w:t>
      </w:r>
    </w:p>
    <w:p>
      <w:pPr>
        <w:pStyle w:val="ListBullet"/>
      </w:pPr>
      <w:r>
        <w:t>Every applicable contract, scope and design requirement must map to a deliverable, verification method, owner and acceptance authority.</w:t>
      </w:r>
    </w:p>
    <w:p>
      <w:pPr>
        <w:pStyle w:val="ListBullet"/>
      </w:pPr>
      <w:r>
        <w:t>Scope, MTO, engineering, procurement, schedule, resources, cost/cash, methods, quality/HSE and turnover must be internally consistent.</w:t>
      </w:r>
    </w:p>
    <w:p>
      <w:pPr>
        <w:pStyle w:val="ListBullet"/>
      </w:pPr>
      <w:r>
        <w:t>Resolve project-specific inputs and uncertainty, or obtain an authorised decision on a permissible residual risk. A management exception must not conceal missing technical adequacy.</w:t>
      </w:r>
    </w:p>
    <w:p>
      <w:pPr>
        <w:pStyle w:val="ListBullet"/>
      </w:pPr>
      <w:r>
        <w:t>Close review findings against actual evidence. Perform suitably independent reviews where required.</w:t>
      </w:r>
    </w:p>
    <w:p>
      <w:pPr>
        <w:pStyle w:val="ListBullet"/>
      </w:pPr>
      <w:r>
        <w:t>Check issued-file readability and successful recipient receipt/opening through the agreed delivery route. Local checksums do not prove delivery.</w:t>
      </w:r>
    </w:p>
    <w:p>
      <w:pPr>
        <w:pStyle w:val="ListBullet"/>
      </w:pPr>
      <w:r>
        <w:t>State engineering approval, AFC release, supplier commitments, physical work and client acceptance only when supported by evidence.</w:t>
      </w:r>
    </w:p>
    <w:p>
      <w:r>
        <w:t>Next steps are to populate project-specific inputs, resolve the priority engineering/schedule/commercial gaps and complete competent reviews. This self-review improves the preparation but does not certify completeness or establish superiority over another EPC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