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BRRP — Latest Upload Batch Analysis and Incorporation Audit</w:t>
      </w:r>
    </w:p>
    <w:p>
      <w:r>
        <w:t>P8 |25 October 2026 | Latest 16 uploadedfiles | Not a completed all-history audit or design approval</w:t>
      </w:r>
    </w:p>
    <w:p>
      <w:r>
        <w:t>All 16 files were downloaded, hashed, compared with earlier local copies and registered. Within this batch there are 14 unique contents and 754 PDF pages; six unique contents were not present among earlier downloaded copies. Text was extracted and indexed;20 low-text pages were OCR-screened; relevant clauses and key source drawings were examined. This is a focused input/impact review, not an independent technical validation of every page or a completed audit of all historical uploads.</w:t>
      </w:r>
    </w:p>
    <w:p>
      <w:pPr>
        <w:pStyle w:val="Heading1"/>
      </w:pPr>
      <w:r>
        <w:t>1. Principal conclusions</w:t>
      </w:r>
    </w:p>
    <w:p>
      <w:pPr>
        <w:pStyle w:val="ListBullet"/>
      </w:pPr>
      <w:r>
        <w:t>The main dimensioned tender GAs for all three replacement/new bridges are now positivelylocated, together with two-sheetICPdetails andBHSlanding/demolitiondrawings. Earlier source-availability gaps must be updated; finalverification/AFCstatus is not implied.</w:t>
      </w:r>
    </w:p>
    <w:p>
      <w:pPr>
        <w:pStyle w:val="ListBullet"/>
      </w:pPr>
      <w:r>
        <w:t>The 23 April 2026 addendum supplies a specific bridge/platformengineeringmatrix. Fiveplatforms requireglobal deck in-placeanalysis and eightlocal deck in-placeanalysis in theannexure; thelist isnotexhaustive.</w:t>
      </w:r>
    </w:p>
    <w:p>
      <w:pPr>
        <w:pStyle w:val="ListBullet"/>
      </w:pPr>
      <w:r>
        <w:t>AppendixC 8 provides actualDCI/MCIreview, predecessor, engineeringprogress and two-stagePSrequirements. The earlier 4 calendardayreviewplaceholder and proposedprogressrules require correction/reconciliation.</w:t>
      </w:r>
    </w:p>
    <w:p>
      <w:pPr>
        <w:pStyle w:val="ListBullet"/>
      </w:pPr>
      <w:r>
        <w:t>C9/C 10 provide vessel-audit and critical pre-sail requirements; blankforms are not clearanceevidence.</w:t>
      </w:r>
    </w:p>
    <w:p>
      <w:pPr>
        <w:pStyle w:val="ListBullet"/>
      </w:pPr>
      <w:r>
        <w:t>B6/A 9 specify retained bidder project management/qualifying activity, workdivision andcommitmentevidence; qualifications cannotbeinferredfromcapabilityclaims.</w:t>
      </w:r>
    </w:p>
    <w:p>
      <w:pPr>
        <w:pStyle w:val="ListBullet"/>
      </w:pPr>
      <w:r>
        <w:t>Match the revised technical SCC and A3 announced on the 23 April cover against the actual revised attachments. Metadata and filenames alone cannot establish precedence.</w:t>
      </w:r>
    </w:p>
    <w:p>
      <w:pPr>
        <w:pStyle w:val="Heading1"/>
      </w:pPr>
      <w:r>
        <w:t>2. File-by-file incorporation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6"/>
              </w:rPr>
              <w:t>File</w:t>
            </w:r>
          </w:p>
        </w:tc>
        <w:tc>
          <w:tcPr>
            <w:tcW w:type="dxa" w:w="2160"/>
          </w:tcPr>
          <w:p>
            <w:r>
              <w:rPr>
                <w:sz w:val="16"/>
              </w:rPr>
              <w:t>Pages</w:t>
            </w:r>
          </w:p>
        </w:tc>
        <w:tc>
          <w:tcPr>
            <w:tcW w:type="dxa" w:w="2160"/>
          </w:tcPr>
          <w:p>
            <w:r>
              <w:rPr>
                <w:sz w:val="16"/>
              </w:rPr>
              <w:t>Content / use</w:t>
            </w:r>
          </w:p>
        </w:tc>
        <w:tc>
          <w:tcPr>
            <w:tcW w:type="dxa" w:w="2160"/>
          </w:tcPr>
          <w:p>
            <w:r>
              <w:rPr>
                <w:sz w:val="16"/>
              </w:rPr>
              <w:t>Version/duplicate</w:t>
            </w:r>
          </w:p>
        </w:tc>
      </w:tr>
      <w:tr>
        <w:tc>
          <w:tcPr>
            <w:tcW w:type="dxa" w:w="2160"/>
          </w:tcPr>
          <w:p>
            <w:r>
              <w:rPr>
                <w:sz w:val="16"/>
              </w:rPr>
              <w:t>Addendum (1).pdf</w:t>
            </w:r>
          </w:p>
        </w:tc>
        <w:tc>
          <w:tcPr>
            <w:tcW w:type="dxa" w:w="2160"/>
          </w:tcPr>
          <w:p>
            <w:r>
              <w:rPr>
                <w:sz w:val="16"/>
              </w:rPr>
              <w:t>7</w:t>
            </w:r>
          </w:p>
        </w:tc>
        <w:tc>
          <w:tcPr>
            <w:tcW w:type="dxa" w:w="2160"/>
          </w:tcPr>
          <w:p>
            <w:r>
              <w:rPr>
                <w:sz w:val="16"/>
              </w:rPr>
              <w:t>Amended vendor/agency and technical/commercial provisions; Apply with A9/A11/A16/B6 and payment/cost controls; earlier identical content retained</w:t>
            </w:r>
          </w:p>
        </w:tc>
        <w:tc>
          <w:tcPr>
            <w:tcW w:type="dxa" w:w="2160"/>
          </w:tcPr>
          <w:p>
            <w:r>
              <w:rPr>
                <w:sz w:val="16"/>
              </w:rPr>
              <w:t>Exact earlier copy</w:t>
            </w:r>
          </w:p>
        </w:tc>
      </w:tr>
      <w:tr>
        <w:tc>
          <w:tcPr>
            <w:tcW w:type="dxa" w:w="2160"/>
          </w:tcPr>
          <w:p>
            <w:r>
              <w:rPr>
                <w:sz w:val="16"/>
              </w:rPr>
              <w:t>Addendum_Structure_SOW.pdf</w:t>
            </w:r>
          </w:p>
        </w:tc>
        <w:tc>
          <w:tcPr>
            <w:tcW w:type="dxa" w:w="2160"/>
          </w:tcPr>
          <w:p>
            <w:r>
              <w:rPr>
                <w:sz w:val="16"/>
              </w:rPr>
              <w:t>1</w:t>
            </w:r>
          </w:p>
        </w:tc>
        <w:tc>
          <w:tcPr>
            <w:tcW w:type="dxa" w:w="2160"/>
          </w:tcPr>
          <w:p>
            <w:r>
              <w:rPr>
                <w:sz w:val="16"/>
              </w:rPr>
              <w:t>ICG/ICP/BHS jacket strengthening before new bridge installation; Existing scope/design/MTO/installation predecessor; identical earlier copy</w:t>
            </w:r>
          </w:p>
        </w:tc>
        <w:tc>
          <w:tcPr>
            <w:tcW w:type="dxa" w:w="2160"/>
          </w:tcPr>
          <w:p>
            <w:r>
              <w:rPr>
                <w:sz w:val="16"/>
              </w:rPr>
              <w:t>Exact earlier copy</w:t>
            </w:r>
          </w:p>
        </w:tc>
      </w:tr>
      <w:tr>
        <w:tc>
          <w:tcPr>
            <w:tcW w:type="dxa" w:w="2160"/>
          </w:tcPr>
          <w:p>
            <w:r>
              <w:rPr>
                <w:sz w:val="16"/>
              </w:rPr>
              <w:t>Addendum.pdf</w:t>
            </w:r>
          </w:p>
        </w:tc>
        <w:tc>
          <w:tcPr>
            <w:tcW w:type="dxa" w:w="2160"/>
          </w:tcPr>
          <w:p>
            <w:r>
              <w:rPr>
                <w:sz w:val="16"/>
              </w:rPr>
              <w:t>7</w:t>
            </w:r>
          </w:p>
        </w:tc>
        <w:tc>
          <w:tcPr>
            <w:tcW w:type="dxa" w:w="2160"/>
          </w:tcPr>
          <w:p>
            <w:r>
              <w:rPr>
                <w:sz w:val="16"/>
              </w:rPr>
              <w:t>Exact duplicate of Addendum (1).pdf; One canonical amendment content; retain both filenames in inventory</w:t>
            </w:r>
          </w:p>
        </w:tc>
        <w:tc>
          <w:tcPr>
            <w:tcW w:type="dxa" w:w="2160"/>
          </w:tcPr>
          <w:p>
            <w:r>
              <w:rPr>
                <w:sz w:val="16"/>
              </w:rPr>
              <w:t>Same-batch duplicate: Addendum (1).pdf</w:t>
            </w:r>
          </w:p>
        </w:tc>
      </w:tr>
      <w:tr>
        <w:tc>
          <w:tcPr>
            <w:tcW w:type="dxa" w:w="2160"/>
          </w:tcPr>
          <w:p>
            <w:r>
              <w:rPr>
                <w:sz w:val="16"/>
              </w:rPr>
              <w:t>AddendumtoA 3.pdf</w:t>
            </w:r>
          </w:p>
        </w:tc>
        <w:tc>
          <w:tcPr>
            <w:tcW w:type="dxa" w:w="2160"/>
          </w:tcPr>
          <w:p>
            <w:r>
              <w:rPr>
                <w:sz w:val="16"/>
              </w:rPr>
              <w:t>2</w:t>
            </w:r>
          </w:p>
        </w:tc>
        <w:tc>
          <w:tcPr>
            <w:tcW w:type="dxa" w:w="2160"/>
          </w:tcPr>
          <w:p>
            <w:r>
              <w:rPr>
                <w:sz w:val="16"/>
              </w:rPr>
              <w:t>Currency/import/local-content payment/pricing provisions; Commercial/bid-price/invoice currency controls; identical earlier copy</w:t>
            </w:r>
          </w:p>
        </w:tc>
        <w:tc>
          <w:tcPr>
            <w:tcW w:type="dxa" w:w="2160"/>
          </w:tcPr>
          <w:p>
            <w:r>
              <w:rPr>
                <w:sz w:val="16"/>
              </w:rPr>
              <w:t>Exact earlier copy</w:t>
            </w:r>
          </w:p>
        </w:tc>
      </w:tr>
      <w:tr>
        <w:tc>
          <w:tcPr>
            <w:tcW w:type="dxa" w:w="2160"/>
          </w:tcPr>
          <w:p>
            <w:r>
              <w:rPr>
                <w:sz w:val="16"/>
              </w:rPr>
              <w:t>Appendix A-9.pdf</w:t>
            </w:r>
          </w:p>
        </w:tc>
        <w:tc>
          <w:tcPr>
            <w:tcW w:type="dxa" w:w="2160"/>
          </w:tcPr>
          <w:p>
            <w:r>
              <w:rPr>
                <w:sz w:val="16"/>
              </w:rPr>
              <w:t>7</w:t>
            </w:r>
          </w:p>
        </w:tc>
        <w:tc>
          <w:tcPr>
            <w:tcW w:type="dxa" w:w="2160"/>
          </w:tcPr>
          <w:p>
            <w:r>
              <w:rPr>
                <w:sz w:val="16"/>
              </w:rPr>
              <w:t>Bid technical confirmations and evidence requirements; OCR-reviewed; originalitem 13 must be read with deleting addendum; no eligibility self-certification</w:t>
            </w:r>
          </w:p>
        </w:tc>
        <w:tc>
          <w:tcPr>
            <w:tcW w:type="dxa" w:w="2160"/>
          </w:tcPr>
          <w:p>
            <w:r>
              <w:rPr>
                <w:sz w:val="16"/>
              </w:rPr>
              <w:t>Exact earlier copy</w:t>
            </w:r>
          </w:p>
        </w:tc>
      </w:tr>
      <w:tr>
        <w:tc>
          <w:tcPr>
            <w:tcW w:type="dxa" w:w="2160"/>
          </w:tcPr>
          <w:p>
            <w:r>
              <w:rPr>
                <w:sz w:val="16"/>
              </w:rPr>
              <w:t>Appendix A-11 Offshore SVL Revision 12.1.pdf</w:t>
            </w:r>
          </w:p>
        </w:tc>
        <w:tc>
          <w:tcPr>
            <w:tcW w:type="dxa" w:w="2160"/>
          </w:tcPr>
          <w:p>
            <w:r>
              <w:rPr>
                <w:sz w:val="16"/>
              </w:rPr>
              <w:t>80</w:t>
            </w:r>
          </w:p>
        </w:tc>
        <w:tc>
          <w:tcPr>
            <w:tcW w:type="dxa" w:w="2160"/>
          </w:tcPr>
          <w:p>
            <w:r>
              <w:rPr>
                <w:sz w:val="16"/>
              </w:rPr>
              <w:t>Suggested vendor reference list Rev 12.1; Retain reference; 23 Aprcover names 12.3; current revision/applicability reconciliation open</w:t>
            </w:r>
          </w:p>
        </w:tc>
        <w:tc>
          <w:tcPr>
            <w:tcW w:type="dxa" w:w="2160"/>
          </w:tcPr>
          <w:p>
            <w:r>
              <w:rPr>
                <w:sz w:val="16"/>
              </w:rPr>
              <w:t>Exact earlier copy</w:t>
            </w:r>
          </w:p>
        </w:tc>
      </w:tr>
      <w:tr>
        <w:tc>
          <w:tcPr>
            <w:tcW w:type="dxa" w:w="2160"/>
          </w:tcPr>
          <w:p>
            <w:r>
              <w:rPr>
                <w:sz w:val="16"/>
              </w:rPr>
              <w:t>Appendix A-16 List of Agencies.pdf</w:t>
            </w:r>
          </w:p>
        </w:tc>
        <w:tc>
          <w:tcPr>
            <w:tcW w:type="dxa" w:w="2160"/>
          </w:tcPr>
          <w:p>
            <w:r>
              <w:rPr>
                <w:sz w:val="16"/>
              </w:rPr>
              <w:t>10</w:t>
            </w:r>
          </w:p>
        </w:tc>
        <w:tc>
          <w:tcPr>
            <w:tcW w:type="dxa" w:w="2160"/>
          </w:tcPr>
          <w:p>
            <w:r>
              <w:rPr>
                <w:sz w:val="16"/>
              </w:rPr>
              <w:t>Activity-wise agency reference list Rev 10.7; Read with reference-only amendment; qualifications/commitments remain to verify</w:t>
            </w:r>
          </w:p>
        </w:tc>
        <w:tc>
          <w:tcPr>
            <w:tcW w:type="dxa" w:w="2160"/>
          </w:tcPr>
          <w:p>
            <w:r>
              <w:rPr>
                <w:sz w:val="16"/>
              </w:rPr>
              <w:t>Exact earlier copy</w:t>
            </w:r>
          </w:p>
        </w:tc>
      </w:tr>
      <w:tr>
        <w:tc>
          <w:tcPr>
            <w:tcW w:type="dxa" w:w="2160"/>
          </w:tcPr>
          <w:p>
            <w:r>
              <w:rPr>
                <w:sz w:val="16"/>
              </w:rPr>
              <w:t>Appendix A-17.pdf</w:t>
            </w:r>
          </w:p>
        </w:tc>
        <w:tc>
          <w:tcPr>
            <w:tcW w:type="dxa" w:w="2160"/>
          </w:tcPr>
          <w:p>
            <w:r>
              <w:rPr>
                <w:sz w:val="16"/>
              </w:rPr>
              <w:t>3</w:t>
            </w:r>
          </w:p>
        </w:tc>
        <w:tc>
          <w:tcPr>
            <w:tcW w:type="dxa" w:w="2160"/>
          </w:tcPr>
          <w:p>
            <w:r>
              <w:rPr>
                <w:sz w:val="16"/>
              </w:rPr>
              <w:t>Subcontractor/yard/marine commitment-letter formats; Prepare actual signed commitments; forms are not resource-availability evidence</w:t>
            </w:r>
          </w:p>
        </w:tc>
        <w:tc>
          <w:tcPr>
            <w:tcW w:type="dxa" w:w="2160"/>
          </w:tcPr>
          <w:p>
            <w:r>
              <w:rPr>
                <w:sz w:val="16"/>
              </w:rPr>
              <w:t>Exact earlier copy</w:t>
            </w:r>
          </w:p>
        </w:tc>
      </w:tr>
      <w:tr>
        <w:tc>
          <w:tcPr>
            <w:tcW w:type="dxa" w:w="2160"/>
          </w:tcPr>
          <w:p>
            <w:r>
              <w:rPr>
                <w:sz w:val="16"/>
              </w:rPr>
              <w:t>Appendix B-5.pdf</w:t>
            </w:r>
          </w:p>
        </w:tc>
        <w:tc>
          <w:tcPr>
            <w:tcW w:type="dxa" w:w="2160"/>
          </w:tcPr>
          <w:p>
            <w:r>
              <w:rPr>
                <w:sz w:val="16"/>
              </w:rPr>
              <w:t>1</w:t>
            </w:r>
          </w:p>
        </w:tc>
        <w:tc>
          <w:tcPr>
            <w:tcW w:type="dxa" w:w="2160"/>
          </w:tcPr>
          <w:p>
            <w:r>
              <w:rPr>
                <w:sz w:val="16"/>
              </w:rPr>
              <w:t>Experience disclosure and supporting evidence; OCR-reviewed; reconcile actual BEC/amendments, consortium roles and threshold references</w:t>
            </w:r>
          </w:p>
        </w:tc>
        <w:tc>
          <w:tcPr>
            <w:tcW w:type="dxa" w:w="2160"/>
          </w:tcPr>
          <w:p>
            <w:r>
              <w:rPr>
                <w:sz w:val="16"/>
              </w:rPr>
              <w:t>Exact earlier copy</w:t>
            </w:r>
          </w:p>
        </w:tc>
      </w:tr>
      <w:tr>
        <w:tc>
          <w:tcPr>
            <w:tcW w:type="dxa" w:w="2160"/>
          </w:tcPr>
          <w:p>
            <w:r>
              <w:rPr>
                <w:sz w:val="16"/>
              </w:rPr>
              <w:t>Appendix B-6.pdf</w:t>
            </w:r>
          </w:p>
        </w:tc>
        <w:tc>
          <w:tcPr>
            <w:tcW w:type="dxa" w:w="2160"/>
          </w:tcPr>
          <w:p>
            <w:r>
              <w:rPr>
                <w:sz w:val="16"/>
              </w:rPr>
              <w:t>1</w:t>
            </w:r>
          </w:p>
        </w:tc>
        <w:tc>
          <w:tcPr>
            <w:tcW w:type="dxa" w:w="2160"/>
          </w:tcPr>
          <w:p>
            <w:r>
              <w:rPr>
                <w:sz w:val="16"/>
              </w:rPr>
              <w:t>Work division, location and subcontracting restrictions; OCR-reviewed; retain bidder project management/required qualifying activity perBEC; no whole-works back-to-back subcontract</w:t>
            </w:r>
          </w:p>
        </w:tc>
        <w:tc>
          <w:tcPr>
            <w:tcW w:type="dxa" w:w="2160"/>
          </w:tcPr>
          <w:p>
            <w:r>
              <w:rPr>
                <w:sz w:val="16"/>
              </w:rPr>
              <w:t>Newuniquecontent</w:t>
            </w:r>
          </w:p>
        </w:tc>
      </w:tr>
      <w:tr>
        <w:tc>
          <w:tcPr>
            <w:tcW w:type="dxa" w:w="2160"/>
          </w:tcPr>
          <w:p>
            <w:r>
              <w:rPr>
                <w:sz w:val="16"/>
              </w:rPr>
              <w:t>Appendix C-9.pdf</w:t>
            </w:r>
          </w:p>
        </w:tc>
        <w:tc>
          <w:tcPr>
            <w:tcW w:type="dxa" w:w="2160"/>
          </w:tcPr>
          <w:p>
            <w:r>
              <w:rPr>
                <w:sz w:val="16"/>
              </w:rPr>
              <w:t>21</w:t>
            </w:r>
          </w:p>
        </w:tc>
        <w:tc>
          <w:tcPr>
            <w:tcW w:type="dxa" w:w="2160"/>
          </w:tcPr>
          <w:p>
            <w:r>
              <w:rPr>
                <w:sz w:val="16"/>
              </w:rPr>
              <w:t>Prescribed vessel safety audit and critical pre-sail documents; Marine readiness/audit/certification/observation closure; actual audit not performed</w:t>
            </w:r>
          </w:p>
        </w:tc>
        <w:tc>
          <w:tcPr>
            <w:tcW w:type="dxa" w:w="2160"/>
          </w:tcPr>
          <w:p>
            <w:r>
              <w:rPr>
                <w:sz w:val="16"/>
              </w:rPr>
              <w:t>Newuniquecontent</w:t>
            </w:r>
          </w:p>
        </w:tc>
      </w:tr>
      <w:tr>
        <w:tc>
          <w:tcPr>
            <w:tcW w:type="dxa" w:w="2160"/>
          </w:tcPr>
          <w:p>
            <w:r>
              <w:rPr>
                <w:sz w:val="16"/>
              </w:rPr>
              <w:t>Appendix C-8 DCI MCI.pdf</w:t>
            </w:r>
          </w:p>
        </w:tc>
        <w:tc>
          <w:tcPr>
            <w:tcW w:type="dxa" w:w="2160"/>
          </w:tcPr>
          <w:p>
            <w:r>
              <w:rPr>
                <w:sz w:val="16"/>
              </w:rPr>
              <w:t>67</w:t>
            </w:r>
          </w:p>
        </w:tc>
        <w:tc>
          <w:tcPr>
            <w:tcW w:type="dxa" w:w="2160"/>
          </w:tcPr>
          <w:p>
            <w:r>
              <w:rPr>
                <w:sz w:val="16"/>
              </w:rPr>
              <w:t>Document/material control, predecessor stages, review and progress rules; Replace provisional review/progress assumptions; develop approved projectDCI/MCI</w:t>
            </w:r>
          </w:p>
        </w:tc>
        <w:tc>
          <w:tcPr>
            <w:tcW w:type="dxa" w:w="2160"/>
          </w:tcPr>
          <w:p>
            <w:r>
              <w:rPr>
                <w:sz w:val="16"/>
              </w:rPr>
              <w:t>Newuniquecontent</w:t>
            </w:r>
          </w:p>
        </w:tc>
      </w:tr>
      <w:tr>
        <w:tc>
          <w:tcPr>
            <w:tcW w:type="dxa" w:w="2160"/>
          </w:tcPr>
          <w:p>
            <w:r>
              <w:rPr>
                <w:sz w:val="16"/>
              </w:rPr>
              <w:t>Appendix C-10.pdf</w:t>
            </w:r>
          </w:p>
        </w:tc>
        <w:tc>
          <w:tcPr>
            <w:tcW w:type="dxa" w:w="2160"/>
          </w:tcPr>
          <w:p>
            <w:r>
              <w:rPr>
                <w:sz w:val="16"/>
              </w:rPr>
              <w:t>19</w:t>
            </w:r>
          </w:p>
        </w:tc>
        <w:tc>
          <w:tcPr>
            <w:tcW w:type="dxa" w:w="2160"/>
          </w:tcPr>
          <w:p>
            <w:r>
              <w:rPr>
                <w:sz w:val="16"/>
              </w:rPr>
              <w:t>Marine Safety Cell vessel/crew/equipment audit checklist; Vessel particulars, certificates, equipment service and crew evidence; actual clearance not evidenced</w:t>
            </w:r>
          </w:p>
        </w:tc>
        <w:tc>
          <w:tcPr>
            <w:tcW w:type="dxa" w:w="2160"/>
          </w:tcPr>
          <w:p>
            <w:r>
              <w:rPr>
                <w:sz w:val="16"/>
              </w:rPr>
              <w:t>Newuniquecontent</w:t>
            </w:r>
          </w:p>
        </w:tc>
      </w:tr>
      <w:tr>
        <w:tc>
          <w:tcPr>
            <w:tcW w:type="dxa" w:w="2160"/>
          </w:tcPr>
          <w:p>
            <w:r>
              <w:rPr>
                <w:sz w:val="16"/>
              </w:rPr>
              <w:t>Combined_Addendum_2.pdf</w:t>
            </w:r>
          </w:p>
        </w:tc>
        <w:tc>
          <w:tcPr>
            <w:tcW w:type="dxa" w:w="2160"/>
          </w:tcPr>
          <w:p>
            <w:r>
              <w:rPr>
                <w:sz w:val="16"/>
              </w:rPr>
              <w:t>250</w:t>
            </w:r>
          </w:p>
        </w:tc>
        <w:tc>
          <w:tcPr>
            <w:tcW w:type="dxa" w:w="2160"/>
          </w:tcPr>
          <w:p>
            <w:r>
              <w:rPr>
                <w:sz w:val="16"/>
              </w:rPr>
              <w:t>Piping design/stress/fabrication/installation/insulation specifications; Piping stress/service-support/procurement/QA/test applicability; standards attached do not automatically add equipment scope</w:t>
            </w:r>
          </w:p>
        </w:tc>
        <w:tc>
          <w:tcPr>
            <w:tcW w:type="dxa" w:w="2160"/>
          </w:tcPr>
          <w:p>
            <w:r>
              <w:rPr>
                <w:sz w:val="16"/>
              </w:rPr>
              <w:t>Newuniquecontent</w:t>
            </w:r>
          </w:p>
        </w:tc>
      </w:tr>
      <w:tr>
        <w:tc>
          <w:tcPr>
            <w:tcW w:type="dxa" w:w="2160"/>
          </w:tcPr>
          <w:p>
            <w:r>
              <w:rPr>
                <w:sz w:val="16"/>
              </w:rPr>
              <w:t>Combined_Addendum_1 (1).pdf</w:t>
            </w:r>
          </w:p>
        </w:tc>
        <w:tc>
          <w:tcPr>
            <w:tcW w:type="dxa" w:w="2160"/>
          </w:tcPr>
          <w:p>
            <w:r>
              <w:rPr>
                <w:sz w:val="16"/>
              </w:rPr>
              <w:t>285</w:t>
            </w:r>
          </w:p>
        </w:tc>
        <w:tc>
          <w:tcPr>
            <w:tcW w:type="dxa" w:w="2160"/>
          </w:tcPr>
          <w:p>
            <w:r>
              <w:rPr>
                <w:sz w:val="16"/>
              </w:rPr>
              <w:t>23 Apr 2026 cover; engineering matrix; revised drawing index; actual structural and discipline sources; Close source GA availability gaps; revise deliverables/DCI/schedule/specification mapping</w:t>
            </w:r>
          </w:p>
        </w:tc>
        <w:tc>
          <w:tcPr>
            <w:tcW w:type="dxa" w:w="2160"/>
          </w:tcPr>
          <w:p>
            <w:r>
              <w:rPr>
                <w:sz w:val="16"/>
              </w:rPr>
              <w:t>Newuniquecontent</w:t>
            </w:r>
          </w:p>
        </w:tc>
      </w:tr>
      <w:tr>
        <w:tc>
          <w:tcPr>
            <w:tcW w:type="dxa" w:w="2160"/>
          </w:tcPr>
          <w:p>
            <w:r>
              <w:rPr>
                <w:sz w:val="16"/>
              </w:rPr>
              <w:t>Combined_Addendum_1.pdf</w:t>
            </w:r>
          </w:p>
        </w:tc>
        <w:tc>
          <w:tcPr>
            <w:tcW w:type="dxa" w:w="2160"/>
          </w:tcPr>
          <w:p>
            <w:r>
              <w:rPr>
                <w:sz w:val="16"/>
              </w:rPr>
              <w:t>285</w:t>
            </w:r>
          </w:p>
        </w:tc>
        <w:tc>
          <w:tcPr>
            <w:tcW w:type="dxa" w:w="2160"/>
          </w:tcPr>
          <w:p>
            <w:r>
              <w:rPr>
                <w:sz w:val="16"/>
              </w:rPr>
              <w:t>Exact duplicate of Combined_Addendum_1 (1).pdf; One canonical 285 page content; preserve second filename and hash linkage</w:t>
            </w:r>
          </w:p>
        </w:tc>
        <w:tc>
          <w:tcPr>
            <w:tcW w:type="dxa" w:w="2160"/>
          </w:tcPr>
          <w:p>
            <w:r>
              <w:rPr>
                <w:sz w:val="16"/>
              </w:rPr>
              <w:t>Same-batch duplicate: Combined_Addendum_1 (1).pdf</w:t>
            </w:r>
          </w:p>
        </w:tc>
      </w:tr>
    </w:tbl>
    <w:p>
      <w:pPr>
        <w:pStyle w:val="Heading1"/>
      </w:pPr>
      <w:r>
        <w:t>3. Changes to engineering source status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6"/>
              </w:rPr>
              <w:t>Drawing</w:t>
            </w:r>
          </w:p>
        </w:tc>
        <w:tc>
          <w:tcPr>
            <w:tcW w:type="dxa" w:w="2160"/>
          </w:tcPr>
          <w:p>
            <w:r>
              <w:rPr>
                <w:sz w:val="16"/>
              </w:rPr>
              <w:t>Description</w:t>
            </w:r>
          </w:p>
        </w:tc>
        <w:tc>
          <w:tcPr>
            <w:tcW w:type="dxa" w:w="2160"/>
          </w:tcPr>
          <w:p>
            <w:r>
              <w:rPr>
                <w:sz w:val="16"/>
              </w:rPr>
              <w:t>CombinedAddendum 1 pages</w:t>
            </w:r>
          </w:p>
        </w:tc>
        <w:tc>
          <w:tcPr>
            <w:tcW w:type="dxa" w:w="2160"/>
          </w:tcPr>
          <w:p>
            <w:r>
              <w:rPr>
                <w:sz w:val="16"/>
              </w:rPr>
              <w:t>Status</w:t>
            </w:r>
          </w:p>
        </w:tc>
      </w:tr>
      <w:tr>
        <w:tc>
          <w:tcPr>
            <w:tcW w:type="dxa" w:w="2160"/>
          </w:tcPr>
          <w:p>
            <w:r>
              <w:rPr>
                <w:sz w:val="16"/>
              </w:rPr>
              <w:t>B774-000-83-43-0001</w:t>
            </w:r>
          </w:p>
        </w:tc>
        <w:tc>
          <w:tcPr>
            <w:tcW w:type="dxa" w:w="2160"/>
          </w:tcPr>
          <w:p>
            <w:r>
              <w:rPr>
                <w:sz w:val="16"/>
              </w:rPr>
              <w:t>Generalnotes</w:t>
            </w:r>
          </w:p>
        </w:tc>
        <w:tc>
          <w:tcPr>
            <w:tcW w:type="dxa" w:w="2160"/>
          </w:tcPr>
          <w:p>
            <w:r>
              <w:rPr>
                <w:sz w:val="16"/>
              </w:rPr>
              <w:t>6-7</w:t>
            </w:r>
          </w:p>
        </w:tc>
        <w:tc>
          <w:tcPr>
            <w:tcW w:type="dxa" w:w="2160"/>
          </w:tcPr>
          <w:p>
            <w:r>
              <w:rPr>
                <w:sz w:val="16"/>
              </w:rPr>
              <w:t>Reference source;register 2 sheets</w:t>
            </w:r>
          </w:p>
        </w:tc>
      </w:tr>
      <w:tr>
        <w:tc>
          <w:tcPr>
            <w:tcW w:type="dxa" w:w="2160"/>
          </w:tcPr>
          <w:p>
            <w:r>
              <w:rPr>
                <w:sz w:val="16"/>
              </w:rPr>
              <w:t>B774-101-83-43-0001</w:t>
            </w:r>
          </w:p>
        </w:tc>
        <w:tc>
          <w:tcPr>
            <w:tcW w:type="dxa" w:w="2160"/>
          </w:tcPr>
          <w:p>
            <w:r>
              <w:rPr>
                <w:sz w:val="16"/>
              </w:rPr>
              <w:t>ICW-ICG LD GA/details</w:t>
            </w:r>
          </w:p>
        </w:tc>
        <w:tc>
          <w:tcPr>
            <w:tcW w:type="dxa" w:w="2160"/>
          </w:tcPr>
          <w:p>
            <w:r>
              <w:rPr>
                <w:sz w:val="16"/>
              </w:rPr>
              <w:t>27-27</w:t>
            </w:r>
          </w:p>
        </w:tc>
        <w:tc>
          <w:tcPr>
            <w:tcW w:type="dxa" w:w="2160"/>
          </w:tcPr>
          <w:p>
            <w:r>
              <w:rPr>
                <w:sz w:val="16"/>
              </w:rPr>
              <w:t>Tender;revision conflict register 0/titleA</w:t>
            </w:r>
          </w:p>
        </w:tc>
      </w:tr>
      <w:tr>
        <w:tc>
          <w:tcPr>
            <w:tcW w:type="dxa" w:w="2160"/>
          </w:tcPr>
          <w:p>
            <w:r>
              <w:rPr>
                <w:sz w:val="16"/>
              </w:rPr>
              <w:t>B774-101-83-43-0002</w:t>
            </w:r>
          </w:p>
        </w:tc>
        <w:tc>
          <w:tcPr>
            <w:tcW w:type="dxa" w:w="2160"/>
          </w:tcPr>
          <w:p>
            <w:r>
              <w:rPr>
                <w:sz w:val="16"/>
              </w:rPr>
              <w:t>ICWlandingmodification</w:t>
            </w:r>
          </w:p>
        </w:tc>
        <w:tc>
          <w:tcPr>
            <w:tcW w:type="dxa" w:w="2160"/>
          </w:tcPr>
          <w:p>
            <w:r>
              <w:rPr>
                <w:sz w:val="16"/>
              </w:rPr>
              <w:t>28-28</w:t>
            </w:r>
          </w:p>
        </w:tc>
        <w:tc>
          <w:tcPr>
            <w:tcW w:type="dxa" w:w="2160"/>
          </w:tcPr>
          <w:p>
            <w:r>
              <w:rPr>
                <w:sz w:val="16"/>
              </w:rPr>
              <w:t>Tender;verifycurrentrevision</w:t>
            </w:r>
          </w:p>
        </w:tc>
      </w:tr>
      <w:tr>
        <w:tc>
          <w:tcPr>
            <w:tcW w:type="dxa" w:w="2160"/>
          </w:tcPr>
          <w:p>
            <w:r>
              <w:rPr>
                <w:sz w:val="16"/>
              </w:rPr>
              <w:t>B774-101-83-43-0003</w:t>
            </w:r>
          </w:p>
        </w:tc>
        <w:tc>
          <w:tcPr>
            <w:tcW w:type="dxa" w:w="2160"/>
          </w:tcPr>
          <w:p>
            <w:r>
              <w:rPr>
                <w:sz w:val="16"/>
              </w:rPr>
              <w:t>ICWlandingextension</w:t>
            </w:r>
          </w:p>
        </w:tc>
        <w:tc>
          <w:tcPr>
            <w:tcW w:type="dxa" w:w="2160"/>
          </w:tcPr>
          <w:p>
            <w:r>
              <w:rPr>
                <w:sz w:val="16"/>
              </w:rPr>
              <w:t>29-29</w:t>
            </w:r>
          </w:p>
        </w:tc>
        <w:tc>
          <w:tcPr>
            <w:tcW w:type="dxa" w:w="2160"/>
          </w:tcPr>
          <w:p>
            <w:r>
              <w:rPr>
                <w:sz w:val="16"/>
              </w:rPr>
              <w:t>Tender;verifycurrentrevision</w:t>
            </w:r>
          </w:p>
        </w:tc>
      </w:tr>
      <w:tr>
        <w:tc>
          <w:tcPr>
            <w:tcW w:type="dxa" w:w="2160"/>
          </w:tcPr>
          <w:p>
            <w:r>
              <w:rPr>
                <w:sz w:val="16"/>
              </w:rPr>
              <w:t>B774-101-83-43-0004</w:t>
            </w:r>
          </w:p>
        </w:tc>
        <w:tc>
          <w:tcPr>
            <w:tcW w:type="dxa" w:w="2160"/>
          </w:tcPr>
          <w:p>
            <w:r>
              <w:rPr>
                <w:sz w:val="16"/>
              </w:rPr>
              <w:t>ICGlandingmodification</w:t>
            </w:r>
          </w:p>
        </w:tc>
        <w:tc>
          <w:tcPr>
            <w:tcW w:type="dxa" w:w="2160"/>
          </w:tcPr>
          <w:p>
            <w:r>
              <w:rPr>
                <w:sz w:val="16"/>
              </w:rPr>
              <w:t>30-30</w:t>
            </w:r>
          </w:p>
        </w:tc>
        <w:tc>
          <w:tcPr>
            <w:tcW w:type="dxa" w:w="2160"/>
          </w:tcPr>
          <w:p>
            <w:r>
              <w:rPr>
                <w:sz w:val="16"/>
              </w:rPr>
              <w:t>Tender;mapassociatedextensiondetails</w:t>
            </w:r>
          </w:p>
        </w:tc>
      </w:tr>
      <w:tr>
        <w:tc>
          <w:tcPr>
            <w:tcW w:type="dxa" w:w="2160"/>
          </w:tcPr>
          <w:p>
            <w:r>
              <w:rPr>
                <w:sz w:val="16"/>
              </w:rPr>
              <w:t>B774-102-83-43-0001</w:t>
            </w:r>
          </w:p>
        </w:tc>
        <w:tc>
          <w:tcPr>
            <w:tcW w:type="dxa" w:w="2160"/>
          </w:tcPr>
          <w:p>
            <w:r>
              <w:rPr>
                <w:sz w:val="16"/>
              </w:rPr>
              <w:t>ICP-ICG LD GA/details sheets 1 and 2</w:t>
            </w:r>
          </w:p>
        </w:tc>
        <w:tc>
          <w:tcPr>
            <w:tcW w:type="dxa" w:w="2160"/>
          </w:tcPr>
          <w:p>
            <w:r>
              <w:rPr>
                <w:sz w:val="16"/>
              </w:rPr>
              <w:t>31-32</w:t>
            </w:r>
          </w:p>
        </w:tc>
        <w:tc>
          <w:tcPr>
            <w:tcW w:type="dxa" w:w="2160"/>
          </w:tcPr>
          <w:p>
            <w:r>
              <w:rPr>
                <w:sz w:val="16"/>
              </w:rPr>
              <w:t>Tender;RevA inrevisedregister</w:t>
            </w:r>
          </w:p>
        </w:tc>
      </w:tr>
      <w:tr>
        <w:tc>
          <w:tcPr>
            <w:tcW w:type="dxa" w:w="2160"/>
          </w:tcPr>
          <w:p>
            <w:r>
              <w:rPr>
                <w:sz w:val="16"/>
              </w:rPr>
              <w:t>B774-102-83-43-0002</w:t>
            </w:r>
          </w:p>
        </w:tc>
        <w:tc>
          <w:tcPr>
            <w:tcW w:type="dxa" w:w="2160"/>
          </w:tcPr>
          <w:p>
            <w:r>
              <w:rPr>
                <w:sz w:val="16"/>
              </w:rPr>
              <w:t>ICPlandingmodification</w:t>
            </w:r>
          </w:p>
        </w:tc>
        <w:tc>
          <w:tcPr>
            <w:tcW w:type="dxa" w:w="2160"/>
          </w:tcPr>
          <w:p>
            <w:r>
              <w:rPr>
                <w:sz w:val="16"/>
              </w:rPr>
              <w:t>33-33</w:t>
            </w:r>
          </w:p>
        </w:tc>
        <w:tc>
          <w:tcPr>
            <w:tcW w:type="dxa" w:w="2160"/>
          </w:tcPr>
          <w:p>
            <w:r>
              <w:rPr>
                <w:sz w:val="16"/>
              </w:rPr>
              <w:t>Tender</w:t>
            </w:r>
          </w:p>
        </w:tc>
      </w:tr>
      <w:tr>
        <w:tc>
          <w:tcPr>
            <w:tcW w:type="dxa" w:w="2160"/>
          </w:tcPr>
          <w:p>
            <w:r>
              <w:rPr>
                <w:sz w:val="16"/>
              </w:rPr>
              <w:t>B774-102-83-43-0003</w:t>
            </w:r>
          </w:p>
        </w:tc>
        <w:tc>
          <w:tcPr>
            <w:tcW w:type="dxa" w:w="2160"/>
          </w:tcPr>
          <w:p>
            <w:r>
              <w:rPr>
                <w:sz w:val="16"/>
              </w:rPr>
              <w:t>ICPlandingextension</w:t>
            </w:r>
          </w:p>
        </w:tc>
        <w:tc>
          <w:tcPr>
            <w:tcW w:type="dxa" w:w="2160"/>
          </w:tcPr>
          <w:p>
            <w:r>
              <w:rPr>
                <w:sz w:val="16"/>
              </w:rPr>
              <w:t>34-34</w:t>
            </w:r>
          </w:p>
        </w:tc>
        <w:tc>
          <w:tcPr>
            <w:tcW w:type="dxa" w:w="2160"/>
          </w:tcPr>
          <w:p>
            <w:r>
              <w:rPr>
                <w:sz w:val="16"/>
              </w:rPr>
              <w:t>Tender</w:t>
            </w:r>
          </w:p>
        </w:tc>
      </w:tr>
      <w:tr>
        <w:tc>
          <w:tcPr>
            <w:tcW w:type="dxa" w:w="2160"/>
          </w:tcPr>
          <w:p>
            <w:r>
              <w:rPr>
                <w:sz w:val="16"/>
              </w:rPr>
              <w:t>B774-102-83-43-0004</w:t>
            </w:r>
          </w:p>
        </w:tc>
        <w:tc>
          <w:tcPr>
            <w:tcW w:type="dxa" w:w="2160"/>
          </w:tcPr>
          <w:p>
            <w:r>
              <w:rPr>
                <w:sz w:val="16"/>
              </w:rPr>
              <w:t>ICGlandingmodification</w:t>
            </w:r>
          </w:p>
        </w:tc>
        <w:tc>
          <w:tcPr>
            <w:tcW w:type="dxa" w:w="2160"/>
          </w:tcPr>
          <w:p>
            <w:r>
              <w:rPr>
                <w:sz w:val="16"/>
              </w:rPr>
              <w:t>35-35</w:t>
            </w:r>
          </w:p>
        </w:tc>
        <w:tc>
          <w:tcPr>
            <w:tcW w:type="dxa" w:w="2160"/>
          </w:tcPr>
          <w:p>
            <w:r>
              <w:rPr>
                <w:sz w:val="16"/>
              </w:rPr>
              <w:t>Tender</w:t>
            </w:r>
          </w:p>
        </w:tc>
      </w:tr>
      <w:tr>
        <w:tc>
          <w:tcPr>
            <w:tcW w:type="dxa" w:w="2160"/>
          </w:tcPr>
          <w:p>
            <w:r>
              <w:rPr>
                <w:sz w:val="16"/>
              </w:rPr>
              <w:t>B774-103-83-43-0001</w:t>
            </w:r>
          </w:p>
        </w:tc>
        <w:tc>
          <w:tcPr>
            <w:tcW w:type="dxa" w:w="2160"/>
          </w:tcPr>
          <w:p>
            <w:r>
              <w:rPr>
                <w:sz w:val="16"/>
              </w:rPr>
              <w:t>BHS-SLQ new GA/details</w:t>
            </w:r>
          </w:p>
        </w:tc>
        <w:tc>
          <w:tcPr>
            <w:tcW w:type="dxa" w:w="2160"/>
          </w:tcPr>
          <w:p>
            <w:r>
              <w:rPr>
                <w:sz w:val="16"/>
              </w:rPr>
              <w:t>36-36</w:t>
            </w:r>
          </w:p>
        </w:tc>
        <w:tc>
          <w:tcPr>
            <w:tcW w:type="dxa" w:w="2160"/>
          </w:tcPr>
          <w:p>
            <w:r>
              <w:rPr>
                <w:sz w:val="16"/>
              </w:rPr>
              <w:t>Tender;not AFC</w:t>
            </w:r>
          </w:p>
        </w:tc>
      </w:tr>
      <w:tr>
        <w:tc>
          <w:tcPr>
            <w:tcW w:type="dxa" w:w="2160"/>
          </w:tcPr>
          <w:p>
            <w:r>
              <w:rPr>
                <w:sz w:val="16"/>
              </w:rPr>
              <w:t>B774-103-83-43-0002</w:t>
            </w:r>
          </w:p>
        </w:tc>
        <w:tc>
          <w:tcPr>
            <w:tcW w:type="dxa" w:w="2160"/>
          </w:tcPr>
          <w:p>
            <w:r>
              <w:rPr>
                <w:sz w:val="16"/>
              </w:rPr>
              <w:t>BHSlandingmodification</w:t>
            </w:r>
          </w:p>
        </w:tc>
        <w:tc>
          <w:tcPr>
            <w:tcW w:type="dxa" w:w="2160"/>
          </w:tcPr>
          <w:p>
            <w:r>
              <w:rPr>
                <w:sz w:val="16"/>
              </w:rPr>
              <w:t>37-37</w:t>
            </w:r>
          </w:p>
        </w:tc>
        <w:tc>
          <w:tcPr>
            <w:tcW w:type="dxa" w:w="2160"/>
          </w:tcPr>
          <w:p>
            <w:r>
              <w:rPr>
                <w:sz w:val="16"/>
              </w:rPr>
              <w:t>Tender</w:t>
            </w:r>
          </w:p>
        </w:tc>
      </w:tr>
      <w:tr>
        <w:tc>
          <w:tcPr>
            <w:tcW w:type="dxa" w:w="2160"/>
          </w:tcPr>
          <w:p>
            <w:r>
              <w:rPr>
                <w:sz w:val="16"/>
              </w:rPr>
              <w:t>B774-103-83-43-0003</w:t>
            </w:r>
          </w:p>
        </w:tc>
        <w:tc>
          <w:tcPr>
            <w:tcW w:type="dxa" w:w="2160"/>
          </w:tcPr>
          <w:p>
            <w:r>
              <w:rPr>
                <w:sz w:val="16"/>
              </w:rPr>
              <w:t>BHSlandingextension</w:t>
            </w:r>
          </w:p>
        </w:tc>
        <w:tc>
          <w:tcPr>
            <w:tcW w:type="dxa" w:w="2160"/>
          </w:tcPr>
          <w:p>
            <w:r>
              <w:rPr>
                <w:sz w:val="16"/>
              </w:rPr>
              <w:t>38-38</w:t>
            </w:r>
          </w:p>
        </w:tc>
        <w:tc>
          <w:tcPr>
            <w:tcW w:type="dxa" w:w="2160"/>
          </w:tcPr>
          <w:p>
            <w:r>
              <w:rPr>
                <w:sz w:val="16"/>
              </w:rPr>
              <w:t>Tender</w:t>
            </w:r>
          </w:p>
        </w:tc>
      </w:tr>
      <w:tr>
        <w:tc>
          <w:tcPr>
            <w:tcW w:type="dxa" w:w="2160"/>
          </w:tcPr>
          <w:p>
            <w:r>
              <w:rPr>
                <w:sz w:val="16"/>
              </w:rPr>
              <w:t>B774-103-83-43-0004</w:t>
            </w:r>
          </w:p>
        </w:tc>
        <w:tc>
          <w:tcPr>
            <w:tcW w:type="dxa" w:w="2160"/>
          </w:tcPr>
          <w:p>
            <w:r>
              <w:rPr>
                <w:sz w:val="16"/>
              </w:rPr>
              <w:t>SLQlandingmodification</w:t>
            </w:r>
          </w:p>
        </w:tc>
        <w:tc>
          <w:tcPr>
            <w:tcW w:type="dxa" w:w="2160"/>
          </w:tcPr>
          <w:p>
            <w:r>
              <w:rPr>
                <w:sz w:val="16"/>
              </w:rPr>
              <w:t>39-39</w:t>
            </w:r>
          </w:p>
        </w:tc>
        <w:tc>
          <w:tcPr>
            <w:tcW w:type="dxa" w:w="2160"/>
          </w:tcPr>
          <w:p>
            <w:r>
              <w:rPr>
                <w:sz w:val="16"/>
              </w:rPr>
              <w:t>Tender</w:t>
            </w:r>
          </w:p>
        </w:tc>
      </w:tr>
      <w:tr>
        <w:tc>
          <w:tcPr>
            <w:tcW w:type="dxa" w:w="2160"/>
          </w:tcPr>
          <w:p>
            <w:r>
              <w:rPr>
                <w:sz w:val="16"/>
              </w:rPr>
              <w:t>B774-103-83-43-0005</w:t>
            </w:r>
          </w:p>
        </w:tc>
        <w:tc>
          <w:tcPr>
            <w:tcW w:type="dxa" w:w="2160"/>
          </w:tcPr>
          <w:p>
            <w:r>
              <w:rPr>
                <w:sz w:val="16"/>
              </w:rPr>
              <w:t>SLQlandingextension</w:t>
            </w:r>
          </w:p>
        </w:tc>
        <w:tc>
          <w:tcPr>
            <w:tcW w:type="dxa" w:w="2160"/>
          </w:tcPr>
          <w:p>
            <w:r>
              <w:rPr>
                <w:sz w:val="16"/>
              </w:rPr>
              <w:t>40-40</w:t>
            </w:r>
          </w:p>
        </w:tc>
        <w:tc>
          <w:tcPr>
            <w:tcW w:type="dxa" w:w="2160"/>
          </w:tcPr>
          <w:p>
            <w:r>
              <w:rPr>
                <w:sz w:val="16"/>
              </w:rPr>
              <w:t>Tender</w:t>
            </w:r>
          </w:p>
        </w:tc>
      </w:tr>
      <w:tr>
        <w:tc>
          <w:tcPr>
            <w:tcW w:type="dxa" w:w="2160"/>
          </w:tcPr>
          <w:p>
            <w:r>
              <w:rPr>
                <w:sz w:val="16"/>
              </w:rPr>
              <w:t>B774-103-83-43-0006</w:t>
            </w:r>
          </w:p>
        </w:tc>
        <w:tc>
          <w:tcPr>
            <w:tcW w:type="dxa" w:w="2160"/>
          </w:tcPr>
          <w:p>
            <w:r>
              <w:rPr>
                <w:sz w:val="16"/>
              </w:rPr>
              <w:t>BHS-SLQ existingbridge demolition</w:t>
            </w:r>
          </w:p>
        </w:tc>
        <w:tc>
          <w:tcPr>
            <w:tcW w:type="dxa" w:w="2160"/>
          </w:tcPr>
          <w:p>
            <w:r>
              <w:rPr>
                <w:sz w:val="16"/>
              </w:rPr>
              <w:t>41-41</w:t>
            </w:r>
          </w:p>
        </w:tc>
        <w:tc>
          <w:tcPr>
            <w:tcW w:type="dxa" w:w="2160"/>
          </w:tcPr>
          <w:p>
            <w:r>
              <w:rPr>
                <w:sz w:val="16"/>
              </w:rPr>
              <w:t>Tender;engineering/operational release stillrequired</w:t>
            </w:r>
          </w:p>
        </w:tc>
      </w:tr>
    </w:tbl>
    <w:p>
      <w:r>
        <w:t>The source sheets are issued for tender and require contractor verification. They provide concrete geometry, member and connection references for design development, but are not signed AFC drawings. Preserve original source IDs and proposed new IDs separately. Reconcile drawing-index revisions with actual title blocks and older references. Omission from an index alone does not delete contractual work.</w:t>
      </w:r>
    </w:p>
    <w:p>
      <w:pPr>
        <w:pStyle w:val="Heading1"/>
      </w:pPr>
      <w:r>
        <w:t>4. Specific findings and package impacts</w:t>
      </w:r>
    </w:p>
    <w:p>
      <w:pPr>
        <w:pStyle w:val="Heading2"/>
      </w:pPr>
      <w:r>
        <w:t>F01 — SOURCE GAP CLOSED</w:t>
      </w:r>
    </w:p>
    <w:p>
      <w:r>
        <w:t>Source: Combined_Addendum_1 (1).pdf;PDF pages 27.</w:t>
      </w:r>
    </w:p>
    <w:p>
      <w:r>
        <w:t>B774-101-83-43-0001 ICW-ICG lower-deck dimensioned GA/details is supplied.</w:t>
      </w:r>
    </w:p>
    <w:p>
      <w:r>
        <w:t>Requiredchange: Replace prior missing-GA status with SOURCE RECEIVED / TENDER / VERIFY; update design-input register.</w:t>
      </w:r>
    </w:p>
    <w:p>
      <w:r>
        <w:t>Owner: Engineering / Document Control. Implementation/approvalstatus: OPEN.</w:t>
      </w:r>
    </w:p>
    <w:p>
      <w:pPr>
        <w:pStyle w:val="Heading2"/>
      </w:pPr>
      <w:r>
        <w:t>F02 — SOURCE GAP CLOSED</w:t>
      </w:r>
    </w:p>
    <w:p>
      <w:r>
        <w:t>Source: Combined_Addendum_1 (1).pdf;PDF pages 31-32.</w:t>
      </w:r>
    </w:p>
    <w:p>
      <w:r>
        <w:t>B774-102-83-43-0001 ICP-ICG lower-deck two-sheet GA/details is supplied.</w:t>
      </w:r>
    </w:p>
    <w:p>
      <w:r>
        <w:t>Requiredchange: Register both sheets; develop model/member/connection input from source subject to survey and checking.</w:t>
      </w:r>
    </w:p>
    <w:p>
      <w:r>
        <w:t>Owner: Engineering. Implementation/approvalstatus: OPEN.</w:t>
      </w:r>
    </w:p>
    <w:p>
      <w:pPr>
        <w:pStyle w:val="Heading2"/>
      </w:pPr>
      <w:r>
        <w:t>F03 — SOURCE GAP CLOSED</w:t>
      </w:r>
    </w:p>
    <w:p>
      <w:r>
        <w:t>Source: Combined_Addendum_1 (1).pdf;PDF pages 36-41.</w:t>
      </w:r>
    </w:p>
    <w:p>
      <w:r>
        <w:t>BHS-SLQ new GA, landing modifications/extensions and demolition drawing are supplied.</w:t>
      </w:r>
    </w:p>
    <w:p>
      <w:r>
        <w:t>Requiredchange: Map actual 103 series to BHS installation/service transfer/demolition engineering; source is not AFC approval.</w:t>
      </w:r>
    </w:p>
    <w:p>
      <w:r>
        <w:t>Owner: Engineering / Offshore. Implementation/approvalstatus: OPEN.</w:t>
      </w:r>
    </w:p>
    <w:p>
      <w:pPr>
        <w:pStyle w:val="Heading2"/>
      </w:pPr>
      <w:r>
        <w:t>F04 — ENGINEERING SCOPE EXPANDED/CLARIFIED</w:t>
      </w:r>
    </w:p>
    <w:p>
      <w:r>
        <w:t>Source: Combined_Addendum_1 (1).pdf;PDF pages 2.</w:t>
      </w:r>
    </w:p>
    <w:p>
      <w:r>
        <w:t>Annexure specifies 10 bridge analysis scopes;global deck in-place forICP/ICG/ICW/BHS/SLQ;local deck in-place forWIS/NOQ/NQD/WIN/NC/SC1/SCA/SCF.</w:t>
      </w:r>
    </w:p>
    <w:p>
      <w:r>
        <w:t>Requiredchange: Create explicit calculation/deliverable/predecessor rows; verifyNOQ naming againstNQO; do not treat all platform checks as one generic activity.</w:t>
      </w:r>
    </w:p>
    <w:p>
      <w:r>
        <w:t>Owner: Engineering / Planning. Implementation/approvalstatus: OPEN.</w:t>
      </w:r>
    </w:p>
    <w:p>
      <w:pPr>
        <w:pStyle w:val="Heading2"/>
      </w:pPr>
      <w:r>
        <w:t>F05 — APPROVAL/RECORD CLASSIFICATION</w:t>
      </w:r>
    </w:p>
    <w:p>
      <w:r>
        <w:t>Source: Combined_Addendum_1 (1).pdf;PDF pages 2.</w:t>
      </w:r>
    </w:p>
    <w:p>
      <w:r>
        <w:t>Design basis/methods, reports and AFC drawings show approval;fabrication/as-built columns show records; matrix saysnotexhaustive.</w:t>
      </w:r>
    </w:p>
    <w:p>
      <w:r>
        <w:t>Requiredchange: Revise 101 itemdraftregister and authority/evidence fields; separate perbridge/landingmethodology submissions.</w:t>
      </w:r>
    </w:p>
    <w:p>
      <w:r>
        <w:t>Owner: Engineering / QA / Document Control. Implementation/approvalstatus: OPEN.</w:t>
      </w:r>
    </w:p>
    <w:p>
      <w:pPr>
        <w:pStyle w:val="Heading2"/>
      </w:pPr>
      <w:r>
        <w:t>F06 — REVIEW CALENDAR CORRECTION</w:t>
      </w:r>
    </w:p>
    <w:p>
      <w:r>
        <w:t>Source: Appendix C-8 DCI MCI.pdf;PDF pages 2-4;14-18.</w:t>
      </w:r>
    </w:p>
    <w:p>
      <w:r>
        <w:t>ProjectDCI/MCI must befinalised/approved;generally 10 workingdays review,listedcomplexfirst reviews longer,and subsequent reviews 10 workingdays.</w:t>
      </w:r>
    </w:p>
    <w:p>
      <w:r>
        <w:t>Requiredchange: Replace 4 calendardayplaceholder engineering review; build working-day calendars, reviewer capacity, staggered submissions and rework loops; recompute forecasts.</w:t>
      </w:r>
    </w:p>
    <w:p>
      <w:r>
        <w:t>Owner: Planning / Engineering. Implementation/approvalstatus: OPEN.</w:t>
      </w:r>
    </w:p>
    <w:p>
      <w:pPr>
        <w:pStyle w:val="Heading2"/>
      </w:pPr>
      <w:r>
        <w:t>F07 — PREDECESSOR STATE CONTROL</w:t>
      </w:r>
    </w:p>
    <w:p>
      <w:r>
        <w:t>Source: Appendix C-8 DCI MCI.pdf;PDF pages 3;17-18.</w:t>
      </w:r>
    </w:p>
    <w:p>
      <w:r>
        <w:t>DocumentcategoryA/I/R differs from predecessor stateS/R/A; out-of-sequence documents can be returned withoutreview.</w:t>
      </w:r>
    </w:p>
    <w:p>
      <w:r>
        <w:t>Requiredchange: Map mother documents and required predecessor status; enforce release conditions and preserve baseline revision history.</w:t>
      </w:r>
    </w:p>
    <w:p>
      <w:r>
        <w:t>Owner: Document Control / Engineering. Implementation/approvalstatus: OPEN.</w:t>
      </w:r>
    </w:p>
    <w:p>
      <w:pPr>
        <w:pStyle w:val="Heading2"/>
      </w:pPr>
      <w:r>
        <w:t>F08 — PROGRESS RULE CORRECTION</w:t>
      </w:r>
    </w:p>
    <w:p>
      <w:r>
        <w:t>Source: Appendix C-8 DCI MCI.pdf;PDF pages 4.</w:t>
      </w:r>
    </w:p>
    <w:p>
      <w:r>
        <w:t>ReviewCatC:noengineeringprogress;CatB:60%engineeringprogress onsubmission perwording;CatA:100%. MCI first/secondstage PS approval earns 5%+5%of itemprocurementweight.</w:t>
      </w:r>
    </w:p>
    <w:p>
      <w:r>
        <w:t>Requiredchange: Reconcile/supersede earlierproposedinternal engineering/procurementcredit rules for contractual reporting; do not interpret as wholeprojectprogress or duplicate A-10 billing.</w:t>
      </w:r>
    </w:p>
    <w:p>
      <w:r>
        <w:t>Owner: Project Controls / Contracts. Implementation/approvalstatus: OPEN.</w:t>
      </w:r>
    </w:p>
    <w:p>
      <w:pPr>
        <w:pStyle w:val="Heading2"/>
      </w:pPr>
      <w:r>
        <w:t>F09 — PRE-ACTIVITY SUBMISSION/MWS</w:t>
      </w:r>
    </w:p>
    <w:p>
      <w:r>
        <w:t>Source: Appendix C-8 DCI MCI.pdf;PDF pages 17-18;otherapplicablerows.</w:t>
      </w:r>
    </w:p>
    <w:p>
      <w:r>
        <w:t>Starred notes call for 30 dayadvance submission;double-starred items requireMWS approval whereapplicable.</w:t>
      </w:r>
    </w:p>
    <w:p>
      <w:r>
        <w:t>Requiredchange: Add submission/assurance milestones and review buffers to relevant operation logic; check row applicability,notblanketassumeallitems.</w:t>
      </w:r>
    </w:p>
    <w:p>
      <w:r>
        <w:t>Owner: Marine / Planning. Implementation/approvalstatus: OPEN.</w:t>
      </w:r>
    </w:p>
    <w:p>
      <w:pPr>
        <w:pStyle w:val="Heading2"/>
      </w:pPr>
      <w:r>
        <w:t>F10 — MARINE AUDIT GATES</w:t>
      </w:r>
    </w:p>
    <w:p>
      <w:r>
        <w:t>Source: Appendix C-9.pdf;Appendix C-10.pdf;PDF pages C 9 pp 1-21 especially 20;C 10 pp 1-19.</w:t>
      </w:r>
    </w:p>
    <w:p>
      <w:r>
        <w:t>Vessel particulars, POB, class/statutory/crew/equipment evidence and critical pre-sail documents are prescribed.</w:t>
      </w:r>
    </w:p>
    <w:p>
      <w:r>
        <w:t>Requiredchange: Create candidate-vessel audit dossiers; schedule inspections/observationclosure/clearances before mobilisation or sail-away as applicable.</w:t>
      </w:r>
    </w:p>
    <w:p>
      <w:r>
        <w:t>Owner: Marine / HSE / Assurance. Implementation/approvalstatus: OPEN.</w:t>
      </w:r>
    </w:p>
    <w:p>
      <w:pPr>
        <w:pStyle w:val="Heading2"/>
      </w:pPr>
      <w:r>
        <w:t>F11 — SUBCONTRACTING CONSTRAINT</w:t>
      </w:r>
    </w:p>
    <w:p>
      <w:r>
        <w:t>Source: Appendix B-6.pdf;Appendix A-9.pdf;PDF pages B 6 p 1;A 9 pp 4-7.</w:t>
      </w:r>
    </w:p>
    <w:p>
      <w:r>
        <w:t>Work division/locations/commitments and retained bidder project management/qualifyingmainactivity requirements apply; whole-works back-to-back subcontract notallowed.</w:t>
      </w:r>
    </w:p>
    <w:p>
      <w:r>
        <w:t>Requiredchange: Map retained and subcontracted scope against actualBEC route; validate bidder/consortium/subcontractor evidence before commitments.</w:t>
      </w:r>
    </w:p>
    <w:p>
      <w:r>
        <w:t>Owner: Contracts / Project Director. Implementation/approvalstatus: OPEN.</w:t>
      </w:r>
    </w:p>
    <w:p>
      <w:pPr>
        <w:pStyle w:val="Heading2"/>
      </w:pPr>
      <w:r>
        <w:t>F12 — VENDOR REVISION CHECK OPEN</w:t>
      </w:r>
    </w:p>
    <w:p>
      <w:r>
        <w:t>Source: Combined_Addendum_1 (1).pdf;Appendix A-11 Offshore SVL Revision 12.1.pdf;PDF pages Coverp 1;A 11 pp 1-3.</w:t>
      </w:r>
    </w:p>
    <w:p>
      <w:r>
        <w:t>CoverreferencesSVL 12.3;separately uploadedlist is 12.1. Generaladdendum makeslists reference-only subjecttechnical/tenderrequirements.</w:t>
      </w:r>
    </w:p>
    <w:p>
      <w:r>
        <w:t>Requiredchange: Do notlabel 12.1 latest; confirm 12.3/currentapplicability while retainingqualification/exclusion and technical controls.</w:t>
      </w:r>
    </w:p>
    <w:p>
      <w:r>
        <w:t>Owner: Procurement / Contracts. Implementation/approvalstatus: OPEN.</w:t>
      </w:r>
    </w:p>
    <w:p>
      <w:pPr>
        <w:pStyle w:val="Heading2"/>
      </w:pPr>
      <w:r>
        <w:t>F13 — REVISED SCC/A3 ATTACHMENT MATCH OPEN</w:t>
      </w:r>
    </w:p>
    <w:p>
      <w:r>
        <w:t>Source: Combined_Addendum_1 (1).pdf;PDF pages Coverp 1.</w:t>
      </w:r>
    </w:p>
    <w:p>
      <w:r>
        <w:t>Coverannounces revisedSCC/A3; corresponding full revised attachments are not positivelyidentified inside thetwo combined PDFs.</w:t>
      </w:r>
    </w:p>
    <w:p>
      <w:r>
        <w:t>Requiredchange: Match against earlier/later separatelysuppliedfiles and officialrevision evidence; filename/metadata alone is not precedence proof. Do not freeze commercial/date basis from cover alone.</w:t>
      </w:r>
    </w:p>
    <w:p>
      <w:r>
        <w:t>Owner: Contracts / Document Control. Implementation/approvalstatus: OPEN.</w:t>
      </w:r>
    </w:p>
    <w:p>
      <w:pPr>
        <w:pStyle w:val="Heading2"/>
      </w:pPr>
      <w:r>
        <w:t>F14 — DRAWING REGISTER RECONCILIATION</w:t>
      </w:r>
    </w:p>
    <w:p>
      <w:r>
        <w:t>Source: Combined_Addendum_1 (1).pdf;PDF pages 3-5;27.</w:t>
      </w:r>
    </w:p>
    <w:p>
      <w:r>
        <w:t>Revisedregister omits some olderstandalone 0005 references;101 GA registershowsRev 0 while sheettitleblockshowsA and revisionhistory 0.</w:t>
      </w:r>
    </w:p>
    <w:p>
      <w:r>
        <w:t>Requiredchange: Resolve sheet/revision identity; mapold/newreferences; do not keep requesting omittedold 0005 sheets as definite gaps or assume workdeleted.</w:t>
      </w:r>
    </w:p>
    <w:p>
      <w:r>
        <w:t>Owner: Document Control / Engineering. Implementation/approvalstatus: OPEN.</w:t>
      </w:r>
    </w:p>
    <w:p>
      <w:pPr>
        <w:pStyle w:val="Heading2"/>
      </w:pPr>
      <w:r>
        <w:t>F15 — DISCIPLINE COMPLETENESS</w:t>
      </w:r>
    </w:p>
    <w:p>
      <w:r>
        <w:t>Source: Combined_Addendum_1 (1).pdf;Combined_Addendum_2.pdf;PDF pages C 1 pp 42-285;C 2 pp 1-250.</w:t>
      </w:r>
    </w:p>
    <w:p>
      <w:r>
        <w:t>Substantial electrical, instrumentation and piping specifications/ITPs/standards are now available.</w:t>
      </w:r>
    </w:p>
    <w:p>
      <w:r>
        <w:t>Requiredchange: Build scope-specific specification / MTO / vendor / test matrix; piping stress reactions must feed structure; attached genericstandards do not automatically create additional facilities.</w:t>
      </w:r>
    </w:p>
    <w:p>
      <w:r>
        <w:t>Owner: Discipline Leads / Procurement / QA. Implementation/approvalstatus: OPEN.</w:t>
      </w:r>
    </w:p>
    <w:p>
      <w:pPr>
        <w:pStyle w:val="Heading2"/>
      </w:pPr>
      <w:r>
        <w:t>F16 — FORM/VERSION COMPLIANCE</w:t>
      </w:r>
    </w:p>
    <w:p>
      <w:r>
        <w:t>Source: Appendix A-9.pdf;Addendum (1).pdf;Appendix B-5.pdf;PDF pages A 9 pp 4-5;Addendump 1;B 5 p 1.</w:t>
      </w:r>
    </w:p>
    <w:p>
      <w:r>
        <w:t>OriginalA 9 item 13 yard-information provision is deleted byaddendum;experienceforms and qualifyingthresholdreferences requireBEC cross-check.</w:t>
      </w:r>
    </w:p>
    <w:p>
      <w:r>
        <w:t>Requiredchange: Maintain amendedcompliance matrix; do notapplydeletedclause ordeclareeligibilityfromaformalone.</w:t>
      </w:r>
    </w:p>
    <w:p>
      <w:r>
        <w:t>Owner: Contracts / Bid Compliance. Implementation/approvalstatus: OPEN.</w:t>
      </w:r>
    </w:p>
    <w:p>
      <w:pPr>
        <w:pStyle w:val="Heading1"/>
      </w:pPr>
      <w:r>
        <w:t>5. DCI/MCI rules to implement</w:t>
      </w:r>
    </w:p>
    <w:p>
      <w:pPr>
        <w:pStyle w:val="ListBullet"/>
      </w:pPr>
      <w:r>
        <w:t>Finalise and obtain approval for the project-specific DCI/MCI. The standard lists are not exhaustive. Use the required project/facility/discipline/document-type numbering and map the temporary Shivansh IDs.</w:t>
      </w:r>
    </w:p>
    <w:p>
      <w:pPr>
        <w:pStyle w:val="ListBullet"/>
      </w:pPr>
      <w:r>
        <w:t>Keep document category A/I/R (approval/information/review), review status Cat A/B/C and predecessor state S/R/A as three different control fields.</w:t>
      </w:r>
    </w:p>
    <w:p>
      <w:pPr>
        <w:pStyle w:val="ListBullet"/>
      </w:pPr>
      <w:r>
        <w:t>In general allow 10 working days for review. Apply longer first-review periods where explicitly listed; subsequent revisions have 10 working-day review periods. Use an agreed working calendar rather than assuming calendar days.</w:t>
      </w:r>
    </w:p>
    <w:p>
      <w:pPr>
        <w:pStyle w:val="ListBullet"/>
      </w:pPr>
      <w:r>
        <w:t>The source review-status rules state Cat C: no engineering progress; Cat B:60 percent engineering progress per the stated submission rule; Cat A:100 percent. Apply approved document weights. These are not overall project percentages; proposed internal milestone weights cannot replace applicable source rules.</w:t>
      </w:r>
    </w:p>
    <w:p>
      <w:pPr>
        <w:pStyle w:val="ListBullet"/>
      </w:pPr>
      <w:r>
        <w:t>The source allocates 5 percent of an item procurement weight on first-stage purchase-specification approval and 5 percent on second-stage approval. Do not treat that as 10 percent of the whole project or duplicate payment milestones.</w:t>
      </w:r>
    </w:p>
    <w:p>
      <w:pPr>
        <w:pStyle w:val="ListBullet"/>
      </w:pPr>
      <w:r>
        <w:t>Submit revisions with a comment-resolution sheet and properly clouded/indexed changes, endorsed through the contractor design agency. Out-of-sequence submissions may be returned without review.</w:t>
      </w:r>
    </w:p>
    <w:p>
      <w:pPr>
        <w:pStyle w:val="ListBullet"/>
      </w:pPr>
      <w:r>
        <w:t>Apply 30-day advance-submission notes and MWS approval requirements to the identified, applicable rows. Do not extend generic platform requirements to unrelated facilities without checking.</w:t>
      </w:r>
    </w:p>
    <w:p>
      <w:pPr>
        <w:pStyle w:val="Heading1"/>
      </w:pPr>
      <w:r>
        <w:t>6. Schedule and commercial status</w:t>
      </w:r>
    </w:p>
    <w:p>
      <w:r>
        <w:t>Do not reaffirm the 15 June 2027 scenario as validated after receipt of these inputs. Add the required bridge/platform analyses, review and resubmission cycles, purchase-specification stages, vessel audits and applicable assurance milestones; then recalculate logic, calendars and resources. The earlier scenario remains preliminary. Apply the general vendor/agency amendment together with technical, qualification and exclusion controls.</w:t>
      </w:r>
    </w:p>
    <w:p>
      <w:pPr>
        <w:pStyle w:val="Heading1"/>
      </w:pPr>
      <w:r>
        <w:t>7. Outstanding exact-version and interpretation items</w:t>
      </w:r>
    </w:p>
    <w:p>
      <w:pPr>
        <w:pStyle w:val="ListBullet"/>
      </w:pPr>
      <w:r>
        <w:t>MatchrevisedTechnicalSCCandA 3 announcedonthe 23 Aprilcover to actualcurrentattachments;metadataandfilenames alone are insufficient.</w:t>
      </w:r>
    </w:p>
    <w:p>
      <w:pPr>
        <w:pStyle w:val="ListBullet"/>
      </w:pPr>
      <w:r>
        <w:t>Confirm SVL Revision 12.3 or the applicable current basis. The separately uploaded 12.1 list must not be described as the latest revision.</w:t>
      </w:r>
    </w:p>
    <w:p>
      <w:pPr>
        <w:pStyle w:val="ListBullet"/>
      </w:pPr>
      <w:r>
        <w:t>Reconcile the ICW-ICG GA101 drawing register Rev 0, title-block Rev A and revision-history entry 0.</w:t>
      </w:r>
    </w:p>
    <w:p>
      <w:pPr>
        <w:pStyle w:val="ListBullet"/>
      </w:pPr>
      <w:r>
        <w:t>Map older 101/1020005 references to the revised register and actual sheet content; do not assume omitted work is deleted or request obsolete drawing IDs without checking.</w:t>
      </w:r>
    </w:p>
    <w:p>
      <w:pPr>
        <w:pStyle w:val="ListBullet"/>
      </w:pPr>
      <w:r>
        <w:t>Confirm the NOQ label in the deliverable annexure against project nomenclature NQO.</w:t>
      </w:r>
    </w:p>
    <w:p>
      <w:pPr>
        <w:pStyle w:val="ListBullet"/>
      </w:pPr>
      <w:r>
        <w:t>Reconcile experience forms and qualification thresholds with the controlling BEC and amendments. Do not determine bidder eligibility from a proforma alone.</w:t>
      </w:r>
    </w:p>
    <w:p>
      <w:pPr>
        <w:pStyle w:val="ListBullet"/>
      </w:pPr>
      <w:r>
        <w:t>Engineering calculations, current survey verification, actual supplier/crew/vessel commitments, AFC approval and physical execution remain separate open activities.</w:t>
      </w:r>
    </w:p>
    <w:p>
      <w:pPr>
        <w:pStyle w:val="Heading1"/>
      </w:pPr>
      <w:r>
        <w:t>8. Scope of confirmation</w:t>
      </w:r>
    </w:p>
    <w:p>
      <w:r>
        <w:t>Confirmed: every file in this latest 16-file batch is registered and version-checked, and relevant requirements/source changes have been identified with page references. Not confirmed: full incorporation of all historical uploads, applicability of every generic standard, resolution of all clauses, or project/design/AFC completion. OCR transcripts are review aids; the original PDFs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