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BRRP — Review of latest uploaded documents</w:t>
      </w:r>
    </w:p>
    <w:p>
      <w:r>
        <w:t>P9 | 25 October 2026 | Tender ZW1PC26002 | Source review and required package updates</w:t>
      </w:r>
    </w:p>
    <w:p>
      <w:r>
        <w:t>All 19 uploaded files were downloaded, opened and hash-checked: 17 distinct contents in this batch; 9 new distinct contents versus prior local uploads, totalling 373 new pages. Nine uploaded files match earlier local sources exactly; two further files duplicate another new/batch source. Duplicate files are retained in the inventory.</w:t>
      </w:r>
    </w:p>
    <w:p>
      <w:r>
        <w:t>This is an input and impact audit, not a claim that the entire engineering design, schedule or all historical documents have been fully validated. PDF page references below are one-based file pages. Bidder questions/proposals are distinguished from the reply column; no external messages, declarations, orders or approvals were issued.</w:t>
      </w:r>
    </w:p>
    <w:p>
      <w:pPr>
        <w:pStyle w:val="Heading1"/>
      </w:pPr>
      <w:r>
        <w:t>Most significant outcome</w:t>
      </w:r>
    </w:p>
    <w:p>
      <w:r>
        <w:t>SVL Revision12.3 is now located in Combined Addendum3 pages261–341. This closes that specific previous missing-input finding. Commercial/security controls, steel-origin evidence, survey responsibility, PPE and discipline QA requirements require downstream updates. Earlier engineering and schedule deliverables remain development material, without AFC approval or a newly calculated critical path.</w:t>
      </w:r>
    </w:p>
    <w:p>
      <w:pPr>
        <w:pStyle w:val="Heading2"/>
      </w:pPr>
      <w:r>
        <w:t>P9-01 — Bid security</w:t>
      </w:r>
    </w:p>
    <w:p>
      <w:r>
        <w:t>Source: Corrigendum.pdf p1</w:t>
      </w:r>
    </w:p>
    <w:p>
      <w:r>
        <w:t>Any e-BG must be executed on NeSL before the tender closing deadline; later execution is liable to rejection.</w:t>
      </w:r>
    </w:p>
    <w:p>
      <w:r>
        <w:t>Required update — Record portal execution timestamp and evidence; reconcile actual closing date with all extension notices.</w:t>
      </w:r>
    </w:p>
    <w:p>
      <w:r>
        <w:t>Proposed owner: Treasury / Bid Manager. Completion evidence: not established by this source review.</w:t>
      </w:r>
    </w:p>
    <w:p>
      <w:pPr>
        <w:pStyle w:val="Heading2"/>
      </w:pPr>
      <w:r>
        <w:t>P9-02 — Bid validity</w:t>
      </w:r>
    </w:p>
    <w:p>
      <w:r>
        <w:t>Source: Corrigendum_2.pdf pp1-2,5; Corrigendum_4.pdf p1; CQ_replies_BRRP.pdf pp2-3</w:t>
      </w:r>
    </w:p>
    <w:p>
      <w:r>
        <w:t>Bid security extends 45 days beyond bid validity or extended validity. Bid validity is 120 days after opening of unpriced techno-contractual bids; do not anchor it to submission closing.</w:t>
      </w:r>
    </w:p>
    <w:p>
      <w:r>
        <w:t>Required update — Use actual opening date; diarise bid and security expiry separately. Surety claim-period provisions remain distinct.</w:t>
      </w:r>
    </w:p>
    <w:p>
      <w:r>
        <w:t>Proposed owner: Treasury / Contracts. Completion evidence: not established by this source review.</w:t>
      </w:r>
    </w:p>
    <w:p>
      <w:pPr>
        <w:pStyle w:val="Heading2"/>
      </w:pPr>
      <w:r>
        <w:t>P9-03 — Performance security</w:t>
      </w:r>
    </w:p>
    <w:p>
      <w:r>
        <w:t>Source: Corrigendum_1_BRRP.pdf p1</w:t>
      </w:r>
    </w:p>
    <w:p>
      <w:r>
        <w:t>The quoted ITB 28.1 option for 3% initial security plus 7% progressive deductions is deleted.</w:t>
      </w:r>
    </w:p>
    <w:p>
      <w:r>
        <w:t>Required update — Remove that financing assumption; reconcile remaining ITB 28.1, IFB and B-3 for governing amounts, submission and validity. Do not infer replacement wording from deletion alone.</w:t>
      </w:r>
    </w:p>
    <w:p>
      <w:r>
        <w:t>Proposed owner: Contracts / Finance. Completion evidence: not established by this source review.</w:t>
      </w:r>
    </w:p>
    <w:p>
      <w:pPr>
        <w:pStyle w:val="Heading2"/>
      </w:pPr>
      <w:r>
        <w:t>P9-04 — Supporting-company guarantees</w:t>
      </w:r>
    </w:p>
    <w:p>
      <w:r>
        <w:t>Source: Corrigendum_2.pdf pp2-5</w:t>
      </w:r>
    </w:p>
    <w:p>
      <w:r>
        <w:t>B-19/B-20/B-22 specified guarantee deadlines change from 15 to 30 days from NOA. Applicable supporting/JV guarantee provisions include delayed-submission recovery wording.</w:t>
      </w:r>
    </w:p>
    <w:p>
      <w:r>
        <w:t>Required update — Set separate applicable-route milestones. Review 1.5% of performance-security amount per month or part-month recovery wording; do not apply indiscriminately to every guarantee.</w:t>
      </w:r>
    </w:p>
    <w:p>
      <w:r>
        <w:t>Proposed owner: Contracts / Treasury. Completion evidence: not established by this source review.</w:t>
      </w:r>
    </w:p>
    <w:p>
      <w:pPr>
        <w:pStyle w:val="Heading2"/>
      </w:pPr>
      <w:r>
        <w:t>P9-05 — Setting out and changes</w:t>
      </w:r>
    </w:p>
    <w:p>
      <w:r>
        <w:t>Source: Corrigendum_3.pdf p1, GCC 2.3.6</w:t>
      </w:r>
    </w:p>
    <w:p>
      <w:r>
        <w:t>Modified column reinstates setting-out responsibility. Contractor corrects its positioning errors; company checking does not relieve it. Later company data/instructions after pre-engineering survey causing scope changes are dealt with under Clause 8.0.</w:t>
      </w:r>
    </w:p>
    <w:p>
      <w:r>
        <w:t>Required update — Establish controlled datums, coordinates, survey acceptance and independent dimensional checks; preserve instruction/change evidence. This clause is not deleted.</w:t>
      </w:r>
    </w:p>
    <w:p>
      <w:r>
        <w:t>Proposed owner: Survey / Engineering / Contracts. Completion evidence: not established by this source review.</w:t>
      </w:r>
    </w:p>
    <w:p>
      <w:pPr>
        <w:pStyle w:val="Heading2"/>
      </w:pPr>
      <w:r>
        <w:t>P9-06 — Domestic steel compliance</w:t>
      </w:r>
    </w:p>
    <w:p>
      <w:r>
        <w:t>Source: Corrigendum_3.pdf pp1-8</w:t>
      </w:r>
    </w:p>
    <w:p>
      <w:r>
        <w:t>DMI&amp;SP policy reference changes to notification dated 17 December 2025, G.S.R.904(E). All bidders submit Form-1; item-specific Melt &amp; Pour and domestic-value-addition provisions apply.</w:t>
      </w:r>
    </w:p>
    <w:p>
      <w:r>
        <w:t>Required update — Classify items under policy Appendix A/B and HS code. Obtain heat/mill origin records, Form-1, authorisations and applicable auditor certificates; maintain traceability. Do not confuse these policy appendices with tender appendices.</w:t>
      </w:r>
    </w:p>
    <w:p>
      <w:r>
        <w:t>Proposed owner: Procurement / QA / Contracts. Completion evidence: not established by this source review.</w:t>
      </w:r>
    </w:p>
    <w:p>
      <w:pPr>
        <w:pStyle w:val="Heading2"/>
      </w:pPr>
      <w:r>
        <w:t>P9-07 — MSE and local content</w:t>
      </w:r>
    </w:p>
    <w:p>
      <w:r>
        <w:t>Source: CQ_replies_BRRP.pdf p5</w:t>
      </w:r>
    </w:p>
    <w:p>
      <w:r>
        <w:t>ONGC reply says PPP-MSE exemption/purchase-preference benefits do not apply to this LSTK works tender. PP-MII is referred to ITB23.6.2(b).</w:t>
      </w:r>
    </w:p>
    <w:p>
      <w:r>
        <w:t>Required update — Remove assumed MSE EMD exemption; verify PP-MII separately, including current amendments.</w:t>
      </w:r>
    </w:p>
    <w:p>
      <w:r>
        <w:t>Proposed owner: Bid / Procurement. Completion evidence: not established by this source review.</w:t>
      </w:r>
    </w:p>
    <w:p>
      <w:pPr>
        <w:pStyle w:val="Heading2"/>
      </w:pPr>
      <w:r>
        <w:t>P9-08 — Bid content</w:t>
      </w:r>
    </w:p>
    <w:p>
      <w:r>
        <w:t>Source: CQ_replies_BRRP.pdf p6</w:t>
      </w:r>
    </w:p>
    <w:p>
      <w:r>
        <w:t>ONGC reply requires only BRS Part V-A with Quoted/Not Quoted confirmations in the unpriced bid; price manner follows the actual price format.</w:t>
      </w:r>
    </w:p>
    <w:p>
      <w:r>
        <w:t>Required update — Keep prices in the correct cover; reconcile all A-3 line items and BRS. This reply does not waive separate subcontractor commitment requirements.</w:t>
      </w:r>
    </w:p>
    <w:p>
      <w:r>
        <w:t>Proposed owner: Bid Manager. Completion evidence: not established by this source review.</w:t>
      </w:r>
    </w:p>
    <w:p>
      <w:pPr>
        <w:pStyle w:val="Heading2"/>
      </w:pPr>
      <w:r>
        <w:t>P9-09 — Tax and precedence</w:t>
      </w:r>
    </w:p>
    <w:p>
      <w:r>
        <w:t>Source: CQ_replies_BRRP.pdf pp7-9</w:t>
      </w:r>
    </w:p>
    <w:p>
      <w:r>
        <w:t>Beyond-12NM works are not declared tax-exempt: prevailing GST applies; offshore GSTIN may be used. SCC overrides GCC for conflicts; complete priority is referred to B-4. Liability reduction request was rejected.</w:t>
      </w:r>
    </w:p>
    <w:p>
      <w:r>
        <w:t>Required update — Prepare transaction-specific GST, customs and withholding matrix; use B-4 for full hierarchy. Do not adopt the bidder-proposed document hierarchy or 15% liability cap.</w:t>
      </w:r>
    </w:p>
    <w:p>
      <w:r>
        <w:t>Proposed owner: Tax / Contracts. Completion evidence: not established by this source review.</w:t>
      </w:r>
    </w:p>
    <w:p>
      <w:pPr>
        <w:pStyle w:val="Heading2"/>
      </w:pPr>
      <w:r>
        <w:t>P9-10 — Pre-bid and extension requests</w:t>
      </w:r>
    </w:p>
    <w:p>
      <w:r>
        <w:t>Source: Corrigendum_1_BRRP.pdf p1; CQ_replies_BRRP.pdf pp7,9</w:t>
      </w:r>
    </w:p>
    <w:p>
      <w:r>
        <w:t>Pre-bid conference was physical only, 8 April 2026. Six-week bid extension request was called premature at PBC stage.</w:t>
      </w:r>
    </w:p>
    <w:p>
      <w:r>
        <w:t>Required update — Record historical event; use issued extension notices for actual deadline. This reply is not a six-week extension grant.</w:t>
      </w:r>
    </w:p>
    <w:p>
      <w:r>
        <w:t>Proposed owner: Document Control / Bid. Completion evidence: not established by this source review.</w:t>
      </w:r>
    </w:p>
    <w:p>
      <w:pPr>
        <w:pStyle w:val="Heading2"/>
      </w:pPr>
      <w:r>
        <w:t>P9-11 — Integrity pact</w:t>
      </w:r>
    </w:p>
    <w:p>
      <w:r>
        <w:t>Source: IP (1).pdf pp2,4-6; IP.pdf identical</w:t>
      </w:r>
    </w:p>
    <w:p>
      <w:r>
        <w:t>Disclose intermediaries and relevant transgressions, obtain subcontractor adoption undertakings, retain records for IEM access. Contractor pact duration extends 12 months beyond last payment; other bidders six months after award, subject to outstanding claims.</w:t>
      </w:r>
    </w:p>
    <w:p>
      <w:r>
        <w:t>Required update — Maintain signed pact, partner/consortium signatures as applicable, declarations and subcontract flow-down; extend compliance retention beyond physical completion. No signed compliance evidence established by blank form.</w:t>
      </w:r>
    </w:p>
    <w:p>
      <w:r>
        <w:t>Proposed owner: Compliance / Contracts. Completion evidence: not established by this source review.</w:t>
      </w:r>
    </w:p>
    <w:p>
      <w:pPr>
        <w:pStyle w:val="Heading2"/>
      </w:pPr>
      <w:r>
        <w:t>P9-12 — PPE</w:t>
      </w:r>
    </w:p>
    <w:p>
      <w:r>
        <w:t>Source: Kits PPE List-BRRP.pdf p1</w:t>
      </w:r>
    </w:p>
    <w:p>
      <w:r>
        <w:t>Per person: 2 cotton overalls; 2 FR overalls; 2 pairs industrial shoes; 2 pairs electrical-hazard shoes for electrical personnel; 2 helmets; 2 clear goggles; 2 pairs ear muffs; 4 pairs impact/cut gloves; 2 pairs reusable ear plugs; 2 pairs rubber electrical gloves. Each construction season OR condition-based replacement.</w:t>
      </w:r>
    </w:p>
    <w:p>
      <w:r>
        <w:t>Required update — Cost against actual personnel and seasons; certified BIS/EN/ANSI items; issue before work, track replacement. Add task-specific PPE from HIRA/JSA/PTW and OISD-STD-155. Do not use 60 accommodation places as total workforce.</w:t>
      </w:r>
    </w:p>
    <w:p>
      <w:r>
        <w:t>Proposed owner: HSE / Procurement. Completion evidence: not established by this source review.</w:t>
      </w:r>
    </w:p>
    <w:p>
      <w:pPr>
        <w:pStyle w:val="Heading2"/>
      </w:pPr>
      <w:r>
        <w:t>P9-13 — Vendor revision gap closed</w:t>
      </w:r>
    </w:p>
    <w:p>
      <w:r>
        <w:t>Source: Combined_Addendum_3.pdf pp261-341</w:t>
      </w:r>
    </w:p>
    <w:p>
      <w:r>
        <w:t>Offshore Suggested Vendor List Rev12.3, as on 27 March 2026, now located. Prior missing-version finding is closed for this list.</w:t>
      </w:r>
    </w:p>
    <w:p>
      <w:r>
        <w:t>Required update — Use Rev12.3 for revision reconciliation with the reference-only-list amendment. Product/location/status checks remain necessary; current external status not verified.</w:t>
      </w:r>
    </w:p>
    <w:p>
      <w:r>
        <w:t>Proposed owner: Procurement / Document Control. Completion evidence: not established by this source review.</w:t>
      </w:r>
    </w:p>
    <w:p>
      <w:pPr>
        <w:pStyle w:val="Heading2"/>
      </w:pPr>
      <w:r>
        <w:t>P9-14 — Vendor restrictions</w:t>
      </w:r>
    </w:p>
    <w:p>
      <w:r>
        <w:t>Source: Combined_Addendum_3.pdf p262</w:t>
      </w:r>
    </w:p>
    <w:p>
      <w:r>
        <w:t>B1 quotation permitted subject to resolving hold reasons at PS submission; B3 and banned product entries prohibit order placement as stated. B2 rules and manufacturer-location undertakings also apply.</w:t>
      </w:r>
    </w:p>
    <w:p>
      <w:r>
        <w:t>Required update — Record product, manufacturing location, hold category, evidence and disposition before PO release. Reference-only lists do not erase explicit bans.</w:t>
      </w:r>
    </w:p>
    <w:p>
      <w:r>
        <w:t>Proposed owner: Procurement / QA. Completion evidence: not established by this source review.</w:t>
      </w:r>
    </w:p>
    <w:p>
      <w:pPr>
        <w:pStyle w:val="Heading2"/>
      </w:pPr>
      <w:r>
        <w:t>P9-15 — Piping material selection</w:t>
      </w:r>
    </w:p>
    <w:p>
      <w:r>
        <w:t>Source: Combined_Addendum_3.pdf pp1-124; material specification 2008 Rev3</w:t>
      </w:r>
    </w:p>
    <w:p>
      <w:r>
        <w:t>Piping material classes and component schedules are supplied. Index requires missing class sheets needed by approved P&amp;IDs to be prepared using FS2004A for company approval.</w:t>
      </w:r>
    </w:p>
    <w:p>
      <w:r>
        <w:t>Required update — Develop surveyed line list, fluid/design pressure-temperature, material class and corrosion allowance; approve PMS, stress/support loads, isometrics and MTO before purchase. Do not apply every class to BRRP.</w:t>
      </w:r>
    </w:p>
    <w:p>
      <w:r>
        <w:t>Proposed owner: Piping / Procurement. Completion evidence: not established by this source review.</w:t>
      </w:r>
    </w:p>
    <w:p>
      <w:pPr>
        <w:pStyle w:val="Heading2"/>
      </w:pPr>
      <w:r>
        <w:t>P9-16 — Welding and NDT</w:t>
      </w:r>
    </w:p>
    <w:p>
      <w:r>
        <w:t>Source: Combined_Addendum_3.pdf pp125-167; FS2009F Rev8 plus Duplex Annex1 Rev1</w:t>
      </w:r>
    </w:p>
    <w:p>
      <w:r>
        <w:t>Welding/NDT specification and seven scanned duplex annex pages supplied; scanned annex OCR reviewed. Material- and joint-specific applicability is essential.</w:t>
      </w:r>
    </w:p>
    <w:p>
      <w:r>
        <w:t>Required update — Prepare applicability matrix, approved WPS/PQR and welder qualifications, NDT procedures/personnel/calibration, weld maps, consumable traceability and repair controls. Duplex qualification/testing can be a procurement predecessor where applicable; no blanket structural NDT percentage asserted.</w:t>
      </w:r>
    </w:p>
    <w:p>
      <w:r>
        <w:t>Proposed owner: Welding Engineer / QA. Completion evidence: not established by this source review.</w:t>
      </w:r>
    </w:p>
    <w:p>
      <w:pPr>
        <w:pStyle w:val="Heading2"/>
      </w:pPr>
      <w:r>
        <w:t>P9-17 — Protective coating</w:t>
      </w:r>
    </w:p>
    <w:p>
      <w:r>
        <w:t>Source: Combined_Addendum_3.pdf pp168-245; FS2005 Rev9 dated12 December2022</w:t>
      </w:r>
    </w:p>
    <w:p>
      <w:r>
        <w:t>Protective-coating specification is supplied. Selection depends on substrate, exposure, service temperature and approved system.</w:t>
      </w:r>
    </w:p>
    <w:p>
      <w:r>
        <w:t>Required update — Prepare coating-system schedule, surface preparation/inspection, environmental logs, application/DFT/curing and repair records. Quantify areas from verified MTO; allow curing and inspection before transport. Full system-by-system numerical compliance review remains open.</w:t>
      </w:r>
    </w:p>
    <w:p>
      <w:r>
        <w:t>Proposed owner: Coating / QA / Planning. Completion evidence: not established by this source review.</w:t>
      </w:r>
    </w:p>
    <w:p>
      <w:pPr>
        <w:pStyle w:val="Heading2"/>
      </w:pPr>
      <w:r>
        <w:t>P9-18 — Bridge piping flexibility</w:t>
      </w:r>
    </w:p>
    <w:p>
      <w:r>
        <w:t>Source: Combined_Addendum_3.pdf pp246-260, piping criteria Rev4; clause5.3 p260</w:t>
      </w:r>
    </w:p>
    <w:p>
      <w:r>
        <w:t>Bridge piping must account for differential platform movement under extreme storm conditions; assess temperature-range flexibility and required loops/supports.</w:t>
      </w:r>
    </w:p>
    <w:p>
      <w:r>
        <w:t>Required update — Coordinate bearing movements, piping forces, support stiffness and bridge/platform analyses; close iterative reactions before design release. Generic fire-system text is not proof every system is additional bridge scope.</w:t>
      </w:r>
    </w:p>
    <w:p>
      <w:r>
        <w:t>Proposed owner: Piping Stress / Structural. Completion evidence: not established by this source review.</w:t>
      </w:r>
    </w:p>
    <w:p>
      <w:pPr>
        <w:pStyle w:val="Heading2"/>
      </w:pPr>
      <w:r>
        <w:t>P9-19 — Schedule impact</w:t>
      </w:r>
    </w:p>
    <w:p>
      <w:r>
        <w:t>Source: P9-03 to P9-18; Appendix C-8 previously reviewed</w:t>
      </w:r>
    </w:p>
    <w:p>
      <w:r>
        <w:t>These inputs create real predecessors for security, material-origin evidence, PS/vendor disposition, qualification, coating and survey/change control. Prior illustrative network is not revalidated by this audit.</w:t>
      </w:r>
    </w:p>
    <w:p>
      <w:r>
        <w:t>Required update — Update package-specific procurement and DCI/MCI review logic, working-day calendars and offshore windows; recalculate CPM only after durations/resources are evidenced. Do not reuse earlier float as an approved forecast.</w:t>
      </w:r>
    </w:p>
    <w:p>
      <w:r>
        <w:t>Proposed owner: Planning Manager. Completion evidence: not established by this source review.</w:t>
      </w:r>
    </w:p>
    <w:p>
      <w:pPr>
        <w:pStyle w:val="Heading2"/>
      </w:pPr>
      <w:r>
        <w:t>P9-20 — Remaining version controls</w:t>
      </w:r>
    </w:p>
    <w:p>
      <w:r>
        <w:t>Source: Combined_Addendum_1.pdf p1; P8 and P9 inventories</w:t>
      </w:r>
    </w:p>
    <w:p>
      <w:r>
        <w:t>SVL12.3 found, but positive identification of the announced revised Technical SCC and revised A-3 still requires controlled-document reconciliation.</w:t>
      </w:r>
    </w:p>
    <w:p>
      <w:r>
        <w:t>Required update — Link each governing revision to actual source and issue notice; preserve unresolved drawing revision conflicts and MTO discrepancies. Do not mark all historical inputs fully reconciled.</w:t>
      </w:r>
    </w:p>
    <w:p>
      <w:r>
        <w:t>Proposed owner: Document Control / Contracts. Completion evidence: not established by this source review.</w:t>
      </w:r>
    </w:p>
    <w:p>
      <w:pPr>
        <w:pStyle w:val="Heading1"/>
      </w:pPr>
      <w:r>
        <w:t>Review boundaries and next controlled issue</w:t>
      </w:r>
    </w:p>
    <w:p>
      <w:r>
        <w:t>Combined Addendum3 contains341 pages. Section boundaries and source revisions were checked. Fourteen selected pages were OCRed, including all seven low-text duplex annex pages and specification covers. Some piping/coating text has defective font encoding; no claim is made that every tabulated value has been verified. Numerical values must be read from the original relevant sheet during discipline design/QA review. SVL restrictions were screened, but every vendor/product entry was not individually evaluated.</w:t>
      </w:r>
    </w:p>
    <w:p>
      <w:r>
        <w:t>Required next issue: controlled requirement matrix → bridge-by-bridge scope/design/MTO reconciliation → vendor and procurement/QA package updates → DCI/MCI and review-calendar updates → resource and marine-window validation → recalculated CPM/cash flow → independent design check and company approvals. Actual site verification, qualification tests, accepted vendors, signed commitments and construction release remain execution/approval gates; templates do not establish that these gates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