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BRRP — Preliminary Structural Engineering Review</w:t>
      </w:r>
    </w:p>
    <w:p>
      <w:r>
        <w:t>Rev P2 | 25 October 2026 | Source-based design development and arithmetic audit</w:t>
      </w:r>
    </w:p>
    <w:p>
      <w:r>
        <w:t>This package reviews the uploaded replacement-bridge studies; it is not a newly completed or certified structural design. No structural analysis model has been independently reproduced. No fabrication, bearing, connection, lifting or demolition detail is approved by this review.</w:t>
      </w:r>
    </w:p>
    <w:p>
      <w:pPr>
        <w:pStyle w:val="Heading1"/>
      </w:pPr>
      <w:r>
        <w:t>1. Adopted source basis</w:t>
      </w:r>
    </w:p>
    <w:p>
      <w:r>
        <w:t>Status: PRELIMINARY DESIGN DEVELOPMENT / INDEPENDENT ARITHMETIC AUDIT ONLY. Not a completed design, checked FE model or AFC release.</w:t>
      </w:r>
    </w:p>
    <w:p>
      <w:r>
        <w:t>Sources: SOW &amp; Bridge Report Combined.pdf, 506 pages; structural SOW Rev C; reports BPR-0003/0004/0005; structural scope addendum; Specification Combined.pdf.</w:t>
      </w:r>
    </w:p>
    <w:p>
      <w:r>
        <w:t>Scope: Three replacement bridges and associated supports / landings / platform-jacket interfaces. BHS includes service supports, operational transfer and demolition engineering.</w:t>
      </w:r>
    </w:p>
    <w:p>
      <w:r>
        <w:t>Geometry: Reported SACS lengths 56/84/42 m are preliminary model lengths, NOT verified fabrication lengths or bearing-centre coordinates.</w:t>
      </w:r>
    </w:p>
    <w:p>
      <w:r>
        <w:t>Loads: Load extents, source model and combinations require reconciliation; do not size members from the arithmetic review.</w:t>
      </w:r>
    </w:p>
    <w:p>
      <w:r>
        <w:t>Limits: L/400 vertical and L/500 lateral are source-study criteria used for arithmetic reproduction, not independently approved project acceptance criteria.</w:t>
      </w:r>
    </w:p>
    <w:p>
      <w:r>
        <w:t>Sections: Tubular dimensions in Section Geometry are transcribed only from ICP report VIV table. They are NOT mapped to chords/braces or selected for construction.</w:t>
      </w:r>
    </w:p>
    <w:p>
      <w:r>
        <w:t>Support: SOW fixed/sliding terminology must be implemented using verified global/local directions, support coordinates, movements and actual restraints. Fixed is not automatically a moment-fixed member end.</w:t>
      </w:r>
    </w:p>
    <w:p>
      <w:r>
        <w:t>Model status: Native analysis model, member groups, load distribution, stiffness assumptions, connectivity, combinations and full result envelopes have not been independently reproduced.</w:t>
      </w:r>
    </w:p>
    <w:p>
      <w:r>
        <w:t>Release: Final fabrication, bearing, connection, lifting and temporary-work details require checked project-specific calculations and applicable ONGC approval.</w:t>
      </w:r>
    </w:p>
    <w:p>
      <w:pPr>
        <w:pStyle w:val="Heading1"/>
      </w:pPr>
      <w:r>
        <w:t>2. Reported structural results and arithmetic checks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Bridge</w:t>
            </w:r>
          </w:p>
        </w:tc>
        <w:tc>
          <w:tcPr>
            <w:tcW w:type="dxa" w:w="1234"/>
          </w:tcPr>
          <w:p>
            <w:r>
              <w:t>Study L m</w:t>
            </w:r>
          </w:p>
        </w:tc>
        <w:tc>
          <w:tcPr>
            <w:tcW w:type="dxa" w:w="1234"/>
          </w:tcPr>
          <w:p>
            <w:r>
              <w:t>Listed member UC</w:t>
            </w:r>
          </w:p>
        </w:tc>
        <w:tc>
          <w:tcPr>
            <w:tcW w:type="dxa" w:w="1234"/>
          </w:tcPr>
          <w:p>
            <w:r>
              <w:t>Listed joint UC</w:t>
            </w:r>
          </w:p>
        </w:tc>
        <w:tc>
          <w:tcPr>
            <w:tcW w:type="dxa" w:w="1234"/>
          </w:tcPr>
          <w:p>
            <w:r>
              <w:t>Vertical mm / source limit</w:t>
            </w:r>
          </w:p>
        </w:tc>
        <w:tc>
          <w:tcPr>
            <w:tcW w:type="dxa" w:w="1234"/>
          </w:tcPr>
          <w:p>
            <w:r>
              <w:t>Lateral mm / source limit</w:t>
            </w:r>
          </w:p>
        </w:tc>
        <w:tc>
          <w:tcPr>
            <w:tcW w:type="dxa" w:w="1234"/>
          </w:tcPr>
          <w:p>
            <w:r>
              <w:t>Source PDF pages</w:t>
            </w:r>
          </w:p>
        </w:tc>
      </w:tr>
      <w:tr>
        <w:tc>
          <w:tcPr>
            <w:tcW w:type="dxa" w:w="1234"/>
          </w:tcPr>
          <w:p>
            <w:r>
              <w:t>ICW-ICG LD</w:t>
            </w:r>
          </w:p>
        </w:tc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0.557</w:t>
            </w:r>
          </w:p>
        </w:tc>
        <w:tc>
          <w:tcPr>
            <w:tcW w:type="dxa" w:w="1234"/>
          </w:tcPr>
          <w:p>
            <w:r>
              <w:t>0.509</w:t>
            </w:r>
          </w:p>
        </w:tc>
        <w:tc>
          <w:tcPr>
            <w:tcW w:type="dxa" w:w="1234"/>
          </w:tcPr>
          <w:p>
            <w:r>
              <w:t>105 / 140 (75.0%)</w:t>
            </w:r>
          </w:p>
        </w:tc>
        <w:tc>
          <w:tcPr>
            <w:tcW w:type="dxa" w:w="1234"/>
          </w:tcPr>
          <w:p>
            <w:r>
              <w:t>87 / 112 (77.7%)</w:t>
            </w:r>
          </w:p>
        </w:tc>
        <w:tc>
          <w:tcPr>
            <w:tcW w:type="dxa" w:w="1234"/>
          </w:tcPr>
          <w:p>
            <w:r>
              <w:t>133-135;152-153</w:t>
            </w:r>
          </w:p>
        </w:tc>
      </w:tr>
      <w:tr>
        <w:tc>
          <w:tcPr>
            <w:tcW w:type="dxa" w:w="1234"/>
          </w:tcPr>
          <w:p>
            <w:r>
              <w:t>ICP-ICG LD</w:t>
            </w:r>
          </w:p>
        </w:tc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0.625</w:t>
            </w:r>
          </w:p>
        </w:tc>
        <w:tc>
          <w:tcPr>
            <w:tcW w:type="dxa" w:w="1234"/>
          </w:tcPr>
          <w:p>
            <w:r>
              <w:t>177 / 210 (84.3%)</w:t>
            </w:r>
          </w:p>
        </w:tc>
        <w:tc>
          <w:tcPr>
            <w:tcW w:type="dxa" w:w="1234"/>
          </w:tcPr>
          <w:p>
            <w:r>
              <w:t>123 / 168 (73.2%)</w:t>
            </w:r>
          </w:p>
        </w:tc>
        <w:tc>
          <w:tcPr>
            <w:tcW w:type="dxa" w:w="1234"/>
          </w:tcPr>
          <w:p>
            <w:r>
              <w:t>196-199;207-209</w:t>
            </w:r>
          </w:p>
        </w:tc>
      </w:tr>
      <w:tr>
        <w:tc>
          <w:tcPr>
            <w:tcW w:type="dxa" w:w="1234"/>
          </w:tcPr>
          <w:p>
            <w:r>
              <w:t>BHS-SLQ LD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  <w:tc>
          <w:tcPr>
            <w:tcW w:type="dxa" w:w="1234"/>
          </w:tcPr>
          <w:p>
            <w:r>
              <w:t>0.859</w:t>
            </w:r>
          </w:p>
        </w:tc>
        <w:tc>
          <w:tcPr>
            <w:tcW w:type="dxa" w:w="1234"/>
          </w:tcPr>
          <w:p>
            <w:r>
              <w:t>32 / 105 (30.5%)</w:t>
            </w:r>
          </w:p>
        </w:tc>
        <w:tc>
          <w:tcPr>
            <w:tcW w:type="dxa" w:w="1234"/>
          </w:tcPr>
          <w:p>
            <w:r>
              <w:t>76 / 84 (90.5%)</w:t>
            </w:r>
          </w:p>
        </w:tc>
        <w:tc>
          <w:tcPr>
            <w:tcW w:type="dxa" w:w="1234"/>
          </w:tcPr>
          <w:p>
            <w:r>
              <w:t>97-100;122-123</w:t>
            </w:r>
          </w:p>
        </w:tc>
      </w:tr>
    </w:tbl>
    <w:p>
      <w:r>
        <w:t>These values reproduce source-study summaries and their stated L/400 and L/500 arithmetic. They are not new analysis results or acceptance of current adequacy. Listing a UC below 1.0 does not verify missing load cases, platform capacity, fatigue, temporary states or changed geometry.</w:t>
      </w:r>
    </w:p>
    <w:p>
      <w:pPr>
        <w:pStyle w:val="Heading1"/>
      </w:pPr>
      <w:r>
        <w:t>3. Camber clarification</w:t>
      </w:r>
    </w:p>
    <w:p>
      <w:r>
        <w:t>ICW-ICG LD: literal L/200 gives 280 mm; reported dead-load deflection is 85 mm. Obtain the intended fabrication camber profile and reference geometry. No camber is selected here.</w:t>
      </w:r>
    </w:p>
    <w:p>
      <w:r>
        <w:t>ICP-ICG LD: literal L/200 gives 420 mm; reported dead-load deflection is 143 mm. Obtain the intended fabrication camber profile and reference geometry. No camber is selected here.</w:t>
      </w:r>
    </w:p>
    <w:p>
      <w:r>
        <w:t>BHS-SLQ LD: literal L/200 gives 210 mm; reported dead-load deflection is 32 mm. Obtain the intended fabrication camber profile and reference geometry. No camber is selected here.</w:t>
      </w:r>
    </w:p>
    <w:p>
      <w:pPr>
        <w:pStyle w:val="Heading1"/>
      </w:pPr>
      <w:r>
        <w:t>4. Live-load consistency screen</w:t>
      </w:r>
    </w:p>
    <w:p>
      <w:r>
        <w:t>Using 250 kg/m2 as mass loading gives 2.4516625 kN/m2. A simple full-length rectangular walkway calculation is a screening comparison only. Real loaded areas, landing extensions and source model generation can differ.</w:t>
      </w:r>
    </w:p>
    <w:p>
      <w:r>
        <w:t>ICW-ICG LD: L x b x q = 164.75 kN; report table 156.25 kN; reported output 144.69 kN. Reconcile source areas and model revision before sizing.</w:t>
      </w:r>
    </w:p>
    <w:p>
      <w:r>
        <w:t>ICP-ICG LD: L x b x q = 247.13 kN; report table 288.00 kN; reported output 288.00 kN. Reconcile source areas and model revision before sizing.</w:t>
      </w:r>
    </w:p>
    <w:p>
      <w:r>
        <w:t>BHS-SLQ LD: L x b x q = 239.30 kN; report table 268.42 kN; reported output 268.42 kN. Reconcile source areas and model revision before sizing.</w:t>
      </w:r>
    </w:p>
    <w:p>
      <w:pPr>
        <w:pStyle w:val="Heading1"/>
      </w:pPr>
      <w:r>
        <w:t>5. Source section geometry — not a member selection</w:t>
      </w:r>
    </w:p>
    <w:p>
      <w:r>
        <w:t>ICP report VIV table lists 406 x 15.9, 406 x 12.7, 168 x 9.5 and 114 x 7.9 mm tubular sections. Their member functions cannot be assigned from that table. Workbook geometry uses A = pi(D^2-d^2)/4, I = pi(D^4-d^4)/64, Z = 2I/D, r = sqrt(I/A), nominal mass = A x 0.00785 kg/m. No corrosion deduction, tolerance, effective length, resistance or member selection is implied.</w:t>
      </w:r>
    </w:p>
    <w:p>
      <w:pPr>
        <w:pStyle w:val="Heading1"/>
      </w:pPr>
      <w:r>
        <w:t>6. Required technical-query closures</w:t>
      </w:r>
    </w:p>
    <w:p>
      <w:r>
        <w:t>Q01 | All | Model length versus final span. Required: Survey coordinates, datums, skew, landing offsets and actual bearing centres. Owner: Engineering.</w:t>
      </w:r>
    </w:p>
    <w:p>
      <w:r>
        <w:t>Q02 | All | Source model unavailable for reproduction. Required: Native SACS model, connectivity, groups, loads, combinations, stiffness and envelopes. Owner: Analysis lead.</w:t>
      </w:r>
    </w:p>
    <w:p>
      <w:r>
        <w:t>Q03 | All | Rectangular LL screen does not reproduce all totals. Required: Actual loaded areas, extensions, units, distribution and load-generation records. Owner: Analysis lead.</w:t>
      </w:r>
    </w:p>
    <w:p>
      <w:r>
        <w:t>Q04 | ICW | Report LL156.25kN vs output144.69kN. Required: Identify controlling model revision and corresponding load map. Owner: Analysis lead.</w:t>
      </w:r>
    </w:p>
    <w:p>
      <w:r>
        <w:t>Q05 | All | Report instruction 1:200 differs from reported DL deflection. Required: Define camber meaning/profile, reference line, support levels and tolerances. Owner: Technical Authority.</w:t>
      </w:r>
    </w:p>
    <w:p>
      <w:r>
        <w:t>Q06 | BHS-SLQ | Report says SLQ fixed; SOW also contains sliding wording. Required: Resolve support philosophy and exact freedoms / restraints. Owner: ONGC / Engineering.</w:t>
      </w:r>
    </w:p>
    <w:p>
      <w:r>
        <w:t>Q07 | All | 15-second gust in IC reports vs 3-second gust in BHS. Required: Approved metocean/design basis and compatible averaging/conversion method. Owner: Analysis lead.</w:t>
      </w:r>
    </w:p>
    <w:p>
      <w:r>
        <w:t>Q08 | All | Bridge reports refer to separate support/deck/jacket adequacy. Required: Obtain checks/models and integrate reactions with addendum strengthening. Owner: Platform engineer.</w:t>
      </w:r>
    </w:p>
    <w:p>
      <w:r>
        <w:t>Q09 | All | Summary does not identify complete concurrent signed envelopes. Required: Provide units, axes, governing combinations, minima, maxima, uplift and moments. Owner: Analysis lead.</w:t>
      </w:r>
    </w:p>
    <w:p>
      <w:r>
        <w:t>Q10 | All | Pictures/VIV list do not establish member schedule. Required: Obtain complete section-group mapping, effective lengths and material specifications. Owner: Analysis lead.</w:t>
      </w:r>
    </w:p>
    <w:p>
      <w:r>
        <w:t>Q11 | All | Source summary does not establish full project coverage. Required: Verify vibration, wind response, fatigue and movement criteria with full calculations. Owner: Specialist engineer.</w:t>
      </w:r>
    </w:p>
    <w:p>
      <w:r>
        <w:t>Q12 | All | Operating study is not lifting / transport approval. Required: Check actual modules, transport supports, accelerations, lifting and installation states. Owner: Marine / Structural.</w:t>
      </w:r>
    </w:p>
    <w:p>
      <w:r>
        <w:t>Q13 | All | 83-41 / 83-43 and landing/demolition reference conflicts. Required: Issue corrected controlling drawing register and revisions. Owner: Document control / ONGC.</w:t>
      </w:r>
    </w:p>
    <w:p>
      <w:r>
        <w:t>Q14 | All | 50ksi yield is not a complete procurement grade. Required: Approve grade, toughness, thickness tolerances, corrosion basis, welding and coatings. Owner: Materials / QA.</w:t>
      </w:r>
    </w:p>
    <w:p>
      <w:pPr>
        <w:pStyle w:val="Heading1"/>
      </w:pPr>
      <w:r>
        <w:t>7. Detailed-engineering work programme</w:t>
      </w:r>
    </w:p>
    <w:p>
      <w:r>
        <w:t>Global model — Coordinates, member connectivity, releases, eccentricity, torsion and lateral stability. Deliverable: Checked model and independent review.</w:t>
      </w:r>
    </w:p>
    <w:p>
      <w:r>
        <w:t>Members — Axial, bending, shear, interaction, local slenderness and effective lengths. Deliverable: Member group schedule and full utilisation envelopes.</w:t>
      </w:r>
    </w:p>
    <w:p>
      <w:r>
        <w:t>Connections — Tubular joint checks, local stresses, bolts, welds, gussets and fatigue details. Deliverable: Joint calculations and fabrication detail drawings.</w:t>
      </w:r>
    </w:p>
    <w:p>
      <w:r>
        <w:t>Serviceability — Agreed load cases, vertical/lateral limits, walkway vibration and service movement. Deliverable: Serviceability report and camber profile.</w:t>
      </w:r>
    </w:p>
    <w:p>
      <w:r>
        <w:t>Bearings — Thermal and relative platform motion, friction, guides, travel and uplift. Deliverable: Bearing data sheets and reactions.</w:t>
      </w:r>
    </w:p>
    <w:p>
      <w:r>
        <w:t>Existing steel — Actual corrosion and load paths plus new reaction envelopes. Deliverable: Integrated existing-structure adequacy report.</w:t>
      </w:r>
    </w:p>
    <w:p>
      <w:r>
        <w:t>Marine — Loadout, transport, seafastening, lifting, landing and temporary support. Deliverable: Checked operation-specific engineering.</w:t>
      </w:r>
    </w:p>
    <w:p>
      <w:r>
        <w:t>Fabrication — Approved geometry and sections, connections, tolerances, inspection and traceability. Deliverable: AFC drawings and manufacturing dossier.</w:t>
      </w:r>
    </w:p>
    <w:p>
      <w:r>
        <w:t>For every replacement bridge, develop GA, framing, secondary steel, bearings, end connections, landing interfaces, jacket strengthening, access fittings, service supports, temporary/lifting details, transport supports and MTO/inspection drawings. Add BHS service-transfer and demolition details. Each drawing must identify the supporting approved calculation, survey revision and design status.</w:t>
      </w:r>
    </w:p>
    <w:p>
      <w:pPr>
        <w:pStyle w:val="Heading1"/>
      </w:pPr>
      <w:r>
        <w:t>8. Release position</w:t>
      </w:r>
    </w:p>
    <w:p>
      <w:r>
        <w:t>The source studies provide a credible starting concept: 56m, 84m and 42m braced space-truss models. Their study-level conclusions are not independently adopted. Proceed with input verification, native-model review and design development. AFC release remains subject to competent project-specific checking and applicable ONGC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