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SHIVANSH OFFSHORE EPC</w:t>
      </w:r>
    </w:p>
    <w:p>
      <w:pPr>
        <w:pStyle w:val="Heading1"/>
      </w:pPr>
      <w:r>
        <w:t>PROJECT EXECUTION MASTER PLAN</w:t>
      </w:r>
    </w:p>
    <w:p>
      <w:pPr>
        <w:pStyle w:val="Heading1"/>
      </w:pPr>
      <w:r>
        <w:t>VOLUME 6 — COMMERCIAL, QUALITY, HSE, RISK AND HANDOVER</w:t>
      </w:r>
    </w:p>
    <w:p>
      <w:r>
        <w:t>ONGC Bridge Refurbishment &amp; Replacement Project | Pre-award planning draft | 17 October 2026</w:t>
      </w:r>
    </w:p>
    <w:p>
      <w:r>
        <w:t>DOCUMENT STATUS: For management planning and verification only. Not issued for construction. Technical and marine procedures require competent engineering review and ONGC approvals.</w:t>
      </w:r>
    </w:p>
    <w:p>
      <w:pPr>
        <w:pStyle w:val="Heading2"/>
      </w:pPr>
      <w:r>
        <w:t>Document control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Entry</w:t>
            </w:r>
          </w:p>
        </w:tc>
      </w:tr>
      <w:tr>
        <w:tc>
          <w:tcPr>
            <w:tcW w:type="dxa" w:w="4320"/>
          </w:tcPr>
          <w:p>
            <w:r>
              <w:t>Document code</w:t>
            </w:r>
          </w:p>
        </w:tc>
        <w:tc>
          <w:tcPr>
            <w:tcW w:type="dxa" w:w="4320"/>
          </w:tcPr>
          <w:p>
            <w:r>
              <w:t>SHV-BRRP-PEP-V06-R0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0 — Pre-award planning</w:t>
            </w:r>
          </w:p>
        </w:tc>
      </w:tr>
      <w:tr>
        <w:tc>
          <w:tcPr>
            <w:tcW w:type="dxa" w:w="4320"/>
          </w:tcPr>
          <w:p>
            <w:r>
              <w:t>Prepared for</w:t>
            </w:r>
          </w:p>
        </w:tc>
        <w:tc>
          <w:tcPr>
            <w:tcW w:type="dxa" w:w="4320"/>
          </w:tcPr>
          <w:p>
            <w:r>
              <w:t>Shivansh management / Project Director</w:t>
            </w:r>
          </w:p>
        </w:tc>
      </w:tr>
      <w:tr>
        <w:tc>
          <w:tcPr>
            <w:tcW w:type="dxa" w:w="4320"/>
          </w:tcPr>
          <w:p>
            <w:r>
              <w:t>Contract award</w:t>
            </w:r>
          </w:p>
        </w:tc>
        <w:tc>
          <w:tcPr>
            <w:tcW w:type="dxa" w:w="4320"/>
          </w:tcPr>
          <w:p>
            <w:r>
              <w:t>Not confirmed</w:t>
            </w:r>
          </w:p>
        </w:tc>
      </w:tr>
      <w:tr>
        <w:tc>
          <w:tcPr>
            <w:tcW w:type="dxa" w:w="4320"/>
          </w:tcPr>
          <w:p>
            <w:r>
              <w:t>Governing duration</w:t>
            </w:r>
          </w:p>
        </w:tc>
        <w:tc>
          <w:tcPr>
            <w:tcW w:type="dxa" w:w="4320"/>
          </w:tcPr>
          <w:p>
            <w:r>
              <w:t>360 days subject to contract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Pending CEO and discipline review</w:t>
            </w:r>
          </w:p>
        </w:tc>
      </w:tr>
    </w:tbl>
    <w:p>
      <w:pPr>
        <w:pStyle w:val="Heading2"/>
      </w:pPr>
      <w:r>
        <w:t>Basis, sources and limitations</w:t>
      </w:r>
    </w:p>
    <w:p>
      <w:r>
        <w:t>The ONGC SOW &amp; Bridge Report Combined.pdf, Section 1 Background and General Requirement, contains the ten-bridge B774 scope and quantity table. Previous project-stage assumptions are incorporated as planning hypotheses, not as verified commitments. Latest addenda, detailed drawings and MTO must be reconciled before procurement, fabrication, lifting or offshore work.</w:t>
      </w:r>
    </w:p>
    <w:p>
      <w:r>
        <w:t>External EPC benchmarks: Saipem offshore engineering and construction; McDermott offshore EPCI. Marine reference for applicability review: DNV-ST-N001 (December 2023). Contract documents and approved ONGC requirements govern.</w:t>
      </w:r>
    </w:p>
    <w:p>
      <w:pPr>
        <w:pStyle w:val="Heading2"/>
      </w:pPr>
      <w:r>
        <w:t>Master bridge and quantity register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Bridge</w:t>
            </w:r>
          </w:p>
        </w:tc>
        <w:tc>
          <w:tcPr>
            <w:tcW w:type="dxa" w:w="1440"/>
          </w:tcPr>
          <w:p>
            <w:r>
              <w:t>New/replace MT</w:t>
            </w:r>
          </w:p>
        </w:tc>
        <w:tc>
          <w:tcPr>
            <w:tcW w:type="dxa" w:w="1440"/>
          </w:tcPr>
          <w:p>
            <w:r>
              <w:t>Existing bridge strengthen MT</w:t>
            </w:r>
          </w:p>
        </w:tc>
        <w:tc>
          <w:tcPr>
            <w:tcW w:type="dxa" w:w="1440"/>
          </w:tcPr>
          <w:p>
            <w:r>
              <w:t>New landing/deck MT</w:t>
            </w:r>
          </w:p>
        </w:tc>
        <w:tc>
          <w:tcPr>
            <w:tcW w:type="dxa" w:w="1440"/>
          </w:tcPr>
          <w:p>
            <w:r>
              <w:t>Existing landing/deck strengthen MT</w:t>
            </w:r>
          </w:p>
        </w:tc>
        <w:tc>
          <w:tcPr>
            <w:tcW w:type="dxa" w:w="1440"/>
          </w:tcPr>
          <w:p>
            <w:r>
              <w:t>Demolition MT</w:t>
            </w:r>
          </w:p>
        </w:tc>
      </w:tr>
      <w:tr>
        <w:tc>
          <w:tcPr>
            <w:tcW w:type="dxa" w:w="1440"/>
          </w:tcPr>
          <w:p>
            <w:r>
              <w:t>ICW–ICG UD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ICW–ICG LD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ICG–ICP UD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ICG–ICP LD</w:t>
            </w:r>
          </w:p>
        </w:tc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BHS–SLQ</w:t>
            </w:r>
          </w:p>
        </w:tc>
        <w:tc>
          <w:tcPr>
            <w:tcW w:type="dxa" w:w="1440"/>
          </w:tcPr>
          <w:p>
            <w:r>
              <w:t>195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210</w:t>
            </w:r>
          </w:p>
        </w:tc>
      </w:tr>
      <w:tr>
        <w:tc>
          <w:tcPr>
            <w:tcW w:type="dxa" w:w="1440"/>
          </w:tcPr>
          <w:p>
            <w:r>
              <w:t>SLQ–WIS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  <w:tr>
        <w:tc>
          <w:tcPr>
            <w:tcW w:type="dxa" w:w="1440"/>
          </w:tcPr>
          <w:p>
            <w:r>
              <w:t>NQO–NQD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WIN–NC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SCA–SC1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  <w:tr>
        <w:tc>
          <w:tcPr>
            <w:tcW w:type="dxa" w:w="1440"/>
          </w:tcPr>
          <w:p>
            <w:r>
              <w:t>SCA–SCF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30</w:t>
            </w:r>
          </w:p>
        </w:tc>
      </w:tr>
    </w:tbl>
    <w:p>
      <w:r>
        <w:t>Printed SOW column totals: 367 / 361 / 197 / 217 / 357 MT. Structural column total = 1,142 MT. Sum of printed bridge-row structural entries = 1,141 MT. Open discrepancy: 1 MT. Handrail 1,168 m; grating 719 m²; GI sheeting 1,274 m². No correction made pending source reconciliation.</w:t>
      </w:r>
    </w:p>
    <w:p>
      <w:pPr>
        <w:pStyle w:val="Heading1"/>
      </w:pPr>
      <w:r>
        <w:t>Management procedures and control requirements</w:t>
      </w:r>
    </w:p>
    <w:p>
      <w:pPr>
        <w:pStyle w:val="Heading2"/>
      </w:pPr>
      <w:r>
        <w:t>6.1 Cost baseline</w:t>
      </w:r>
    </w:p>
    <w:p>
      <w:r>
        <w:t>Code engineering, steel, fabrication, NDT, coating, logistics, marine, offshore labour, demolition, service interfaces, management, insurance, finance, risk and handover by bridge and common package.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6.2 Commercial contract review</w:t>
      </w:r>
    </w:p>
    <w:p>
      <w:r>
        <w:t>Verify ONGC invoice measurement, certification periods, retention, guarantees, advances, variation notices, tax treatment, insurance, payment terms and subcontracting permission before making assumptions.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6.3 Working capital</w:t>
      </w:r>
    </w:p>
    <w:p>
      <w:r>
        <w:t>Forecast cash-out from dated POs, subcontract milestones, wages, charters and overhead; cash-in from contract-specific billing and expected collection; peak cash gap is maximum cumulative payments minus receipts.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6.4 Cost and earned value</w:t>
      </w:r>
    </w:p>
    <w:p>
      <w:r>
        <w:t>Track budget, commitment, accrual, actual, earned value, forecast ETC and EAC. Reconcile physical progress, certified progress, invoicing and cash collected separately.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6.5 Quality management</w:t>
      </w:r>
    </w:p>
    <w:p>
      <w:r>
        <w:t>Issue project quality plan, ITP matrix, welding qualifications, material traceability, NDT/coating procedures, calibration, NCR and corrective action, turnover dossiers. ONGC/third-party hold points as contract requires.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6.6 HSE and SIMOPS</w:t>
      </w:r>
    </w:p>
    <w:p>
      <w:r>
        <w:t>Site-specific risk assessments, permit-to-work, isolations, working at height, lifting, dropped objects, hot work, marine transfers, emergency response, personnel competence and simultaneous operations must follow approved ONGC and vessel systems.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6.7 Emergency response</w:t>
      </w:r>
    </w:p>
    <w:p>
      <w:r>
        <w:t>Integrate platform emergency authority, vessel master, contractor personnel accountability, communications, evacuation, medical response, incident management and restart checks. Run tabletop and relevant joint drills.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6.8 Risk and contingency</w:t>
      </w:r>
    </w:p>
    <w:p>
      <w:r>
        <w:t>Maintain probability/impact register with named owner, early-warning indicator, mitigation, cost and schedule consequence; quantify contingency separately from hidden budget allowances.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6.9 Claims and changes</w:t>
      </w:r>
    </w:p>
    <w:p>
      <w:r>
        <w:t>Maintain change register, written instructions, contemporaneous records, delay event logs, notices within contractual time bars and approved variation valuation. Do not assume entitlement.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6.10 Completion and turnover</w:t>
      </w:r>
    </w:p>
    <w:p>
      <w:r>
        <w:t>Bridge-wise mechanical/structural completion records, punch lists, NDT/coating reports, material certificates, as-builts, removal/disposal records, service reinstatement and ONGC acceptance.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6.11 Financial and execution gate</w:t>
      </w:r>
    </w:p>
    <w:p>
      <w:r>
        <w:t>CEO receives cost-to-complete, 13-week cash forecast, marine exposure, unresolved NCRs, critical-path risk and acceptance forecast; no unapproved spending or safety-gate waiver.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1"/>
      </w:pPr>
      <w:r>
        <w:t>Bridge-wise implementation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Bridge</w:t>
            </w:r>
          </w:p>
        </w:tc>
        <w:tc>
          <w:tcPr>
            <w:tcW w:type="dxa" w:w="2160"/>
          </w:tcPr>
          <w:p>
            <w:r>
              <w:t>Work type</w:t>
            </w:r>
          </w:p>
        </w:tc>
        <w:tc>
          <w:tcPr>
            <w:tcW w:type="dxa" w:w="2160"/>
          </w:tcPr>
          <w:p>
            <w:r>
              <w:t>Planning quantity MT</w:t>
            </w:r>
          </w:p>
        </w:tc>
        <w:tc>
          <w:tcPr>
            <w:tcW w:type="dxa" w:w="2160"/>
          </w:tcPr>
          <w:p>
            <w:r>
              <w:t>Required bridge-specific output</w:t>
            </w:r>
          </w:p>
        </w:tc>
      </w:tr>
      <w:tr>
        <w:tc>
          <w:tcPr>
            <w:tcW w:type="dxa" w:w="2160"/>
          </w:tcPr>
          <w:p>
            <w:r>
              <w:t>ICW–ICG UD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ICW–ICG LD</w:t>
            </w:r>
          </w:p>
        </w:tc>
        <w:tc>
          <w:tcPr>
            <w:tcW w:type="dxa" w:w="2160"/>
          </w:tcPr>
          <w:p>
            <w:r>
              <w:t>New lower deck</w:t>
            </w:r>
          </w:p>
        </w:tc>
        <w:tc>
          <w:tcPr>
            <w:tcW w:type="dxa" w:w="2160"/>
          </w:tcPr>
          <w:p>
            <w:r>
              <w:t>122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ICG–ICP UD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ICG–ICP LD</w:t>
            </w:r>
          </w:p>
        </w:tc>
        <w:tc>
          <w:tcPr>
            <w:tcW w:type="dxa" w:w="2160"/>
          </w:tcPr>
          <w:p>
            <w:r>
              <w:t>New lower deck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BHS–SLQ</w:t>
            </w:r>
          </w:p>
        </w:tc>
        <w:tc>
          <w:tcPr>
            <w:tcW w:type="dxa" w:w="2160"/>
          </w:tcPr>
          <w:p>
            <w:r>
              <w:t>Replacement</w:t>
            </w:r>
          </w:p>
        </w:tc>
        <w:tc>
          <w:tcPr>
            <w:tcW w:type="dxa" w:w="2160"/>
          </w:tcPr>
          <w:p>
            <w:r>
              <w:t>282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SLQ–WIS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NQO–NQD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WIN–NC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SCA–SC1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SCA–SCF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119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</w:tbl>
    <w:p>
      <w:pPr>
        <w:pStyle w:val="Heading1"/>
      </w:pPr>
      <w:r>
        <w:t>Control register template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Deliverable / action</w:t>
            </w:r>
          </w:p>
        </w:tc>
        <w:tc>
          <w:tcPr>
            <w:tcW w:type="dxa" w:w="1728"/>
          </w:tcPr>
          <w:p>
            <w:r>
              <w:t>Accountable owner</w:t>
            </w:r>
          </w:p>
        </w:tc>
        <w:tc>
          <w:tcPr>
            <w:tcW w:type="dxa" w:w="1728"/>
          </w:tcPr>
          <w:p>
            <w:r>
              <w:t>Due date</w:t>
            </w:r>
          </w:p>
        </w:tc>
        <w:tc>
          <w:tcPr>
            <w:tcW w:type="dxa" w:w="1728"/>
          </w:tcPr>
          <w:p>
            <w:r>
              <w:t>Status / evidence</w:t>
            </w:r>
          </w:p>
        </w:tc>
      </w:tr>
      <w:tr>
        <w:tc>
          <w:tcPr>
            <w:tcW w:type="dxa" w:w="1728"/>
          </w:tcPr>
          <w:p>
            <w:r>
              <w:t>V6-01</w:t>
            </w:r>
          </w:p>
        </w:tc>
        <w:tc>
          <w:tcPr>
            <w:tcW w:type="dxa" w:w="1728"/>
          </w:tcPr>
          <w:p>
            <w:r>
              <w:t>Cost baseline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V6-02</w:t>
            </w:r>
          </w:p>
        </w:tc>
        <w:tc>
          <w:tcPr>
            <w:tcW w:type="dxa" w:w="1728"/>
          </w:tcPr>
          <w:p>
            <w:r>
              <w:t>Commercial contract review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V6-03</w:t>
            </w:r>
          </w:p>
        </w:tc>
        <w:tc>
          <w:tcPr>
            <w:tcW w:type="dxa" w:w="1728"/>
          </w:tcPr>
          <w:p>
            <w:r>
              <w:t>Working capital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V6-04</w:t>
            </w:r>
          </w:p>
        </w:tc>
        <w:tc>
          <w:tcPr>
            <w:tcW w:type="dxa" w:w="1728"/>
          </w:tcPr>
          <w:p>
            <w:r>
              <w:t>Cost and earned value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V6-05</w:t>
            </w:r>
          </w:p>
        </w:tc>
        <w:tc>
          <w:tcPr>
            <w:tcW w:type="dxa" w:w="1728"/>
          </w:tcPr>
          <w:p>
            <w:r>
              <w:t>Quality management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V6-06</w:t>
            </w:r>
          </w:p>
        </w:tc>
        <w:tc>
          <w:tcPr>
            <w:tcW w:type="dxa" w:w="1728"/>
          </w:tcPr>
          <w:p>
            <w:r>
              <w:t>HSE and SIMOPS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V6-07</w:t>
            </w:r>
          </w:p>
        </w:tc>
        <w:tc>
          <w:tcPr>
            <w:tcW w:type="dxa" w:w="1728"/>
          </w:tcPr>
          <w:p>
            <w:r>
              <w:t>Emergency response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V6-08</w:t>
            </w:r>
          </w:p>
        </w:tc>
        <w:tc>
          <w:tcPr>
            <w:tcW w:type="dxa" w:w="1728"/>
          </w:tcPr>
          <w:p>
            <w:r>
              <w:t>Risk and contingency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V6-09</w:t>
            </w:r>
          </w:p>
        </w:tc>
        <w:tc>
          <w:tcPr>
            <w:tcW w:type="dxa" w:w="1728"/>
          </w:tcPr>
          <w:p>
            <w:r>
              <w:t>Claims and changes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V6-10</w:t>
            </w:r>
          </w:p>
        </w:tc>
        <w:tc>
          <w:tcPr>
            <w:tcW w:type="dxa" w:w="1728"/>
          </w:tcPr>
          <w:p>
            <w:r>
              <w:t>Completion and turnover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V6-11</w:t>
            </w:r>
          </w:p>
        </w:tc>
        <w:tc>
          <w:tcPr>
            <w:tcW w:type="dxa" w:w="1728"/>
          </w:tcPr>
          <w:p>
            <w:r>
              <w:t>Financial and execution gate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</w:tbl>
    <w:p>
      <w:pPr>
        <w:pStyle w:val="Heading1"/>
      </w:pPr>
      <w:r>
        <w:t>Formal review and release criteria</w:t>
      </w:r>
    </w:p>
    <w:p>
      <w:r>
        <w:t>Before release, discipline leads must verify: (1) controlling contract and drawing revision; (2) reconciled quantity and scope; (3) qualified resources and documented capacity; (4) schedule and cost impact; (5) inspection and safety hold points; (6) ONGC and marine operational authorisations where applicable. CEO approval of a planning volume does not authorise offshore operations.</w:t>
      </w:r>
    </w:p>
    <w:p>
      <w:pPr>
        <w:pStyle w:val="Heading1"/>
      </w:pPr>
      <w:r>
        <w:t>Reference sources</w:t>
      </w:r>
    </w:p>
    <w:p>
      <w:pPr>
        <w:pStyle w:val="ListBullet"/>
      </w:pPr>
      <w:r>
        <w:t>SOW &amp; Bridge Report Combined.pdf — Section 1, Background and General Requirement; B774 MTO table</w:t>
      </w:r>
    </w:p>
    <w:p>
      <w:pPr>
        <w:pStyle w:val="ListBullet"/>
      </w:pPr>
      <w:r>
        <w:t>MTO Drawings IRT.pdf — drawing collection; detailed checking outstanding</w:t>
      </w:r>
    </w:p>
    <w:p>
      <w:pPr>
        <w:pStyle w:val="ListBullet"/>
      </w:pPr>
      <w:r>
        <w:t>https://www.saipem.com/en/solutions-energy-transition/offshore</w:t>
      </w:r>
    </w:p>
    <w:p>
      <w:pPr>
        <w:pStyle w:val="ListBullet"/>
      </w:pPr>
      <w:r>
        <w:t>https://www.mcdermott.com/solutions/offshore</w:t>
      </w:r>
    </w:p>
    <w:p>
      <w:pPr>
        <w:pStyle w:val="ListBullet"/>
      </w:pPr>
      <w:r>
        <w:t>https://www.dnv.com/energy/standards-guidelines/dnv-st-n001-marine-operations-and-marine-warranty/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SHV-BRRP-PEP-V06-R0  |  PRE-AWARD — NOT FOR CONSTRUCTION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SHIVANSH  |  OFFSHORE EPC PROJECT EXECUTION MASTER PLAN  |  CONTROLLED PLANNING ISSUE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