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SHIVANSH OFFSHORE EPC</w:t>
      </w:r>
    </w:p>
    <w:p>
      <w:pPr>
        <w:pStyle w:val="Heading1"/>
      </w:pPr>
      <w:r>
        <w:t>PROJECT EXECUTION MASTER PLAN</w:t>
      </w:r>
    </w:p>
    <w:p>
      <w:pPr>
        <w:pStyle w:val="Heading1"/>
      </w:pPr>
      <w:r>
        <w:t>VOLUME 5 — INTEGRATED 360-DAY SCHEDULE AND RESOURCE PLAN</w:t>
      </w:r>
    </w:p>
    <w:p>
      <w:r>
        <w:t>ONGC Bridge Refurbishment &amp; Replacement Project | Pre-award planning draft | 17 October 2026</w:t>
      </w:r>
    </w:p>
    <w:p>
      <w:r>
        <w:t>DOCUMENT STATUS: For management planning and verification only. Not issued for construction. Technical and marine procedures require competent engineering review and ONGC approvals.</w:t>
      </w:r>
    </w:p>
    <w:p>
      <w:pPr>
        <w:pStyle w:val="Heading2"/>
      </w:pPr>
      <w:r>
        <w:t>Document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Entry</w:t>
            </w:r>
          </w:p>
        </w:tc>
      </w:tr>
      <w:tr>
        <w:tc>
          <w:tcPr>
            <w:tcW w:type="dxa" w:w="4320"/>
          </w:tcPr>
          <w:p>
            <w:r>
              <w:t>Document code</w:t>
            </w:r>
          </w:p>
        </w:tc>
        <w:tc>
          <w:tcPr>
            <w:tcW w:type="dxa" w:w="4320"/>
          </w:tcPr>
          <w:p>
            <w:r>
              <w:t>SHV-BRRP-PEP-V05-R0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0 — Pre-award planning</w:t>
            </w:r>
          </w:p>
        </w:tc>
      </w:tr>
      <w:tr>
        <w:tc>
          <w:tcPr>
            <w:tcW w:type="dxa" w:w="4320"/>
          </w:tcPr>
          <w:p>
            <w:r>
              <w:t>Prepared for</w:t>
            </w:r>
          </w:p>
        </w:tc>
        <w:tc>
          <w:tcPr>
            <w:tcW w:type="dxa" w:w="4320"/>
          </w:tcPr>
          <w:p>
            <w:r>
              <w:t>Shivansh management / Project Director</w:t>
            </w:r>
          </w:p>
        </w:tc>
      </w:tr>
      <w:tr>
        <w:tc>
          <w:tcPr>
            <w:tcW w:type="dxa" w:w="4320"/>
          </w:tcPr>
          <w:p>
            <w:r>
              <w:t>Contract award</w:t>
            </w:r>
          </w:p>
        </w:tc>
        <w:tc>
          <w:tcPr>
            <w:tcW w:type="dxa" w:w="4320"/>
          </w:tcPr>
          <w:p>
            <w:r>
              <w:t>Not confirmed</w:t>
            </w:r>
          </w:p>
        </w:tc>
      </w:tr>
      <w:tr>
        <w:tc>
          <w:tcPr>
            <w:tcW w:type="dxa" w:w="4320"/>
          </w:tcPr>
          <w:p>
            <w:r>
              <w:t>Governing duration</w:t>
            </w:r>
          </w:p>
        </w:tc>
        <w:tc>
          <w:tcPr>
            <w:tcW w:type="dxa" w:w="4320"/>
          </w:tcPr>
          <w:p>
            <w:r>
              <w:t>360 days subject to contract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Pending CEO and discipline review</w:t>
            </w:r>
          </w:p>
        </w:tc>
      </w:tr>
    </w:tbl>
    <w:p>
      <w:pPr>
        <w:pStyle w:val="Heading2"/>
      </w:pPr>
      <w:r>
        <w:t>Basis, sources and limitations</w:t>
      </w:r>
    </w:p>
    <w:p>
      <w:r>
        <w:t>The ONGC SOW &amp; Bridge Report Combined.pdf, Section 1 Background and General Requirement, contains the ten-bridge B774 scope and quantity table. Previous project-stage assumptions are incorporated as planning hypotheses, not as verified commitments. Latest addenda, detailed drawings and MTO must be reconciled before procurement, fabrication, lifting or offshore work.</w:t>
      </w:r>
    </w:p>
    <w:p>
      <w:r>
        <w:t>External EPC benchmarks: Saipem offshore engineering and construction; McDermott offshore EPCI. Marine reference for applicability review: DNV-ST-N001 (December 2023). Contract documents and approved ONGC requirements govern.</w:t>
      </w:r>
    </w:p>
    <w:p>
      <w:pPr>
        <w:pStyle w:val="Heading2"/>
      </w:pPr>
      <w:r>
        <w:t>Master bridge and quantity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Bridge</w:t>
            </w:r>
          </w:p>
        </w:tc>
        <w:tc>
          <w:tcPr>
            <w:tcW w:type="dxa" w:w="1440"/>
          </w:tcPr>
          <w:p>
            <w:r>
              <w:t>New/replace MT</w:t>
            </w:r>
          </w:p>
        </w:tc>
        <w:tc>
          <w:tcPr>
            <w:tcW w:type="dxa" w:w="1440"/>
          </w:tcPr>
          <w:p>
            <w:r>
              <w:t>Existing bridge strengthen MT</w:t>
            </w:r>
          </w:p>
        </w:tc>
        <w:tc>
          <w:tcPr>
            <w:tcW w:type="dxa" w:w="1440"/>
          </w:tcPr>
          <w:p>
            <w:r>
              <w:t>New landing/deck MT</w:t>
            </w:r>
          </w:p>
        </w:tc>
        <w:tc>
          <w:tcPr>
            <w:tcW w:type="dxa" w:w="1440"/>
          </w:tcPr>
          <w:p>
            <w:r>
              <w:t>Existing landing/deck strengthen MT</w:t>
            </w:r>
          </w:p>
        </w:tc>
        <w:tc>
          <w:tcPr>
            <w:tcW w:type="dxa" w:w="1440"/>
          </w:tcPr>
          <w:p>
            <w:r>
              <w:t>Demolition MT</w:t>
            </w:r>
          </w:p>
        </w:tc>
      </w:tr>
      <w:tr>
        <w:tc>
          <w:tcPr>
            <w:tcW w:type="dxa" w:w="1440"/>
          </w:tcPr>
          <w:p>
            <w:r>
              <w:t>ICW–ICG UD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ICW–ICG LD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ICG–ICP UD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ICG–ICP LD</w:t>
            </w:r>
          </w:p>
        </w:tc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BHS–SLQ</w:t>
            </w:r>
          </w:p>
        </w:tc>
        <w:tc>
          <w:tcPr>
            <w:tcW w:type="dxa" w:w="1440"/>
          </w:tcPr>
          <w:p>
            <w:r>
              <w:t>195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210</w:t>
            </w:r>
          </w:p>
        </w:tc>
      </w:tr>
      <w:tr>
        <w:tc>
          <w:tcPr>
            <w:tcW w:type="dxa" w:w="1440"/>
          </w:tcPr>
          <w:p>
            <w:r>
              <w:t>SLQ–WIS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NQO–NQD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WIN–NC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SCA–SC1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SCA–SCF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30</w:t>
            </w:r>
          </w:p>
        </w:tc>
      </w:tr>
    </w:tbl>
    <w:p>
      <w:r>
        <w:t>Printed SOW column totals: 367 / 361 / 197 / 217 / 357 MT. Structural column total = 1,142 MT. Sum of printed bridge-row structural entries = 1,141 MT. Open discrepancy: 1 MT. Handrail 1,168 m; grating 719 m²; GI sheeting 1,274 m². No correction made pending source reconciliation.</w:t>
      </w:r>
    </w:p>
    <w:p>
      <w:pPr>
        <w:pStyle w:val="Heading1"/>
      </w:pPr>
      <w:r>
        <w:t>Management procedures and control requirements</w:t>
      </w:r>
    </w:p>
    <w:p>
      <w:pPr>
        <w:pStyle w:val="Heading2"/>
      </w:pPr>
      <w:r>
        <w:t>5.1 Scheduling basis</w:t>
      </w:r>
    </w:p>
    <w:p>
      <w:r>
        <w:t>Day 1 is the contractually effective commencement date after award, not the present date. All periods below are preliminary planning windows, not an approved critical-path programme.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5.2 WBS and coding</w:t>
      </w:r>
    </w:p>
    <w:p>
      <w:r>
        <w:t>Use BR01–BR10 and common packages ENG, MAT, FAB, QA, LOG, MAR, CON, DEM, COM. Each activity has unique ID, predecessor/successor, calendar, responsible owner, quantities, manpower/equipment and acceptance milestone.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5.3 Provisional milestones</w:t>
      </w:r>
    </w:p>
    <w:p>
      <w:r>
        <w:t>D1–30 contract baseline, surveys and engineering; D31–60 procurement/fabrication mobilisation; D61–110 fabrication and work-front preparation; D85–230 strengthening campaign; D110–180 two lower-deck installation campaigns; D170–240 BHS–SLQ; D241–300 residual offshore completion; D301–360 punch closure and handover. All overlap and seasonality must be validated.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5.4 Resource planning</w:t>
      </w:r>
    </w:p>
    <w:p>
      <w:r>
        <w:t>Model fabrication bays, cranes, steel deliveries, welders, riggers, scaffolders, NDT personnel, offshore POB, marine spreads, logistics slots and finance limits as constraints. No double booking.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5.5 Schedule validation</w:t>
      </w:r>
    </w:p>
    <w:p>
      <w:r>
        <w:t>First run logic-only CPM, then resource-constrained levelling, then costed recovery options and risk-adjusted completion. Retain baseline and change logs. Calculate actual longest path and near-critical paths.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5.6 Manpower histograms</w:t>
      </w:r>
    </w:p>
    <w:p>
      <w:r>
        <w:t>Derive crew counts from trade-specific remaining MH divided by available productive hours; include rotation, fatigue and access limits. Hypothetical 18-person teams are not a committed workforce.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5.7 Weekly control</w:t>
      </w:r>
    </w:p>
    <w:p>
      <w:r>
        <w:t>Weekly update actual start/finish, accepted quantities, earned/actual MH, procurement commitments, marine days and revised completion forecast. Freeze a six-week look-ahead and a 72-hour execution plan.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5.8 Risk schedule simulation</w:t>
      </w:r>
    </w:p>
    <w:p>
      <w:r>
        <w:t>Test engineering delay, fabrication underperformance, vessel unavailability, severe weather, ONGC access restriction, NDT backlog and working-capital shortage. Record mitigation cost and revised finish.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5.9 Recovery hierarchy</w:t>
      </w:r>
    </w:p>
    <w:p>
      <w:r>
        <w:t>Remove constraints, resequence approved work fronts, reallocate existing resources, add verified capacity, then consider costed acceleration. Never compress mandatory hold points.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5.10 CEO schedule acceptance</w:t>
      </w:r>
    </w:p>
    <w:p>
      <w:r>
        <w:t>Approve baseline only after contract dates, MTO, drawings, capacity audit, vessel workability, ONGC access and funding are evidenced. 360-day feasibility is not currently demonstrated.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5.11 Reporting outputs</w:t>
      </w:r>
    </w:p>
    <w:p>
      <w:r>
        <w:t>Level-1 CEO milestone map; Level-2 bridge integrated plan; Level-3 CPM schedule; Level-4 six-week look-ahead; Level-5 daily IWP/shift plan.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1"/>
      </w:pPr>
      <w:r>
        <w:t>Bridge-wise implementation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Bridge</w:t>
            </w:r>
          </w:p>
        </w:tc>
        <w:tc>
          <w:tcPr>
            <w:tcW w:type="dxa" w:w="2160"/>
          </w:tcPr>
          <w:p>
            <w:r>
              <w:t>Work type</w:t>
            </w:r>
          </w:p>
        </w:tc>
        <w:tc>
          <w:tcPr>
            <w:tcW w:type="dxa" w:w="2160"/>
          </w:tcPr>
          <w:p>
            <w:r>
              <w:t>Planning quantity MT</w:t>
            </w:r>
          </w:p>
        </w:tc>
        <w:tc>
          <w:tcPr>
            <w:tcW w:type="dxa" w:w="2160"/>
          </w:tcPr>
          <w:p>
            <w:r>
              <w:t>Required bridge-specific output</w:t>
            </w:r>
          </w:p>
        </w:tc>
      </w:tr>
      <w:tr>
        <w:tc>
          <w:tcPr>
            <w:tcW w:type="dxa" w:w="2160"/>
          </w:tcPr>
          <w:p>
            <w:r>
              <w:t>ICW–ICG UD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ICW–ICG LD</w:t>
            </w:r>
          </w:p>
        </w:tc>
        <w:tc>
          <w:tcPr>
            <w:tcW w:type="dxa" w:w="2160"/>
          </w:tcPr>
          <w:p>
            <w:r>
              <w:t>New lower deck</w:t>
            </w:r>
          </w:p>
        </w:tc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ICG–ICP UD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ICG–ICP LD</w:t>
            </w:r>
          </w:p>
        </w:tc>
        <w:tc>
          <w:tcPr>
            <w:tcW w:type="dxa" w:w="2160"/>
          </w:tcPr>
          <w:p>
            <w:r>
              <w:t>New lower deck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BHS–SLQ</w:t>
            </w:r>
          </w:p>
        </w:tc>
        <w:tc>
          <w:tcPr>
            <w:tcW w:type="dxa" w:w="2160"/>
          </w:tcPr>
          <w:p>
            <w:r>
              <w:t>Replacement</w:t>
            </w:r>
          </w:p>
        </w:tc>
        <w:tc>
          <w:tcPr>
            <w:tcW w:type="dxa" w:w="2160"/>
          </w:tcPr>
          <w:p>
            <w:r>
              <w:t>282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SLQ–WIS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NQO–NQD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WIN–NC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SCA–SC1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SCA–SCF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</w:tbl>
    <w:p>
      <w:pPr>
        <w:pStyle w:val="Heading1"/>
      </w:pPr>
      <w:r>
        <w:t>Control register template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Deliverable / action</w:t>
            </w:r>
          </w:p>
        </w:tc>
        <w:tc>
          <w:tcPr>
            <w:tcW w:type="dxa" w:w="1728"/>
          </w:tcPr>
          <w:p>
            <w:r>
              <w:t>Accountable owner</w:t>
            </w:r>
          </w:p>
        </w:tc>
        <w:tc>
          <w:tcPr>
            <w:tcW w:type="dxa" w:w="1728"/>
          </w:tcPr>
          <w:p>
            <w:r>
              <w:t>Due date</w:t>
            </w:r>
          </w:p>
        </w:tc>
        <w:tc>
          <w:tcPr>
            <w:tcW w:type="dxa" w:w="1728"/>
          </w:tcPr>
          <w:p>
            <w:r>
              <w:t>Status / evidence</w:t>
            </w:r>
          </w:p>
        </w:tc>
      </w:tr>
      <w:tr>
        <w:tc>
          <w:tcPr>
            <w:tcW w:type="dxa" w:w="1728"/>
          </w:tcPr>
          <w:p>
            <w:r>
              <w:t>V5-01</w:t>
            </w:r>
          </w:p>
        </w:tc>
        <w:tc>
          <w:tcPr>
            <w:tcW w:type="dxa" w:w="1728"/>
          </w:tcPr>
          <w:p>
            <w:r>
              <w:t>Scheduling basis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V5-02</w:t>
            </w:r>
          </w:p>
        </w:tc>
        <w:tc>
          <w:tcPr>
            <w:tcW w:type="dxa" w:w="1728"/>
          </w:tcPr>
          <w:p>
            <w:r>
              <w:t>WBS and coding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V5-03</w:t>
            </w:r>
          </w:p>
        </w:tc>
        <w:tc>
          <w:tcPr>
            <w:tcW w:type="dxa" w:w="1728"/>
          </w:tcPr>
          <w:p>
            <w:r>
              <w:t>Provisional milestones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V5-04</w:t>
            </w:r>
          </w:p>
        </w:tc>
        <w:tc>
          <w:tcPr>
            <w:tcW w:type="dxa" w:w="1728"/>
          </w:tcPr>
          <w:p>
            <w:r>
              <w:t>Resource planning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V5-05</w:t>
            </w:r>
          </w:p>
        </w:tc>
        <w:tc>
          <w:tcPr>
            <w:tcW w:type="dxa" w:w="1728"/>
          </w:tcPr>
          <w:p>
            <w:r>
              <w:t>Schedule validation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V5-06</w:t>
            </w:r>
          </w:p>
        </w:tc>
        <w:tc>
          <w:tcPr>
            <w:tcW w:type="dxa" w:w="1728"/>
          </w:tcPr>
          <w:p>
            <w:r>
              <w:t>Manpower histograms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V5-07</w:t>
            </w:r>
          </w:p>
        </w:tc>
        <w:tc>
          <w:tcPr>
            <w:tcW w:type="dxa" w:w="1728"/>
          </w:tcPr>
          <w:p>
            <w:r>
              <w:t>Weekly control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V5-08</w:t>
            </w:r>
          </w:p>
        </w:tc>
        <w:tc>
          <w:tcPr>
            <w:tcW w:type="dxa" w:w="1728"/>
          </w:tcPr>
          <w:p>
            <w:r>
              <w:t>Risk schedule simulation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V5-09</w:t>
            </w:r>
          </w:p>
        </w:tc>
        <w:tc>
          <w:tcPr>
            <w:tcW w:type="dxa" w:w="1728"/>
          </w:tcPr>
          <w:p>
            <w:r>
              <w:t>Recovery hierarchy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V5-10</w:t>
            </w:r>
          </w:p>
        </w:tc>
        <w:tc>
          <w:tcPr>
            <w:tcW w:type="dxa" w:w="1728"/>
          </w:tcPr>
          <w:p>
            <w:r>
              <w:t>CEO schedule acceptance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V5-11</w:t>
            </w:r>
          </w:p>
        </w:tc>
        <w:tc>
          <w:tcPr>
            <w:tcW w:type="dxa" w:w="1728"/>
          </w:tcPr>
          <w:p>
            <w:r>
              <w:t>Reporting outputs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</w:tbl>
    <w:p>
      <w:pPr>
        <w:pStyle w:val="Heading1"/>
      </w:pPr>
      <w:r>
        <w:t>Formal review and release criteria</w:t>
      </w:r>
    </w:p>
    <w:p>
      <w:r>
        <w:t>Before release, discipline leads must verify: (1) controlling contract and drawing revision; (2) reconciled quantity and scope; (3) qualified resources and documented capacity; (4) schedule and cost impact; (5) inspection and safety hold points; (6) ONGC and marine operational authorisations where applicable. CEO approval of a planning volume does not authorise offshore operations.</w:t>
      </w:r>
    </w:p>
    <w:p>
      <w:pPr>
        <w:pStyle w:val="Heading1"/>
      </w:pPr>
      <w:r>
        <w:t>Reference sources</w:t>
      </w:r>
    </w:p>
    <w:p>
      <w:pPr>
        <w:pStyle w:val="ListBullet"/>
      </w:pPr>
      <w:r>
        <w:t>SOW &amp; Bridge Report Combined.pdf — Section 1, Background and General Requirement; B774 MTO table</w:t>
      </w:r>
    </w:p>
    <w:p>
      <w:pPr>
        <w:pStyle w:val="ListBullet"/>
      </w:pPr>
      <w:r>
        <w:t>MTO Drawings IRT.pdf — drawing collection; detailed checking outstanding</w:t>
      </w:r>
    </w:p>
    <w:p>
      <w:pPr>
        <w:pStyle w:val="ListBullet"/>
      </w:pPr>
      <w:r>
        <w:t>https://www.saipem.com/en/solutions-energy-transition/offshore</w:t>
      </w:r>
    </w:p>
    <w:p>
      <w:pPr>
        <w:pStyle w:val="ListBullet"/>
      </w:pPr>
      <w:r>
        <w:t>https://www.mcdermott.com/solutions/offshore</w:t>
      </w:r>
    </w:p>
    <w:p>
      <w:pPr>
        <w:pStyle w:val="ListBullet"/>
      </w:pPr>
      <w:r>
        <w:t>https://www.dnv.com/energy/standards-guidelines/dnv-st-n001-marine-operations-and-marine-warranty/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SHV-BRRP-PEP-V05-R0  |  PRE-AWARD — NOT FOR CONSTRUCTION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SHIVANSH  |  OFFSHORE EPC PROJECT EXECUTION MASTER PLAN  |  CONTROLLED PLANNING ISSUE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