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OFFSHORE EPC</w:t>
      </w:r>
    </w:p>
    <w:p>
      <w:pPr>
        <w:pStyle w:val="Heading1"/>
      </w:pPr>
      <w:r>
        <w:t>PROJECT EXECUTION MASTER PLAN</w:t>
      </w:r>
    </w:p>
    <w:p>
      <w:pPr>
        <w:pStyle w:val="Heading1"/>
      </w:pPr>
      <w:r>
        <w:t>VOLUME 1 — CEO PROJECT EXECUTION PLAN</w:t>
      </w:r>
    </w:p>
    <w:p>
      <w:r>
        <w:t>ONGC Bridge Refurbishment &amp; Replacement Project | Pre-award planning draft | 17 October 2026</w:t>
      </w:r>
    </w:p>
    <w:p>
      <w:r>
        <w:t>DOCUMENT STATUS: For management planning and verification only. Not issued for construction. Technical and marine procedures require competent engineering review and ONGC approvals.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Document code</w:t>
            </w:r>
          </w:p>
        </w:tc>
        <w:tc>
          <w:tcPr>
            <w:tcW w:type="dxa" w:w="4320"/>
          </w:tcPr>
          <w:p>
            <w:r>
              <w:t>SHV-BRRP-PEP-V01-R0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 — Pre-award planning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Shivansh management / Project Director</w:t>
            </w:r>
          </w:p>
        </w:tc>
      </w:tr>
      <w:tr>
        <w:tc>
          <w:tcPr>
            <w:tcW w:type="dxa" w:w="4320"/>
          </w:tcPr>
          <w:p>
            <w:r>
              <w:t>Contract award</w:t>
            </w:r>
          </w:p>
        </w:tc>
        <w:tc>
          <w:tcPr>
            <w:tcW w:type="dxa" w:w="4320"/>
          </w:tcPr>
          <w:p>
            <w:r>
              <w:t>Not confirmed</w:t>
            </w:r>
          </w:p>
        </w:tc>
      </w:tr>
      <w:tr>
        <w:tc>
          <w:tcPr>
            <w:tcW w:type="dxa" w:w="4320"/>
          </w:tcPr>
          <w:p>
            <w:r>
              <w:t>Governing duration</w:t>
            </w:r>
          </w:p>
        </w:tc>
        <w:tc>
          <w:tcPr>
            <w:tcW w:type="dxa" w:w="4320"/>
          </w:tcPr>
          <w:p>
            <w:r>
              <w:t>360 days subject to contract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 CEO and discipline review</w:t>
            </w:r>
          </w:p>
        </w:tc>
      </w:tr>
    </w:tbl>
    <w:p>
      <w:pPr>
        <w:pStyle w:val="Heading2"/>
      </w:pPr>
      <w:r>
        <w:t>Basis, sources and limitations</w:t>
      </w:r>
    </w:p>
    <w:p>
      <w:r>
        <w:t>The ONGC SOW &amp; Bridge Report Combined.pdf, Section 1 Background and General Requirement, contains the ten-bridge B774 scope and quantity table. Previous project-stage assumptions are incorporated as planning hypotheses, not as verified commitments. Latest addenda, detailed drawings and MTO must be reconciled before procurement, fabrication, lifting or offshore work.</w:t>
      </w:r>
    </w:p>
    <w:p>
      <w:r>
        <w:t>External EPC benchmarks: Saipem offshore engineering and construction; McDermott offshore EPCI. Marine reference for applicability review: DNV-ST-N001 (December 2023). Contract documents and approved ONGC requirements govern.</w:t>
      </w:r>
    </w:p>
    <w:p>
      <w:pPr>
        <w:pStyle w:val="Heading2"/>
      </w:pPr>
      <w:r>
        <w:t>Master bridge and quantity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Bridge</w:t>
            </w:r>
          </w:p>
        </w:tc>
        <w:tc>
          <w:tcPr>
            <w:tcW w:type="dxa" w:w="1440"/>
          </w:tcPr>
          <w:p>
            <w:r>
              <w:t>New/replace MT</w:t>
            </w:r>
          </w:p>
        </w:tc>
        <w:tc>
          <w:tcPr>
            <w:tcW w:type="dxa" w:w="1440"/>
          </w:tcPr>
          <w:p>
            <w:r>
              <w:t>Existing bridge strengthen MT</w:t>
            </w:r>
          </w:p>
        </w:tc>
        <w:tc>
          <w:tcPr>
            <w:tcW w:type="dxa" w:w="1440"/>
          </w:tcPr>
          <w:p>
            <w:r>
              <w:t>New landing/deck MT</w:t>
            </w:r>
          </w:p>
        </w:tc>
        <w:tc>
          <w:tcPr>
            <w:tcW w:type="dxa" w:w="1440"/>
          </w:tcPr>
          <w:p>
            <w:r>
              <w:t>Existing landing/deck strengthen MT</w:t>
            </w:r>
          </w:p>
        </w:tc>
        <w:tc>
          <w:tcPr>
            <w:tcW w:type="dxa" w:w="1440"/>
          </w:tcPr>
          <w:p>
            <w:r>
              <w:t>Demolition MT</w:t>
            </w:r>
          </w:p>
        </w:tc>
      </w:tr>
      <w:tr>
        <w:tc>
          <w:tcPr>
            <w:tcW w:type="dxa" w:w="1440"/>
          </w:tcPr>
          <w:p>
            <w:r>
              <w:t>ICW–ICG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ICW–ICG LD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ICG–ICP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ICG–ICP LD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BHS–SLQ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SLQ–WIS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NQO–NQD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WIN–NC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SCA–SC1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SCA–SCF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</w:tbl>
    <w:p>
      <w:r>
        <w:t>Printed SOW column totals: 367 / 361 / 197 / 217 / 357 MT. Structural column total = 1,142 MT. Sum of printed bridge-row structural entries = 1,141 MT. Open discrepancy: 1 MT. Handrail 1,168 m; grating 719 m²; GI sheeting 1,274 m². No correction made pending source reconciliation.</w:t>
      </w:r>
    </w:p>
    <w:p>
      <w:pPr>
        <w:pStyle w:val="Heading1"/>
      </w:pPr>
      <w:r>
        <w:t>Management procedures and control requirements</w:t>
      </w:r>
    </w:p>
    <w:p>
      <w:pPr>
        <w:pStyle w:val="Heading2"/>
      </w:pPr>
      <w:r>
        <w:t>1.1 Executive mandate</w:t>
      </w:r>
    </w:p>
    <w:p>
      <w:r>
        <w:t>Shivansh shall operate as a single accountable EPC integrator, controlling engineering, procurement, fabrication, marine and offshore work through one project director, one WBS, one controlled schedule and one cost ledger. This is a pre-award planning issue, not evidence of award or approved execution.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1.2 Contract strategy and authority</w:t>
      </w:r>
    </w:p>
    <w:p>
      <w:r>
        <w:t>Create a clause-by-clause obligations matrix: commencement, 360-day completion, scope inclusions, free-issue material, guarantees, insurance, liquidated damages, invoicing, subcontracting permission, variation and notification time bars. Contract terms override illustrative plans.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1.3 Governance and organisation</w:t>
      </w:r>
    </w:p>
    <w:p>
      <w:r>
        <w:t>CEO / steering committee; Project Director; Engineering, Procurement, Fabrication, Marine, Offshore Construction, QA/QC, HSE, Project Controls, Contracts and Finance Managers. Issue delegation-of-authority and RACI matrices. Maintain separate ONGC operations and vessel-master authority.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1.4 Stage gates</w:t>
      </w:r>
    </w:p>
    <w:p>
      <w:r>
        <w:t>G0 bid/award; G1 baseline reconciliation; G2 engineering release; G3 purchase authorisation; G4 fabrication readiness; G5 module release; G6 marine readiness; G7 offshore work permit and SIMOPS; G8 inspection acceptance; G9 handover. Each gate requires dated signed evidence.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1.5 15-day pre-award mobilisation</w:t>
      </w:r>
    </w:p>
    <w:p>
      <w:r>
        <w:t>Days 1–3 contract/MTO/drawing registers; 2–7 engineering, fabrication and marine market enquiries; 5–10 labour and vessel feasibility; 8–12 schedule and finance; 13–15 independent CEO review. Use conditional, nonbinding reservations before award.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1.6 Management operating rhythm</w:t>
      </w:r>
    </w:p>
    <w:p>
      <w:r>
        <w:t>Daily shift and marine coordination; 72-hour executable look-ahead; weekly six-week constraint register and resource forecast; monthly integrated forecast-at-completion; CEO decisions by exception.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1.7 Performance dashboard</w:t>
      </w:r>
    </w:p>
    <w:p>
      <w:r>
        <w:t>Track accepted quantity, earned/actual man-hours, committed resources, critical-path movement, vessel standby, NCR closure, cash runway, ONGC certification and unresolved safety gates.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1.8 Approval matrix</w:t>
      </w:r>
    </w:p>
    <w:p>
      <w:r>
        <w:t>Engineering Manager releases checked technical deliverables; Marine Manager arranges technical review; QA/QC controls inspection release; ONGC/platform and vessel authorities control operational permissions; CEO authorises major financial commitments.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1.9 CEO decision memorandum</w:t>
      </w:r>
    </w:p>
    <w:p>
      <w:r>
        <w:t>Proceed conditionally with pre-award technical qualification; no claim of 360-day feasibility until measured quantities, detailed logic, resource capacities, marine workability, cash availability and ONGC interfaces are verified.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1"/>
      </w:pPr>
      <w:r>
        <w:t>Bridge-wise implementation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Work type</w:t>
            </w:r>
          </w:p>
        </w:tc>
        <w:tc>
          <w:tcPr>
            <w:tcW w:type="dxa" w:w="2160"/>
          </w:tcPr>
          <w:p>
            <w:r>
              <w:t>Planning quantity MT</w:t>
            </w:r>
          </w:p>
        </w:tc>
        <w:tc>
          <w:tcPr>
            <w:tcW w:type="dxa" w:w="2160"/>
          </w:tcPr>
          <w:p>
            <w:r>
              <w:t>Required bridge-specific output</w:t>
            </w:r>
          </w:p>
        </w:tc>
      </w:tr>
      <w:tr>
        <w:tc>
          <w:tcPr>
            <w:tcW w:type="dxa" w:w="2160"/>
          </w:tcPr>
          <w:p>
            <w:r>
              <w:t>ICW–ICG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ICW–ICG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BHS–SLQ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SLQ–WIS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NQO–NQD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WIN–NC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SCA–SC1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SCA–SCF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</w:tbl>
    <w:p>
      <w:pPr>
        <w:pStyle w:val="Heading1"/>
      </w:pPr>
      <w:r>
        <w:t>Control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Deliverable / action</w:t>
            </w:r>
          </w:p>
        </w:tc>
        <w:tc>
          <w:tcPr>
            <w:tcW w:type="dxa" w:w="1728"/>
          </w:tcPr>
          <w:p>
            <w:r>
              <w:t>Accountable 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 / evidence</w:t>
            </w:r>
          </w:p>
        </w:tc>
      </w:tr>
      <w:tr>
        <w:tc>
          <w:tcPr>
            <w:tcW w:type="dxa" w:w="1728"/>
          </w:tcPr>
          <w:p>
            <w:r>
              <w:t>V1-01</w:t>
            </w:r>
          </w:p>
        </w:tc>
        <w:tc>
          <w:tcPr>
            <w:tcW w:type="dxa" w:w="1728"/>
          </w:tcPr>
          <w:p>
            <w:r>
              <w:t>Executive mandate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V1-02</w:t>
            </w:r>
          </w:p>
        </w:tc>
        <w:tc>
          <w:tcPr>
            <w:tcW w:type="dxa" w:w="1728"/>
          </w:tcPr>
          <w:p>
            <w:r>
              <w:t>Contract strategy and authority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V1-03</w:t>
            </w:r>
          </w:p>
        </w:tc>
        <w:tc>
          <w:tcPr>
            <w:tcW w:type="dxa" w:w="1728"/>
          </w:tcPr>
          <w:p>
            <w:r>
              <w:t>Governance and organisation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V1-04</w:t>
            </w:r>
          </w:p>
        </w:tc>
        <w:tc>
          <w:tcPr>
            <w:tcW w:type="dxa" w:w="1728"/>
          </w:tcPr>
          <w:p>
            <w:r>
              <w:t>Stage gates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V1-05</w:t>
            </w:r>
          </w:p>
        </w:tc>
        <w:tc>
          <w:tcPr>
            <w:tcW w:type="dxa" w:w="1728"/>
          </w:tcPr>
          <w:p>
            <w:r>
              <w:t>15-day pre-award mobilisation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V1-06</w:t>
            </w:r>
          </w:p>
        </w:tc>
        <w:tc>
          <w:tcPr>
            <w:tcW w:type="dxa" w:w="1728"/>
          </w:tcPr>
          <w:p>
            <w:r>
              <w:t>Management operating rhythm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V1-07</w:t>
            </w:r>
          </w:p>
        </w:tc>
        <w:tc>
          <w:tcPr>
            <w:tcW w:type="dxa" w:w="1728"/>
          </w:tcPr>
          <w:p>
            <w:r>
              <w:t>Performance dashboard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V1-08</w:t>
            </w:r>
          </w:p>
        </w:tc>
        <w:tc>
          <w:tcPr>
            <w:tcW w:type="dxa" w:w="1728"/>
          </w:tcPr>
          <w:p>
            <w:r>
              <w:t>Approval matrix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V1-09</w:t>
            </w:r>
          </w:p>
        </w:tc>
        <w:tc>
          <w:tcPr>
            <w:tcW w:type="dxa" w:w="1728"/>
          </w:tcPr>
          <w:p>
            <w:r>
              <w:t>CEO decision memorandum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</w:tbl>
    <w:p>
      <w:pPr>
        <w:pStyle w:val="Heading1"/>
      </w:pPr>
      <w:r>
        <w:t>Formal review and release criteria</w:t>
      </w:r>
    </w:p>
    <w:p>
      <w:r>
        <w:t>Before release, discipline leads must verify: (1) controlling contract and drawing revision; (2) reconciled quantity and scope; (3) qualified resources and documented capacity; (4) schedule and cost impact; (5) inspection and safety hold points; (6) ONGC and marine operational authorisations where applicable. CEO approval of a planning volume does not authorise offshore operations.</w:t>
      </w:r>
    </w:p>
    <w:p>
      <w:pPr>
        <w:pStyle w:val="Heading1"/>
      </w:pPr>
      <w:r>
        <w:t>Reference sources</w:t>
      </w:r>
    </w:p>
    <w:p>
      <w:pPr>
        <w:pStyle w:val="ListBullet"/>
      </w:pPr>
      <w:r>
        <w:t>SOW &amp; Bridge Report Combined.pdf — Section 1, Background and General Requirement; B774 MTO table</w:t>
      </w:r>
    </w:p>
    <w:p>
      <w:pPr>
        <w:pStyle w:val="ListBullet"/>
      </w:pPr>
      <w:r>
        <w:t>MTO Drawings IRT.pdf — drawing collection; detailed checking outstanding</w:t>
      </w:r>
    </w:p>
    <w:p>
      <w:pPr>
        <w:pStyle w:val="ListBullet"/>
      </w:pPr>
      <w:r>
        <w:t>https://www.saipem.com/en/solutions-energy-transition/offshore</w:t>
      </w:r>
    </w:p>
    <w:p>
      <w:pPr>
        <w:pStyle w:val="ListBullet"/>
      </w:pPr>
      <w:r>
        <w:t>https://www.mcdermott.com/solutions/offshore</w:t>
      </w:r>
    </w:p>
    <w:p>
      <w:pPr>
        <w:pStyle w:val="ListBullet"/>
      </w:pPr>
      <w:r>
        <w:t>https://www.dnv.com/energy/standards-guidelines/dnv-st-n001-marine-operations-and-marine-warranty/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SHV-BRRP-PEP-V01-R0  |  PRE-AWARD — NOT FOR CONSTRUCTION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SHIVANSH  |  OFFSHORE EPC PROJECT EXECUTION MASTER PLAN  |  CONTROLLED PLANNING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