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3 — FABRICATION AND OFFSHORE CONSTRUCTION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SHV-BRRP-PEP-V03-R0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3.1 Production system</w:t>
      </w:r>
    </w:p>
    <w:p>
      <w:r>
        <w:t>Use two proposed fabrication lines and one strengthening cell only as a capacity hypothesis; audit actual bays, crane reach, workforce, welding stations, coating throughput and loadout access before committing milestones.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3.2 Fabrication work packs</w:t>
      </w:r>
    </w:p>
    <w:p>
      <w:r>
        <w:t>Each pack specifies approved drawing, cut list, member/assembly IDs, weld details, fit-up tolerances, WPS, NDT, coating, dimensional control, hours and acceptance records. Segregate fabrication and offshore labour budgets.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3.3 Yard flow</w:t>
      </w:r>
    </w:p>
    <w:p>
      <w:r>
        <w:t>Receipt → cutting → marking → fit-up → welding → dimensional survey → NDT/repair → surface preparation → coating → final inspection → preservation → weigh/COG verification → release → loadout. Apply documented hold points.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3.4 Bridge construction crews</w:t>
      </w:r>
    </w:p>
    <w:p>
      <w:r>
        <w:t>Proposed Team A: ICW–ICG UD, ICG–ICP UD, SLQ–WIS. Team B: NQO–NQD, WIN–NC, SCA–SC1, SCA–SCF. Team C: ICW–ICG LD, ICG–ICP LD and BHS–SLQ, with specialist demolition/service teams. Actual sequencing requires work-front and POB verification.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3.5 Installation work package</w:t>
      </w:r>
    </w:p>
    <w:p>
      <w:r>
        <w:t>Every IWP: bounded location/scope; drawing revision; materials; permits and isolations; tools and equipment; crew competencies; marine access; risk assessment; ITP; budgeted hours; accepted quantity; completion signature.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3.6 Labour budget method</w:t>
      </w:r>
    </w:p>
    <w:p>
      <w:r>
        <w:t>For each trade, budget MH = measured activity quantity × approved MH/unit × documented condition factor. Measure weld-metres, connection counts, lifting pieces, access area and coating area; tonnes alone are insufficient.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3.7 Offshore production reporting</w:t>
      </w:r>
    </w:p>
    <w:p>
      <w:r>
        <w:t>Daily report records planned/accepted quantity, actual charged hours, earned hours, downtime code, constraints, inspections, next 72-hour forecast and crew/equipment utilisation. Use LPF = actual MH / earned MH.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3.8 Demolition restrictions</w:t>
      </w:r>
    </w:p>
    <w:p>
      <w:r>
        <w:t>BHS–SLQ demolition must have checked structural stability and load-path assessment, approved cut and lift sequence, isolation and service continuity controls, marine assurance and ONGC authorisation. No sequence is prescribed in this plan.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3.9 Resource balancing</w:t>
      </w:r>
    </w:p>
    <w:p>
      <w:r>
        <w:t>Level trades, welding/NDT, scaffolding, accommodation, marine resources and inspection against the actual calendar. Recover delays by removing constraints before adding crews.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3.10 Construction quality gates</w:t>
      </w:r>
    </w:p>
    <w:p>
      <w:r>
        <w:t>Hold at receiving inspection, fit-up as required, welding/NDT, dimensional checks, coating, lifting release, connection completion and final acceptance. Work may not pass a hold without the designated release.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3.11 Six-week look-ahead</w:t>
      </w:r>
    </w:p>
    <w:p>
      <w:r>
        <w:t>For each IWP mark engineering, materials, access, marine, personnel, equipment, permit and inspection as ready/not ready; assign owner and due date for each constraint.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V3-01</w:t>
            </w:r>
          </w:p>
        </w:tc>
        <w:tc>
          <w:tcPr>
            <w:tcW w:type="dxa" w:w="1728"/>
          </w:tcPr>
          <w:p>
            <w:r>
              <w:t>Production system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V3-02</w:t>
            </w:r>
          </w:p>
        </w:tc>
        <w:tc>
          <w:tcPr>
            <w:tcW w:type="dxa" w:w="1728"/>
          </w:tcPr>
          <w:p>
            <w:r>
              <w:t>Fabrication work packs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V3-03</w:t>
            </w:r>
          </w:p>
        </w:tc>
        <w:tc>
          <w:tcPr>
            <w:tcW w:type="dxa" w:w="1728"/>
          </w:tcPr>
          <w:p>
            <w:r>
              <w:t>Yard flow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V3-04</w:t>
            </w:r>
          </w:p>
        </w:tc>
        <w:tc>
          <w:tcPr>
            <w:tcW w:type="dxa" w:w="1728"/>
          </w:tcPr>
          <w:p>
            <w:r>
              <w:t>Bridge construction crews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V3-05</w:t>
            </w:r>
          </w:p>
        </w:tc>
        <w:tc>
          <w:tcPr>
            <w:tcW w:type="dxa" w:w="1728"/>
          </w:tcPr>
          <w:p>
            <w:r>
              <w:t>Installation work package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V3-06</w:t>
            </w:r>
          </w:p>
        </w:tc>
        <w:tc>
          <w:tcPr>
            <w:tcW w:type="dxa" w:w="1728"/>
          </w:tcPr>
          <w:p>
            <w:r>
              <w:t>Labour budget method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V3-07</w:t>
            </w:r>
          </w:p>
        </w:tc>
        <w:tc>
          <w:tcPr>
            <w:tcW w:type="dxa" w:w="1728"/>
          </w:tcPr>
          <w:p>
            <w:r>
              <w:t>Offshore production reporting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V3-08</w:t>
            </w:r>
          </w:p>
        </w:tc>
        <w:tc>
          <w:tcPr>
            <w:tcW w:type="dxa" w:w="1728"/>
          </w:tcPr>
          <w:p>
            <w:r>
              <w:t>Demolition restrictions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V3-09</w:t>
            </w:r>
          </w:p>
        </w:tc>
        <w:tc>
          <w:tcPr>
            <w:tcW w:type="dxa" w:w="1728"/>
          </w:tcPr>
          <w:p>
            <w:r>
              <w:t>Resource balancing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V3-10</w:t>
            </w:r>
          </w:p>
        </w:tc>
        <w:tc>
          <w:tcPr>
            <w:tcW w:type="dxa" w:w="1728"/>
          </w:tcPr>
          <w:p>
            <w:r>
              <w:t>Construction quality gates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V3-11</w:t>
            </w:r>
          </w:p>
        </w:tc>
        <w:tc>
          <w:tcPr>
            <w:tcW w:type="dxa" w:w="1728"/>
          </w:tcPr>
          <w:p>
            <w:r>
              <w:t>Six-week look-ahead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SHV-BRRP-PEP-V03-R0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