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SHIVANSH OFFSHORE EPC</w:t>
      </w:r>
    </w:p>
    <w:p>
      <w:pPr>
        <w:pStyle w:val="Heading1"/>
      </w:pPr>
      <w:r>
        <w:t>PROJECT EXECUTION MASTER PLAN</w:t>
      </w:r>
    </w:p>
    <w:p>
      <w:pPr>
        <w:pStyle w:val="Heading1"/>
      </w:pPr>
      <w:r>
        <w:t>VOLUME 2 — ENGINEERING, MTO AND PROCUREMENT CONTROL</w:t>
      </w:r>
    </w:p>
    <w:p>
      <w:r>
        <w:t>ONGC Bridge Refurbishment &amp; Replacement Project | Pre-award planning draft | 17 October 2026</w:t>
      </w:r>
    </w:p>
    <w:p>
      <w:r>
        <w:t>DOCUMENT STATUS: For management planning and verification only. Not issued for construction. Technical and marine procedures require competent engineering review and ONGC approvals.</w:t>
      </w:r>
    </w:p>
    <w:p>
      <w:pPr>
        <w:pStyle w:val="Heading2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Entry</w:t>
            </w:r>
          </w:p>
        </w:tc>
      </w:tr>
      <w:tr>
        <w:tc>
          <w:tcPr>
            <w:tcW w:type="dxa" w:w="4320"/>
          </w:tcPr>
          <w:p>
            <w:r>
              <w:t>Document code</w:t>
            </w:r>
          </w:p>
        </w:tc>
        <w:tc>
          <w:tcPr>
            <w:tcW w:type="dxa" w:w="4320"/>
          </w:tcPr>
          <w:p>
            <w:r>
              <w:t>SHV-BRRP-PEP-V02-R0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0 — Pre-award planning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Shivansh management / Project Director</w:t>
            </w:r>
          </w:p>
        </w:tc>
      </w:tr>
      <w:tr>
        <w:tc>
          <w:tcPr>
            <w:tcW w:type="dxa" w:w="4320"/>
          </w:tcPr>
          <w:p>
            <w:r>
              <w:t>Contract award</w:t>
            </w:r>
          </w:p>
        </w:tc>
        <w:tc>
          <w:tcPr>
            <w:tcW w:type="dxa" w:w="4320"/>
          </w:tcPr>
          <w:p>
            <w:r>
              <w:t>Not confirmed</w:t>
            </w:r>
          </w:p>
        </w:tc>
      </w:tr>
      <w:tr>
        <w:tc>
          <w:tcPr>
            <w:tcW w:type="dxa" w:w="4320"/>
          </w:tcPr>
          <w:p>
            <w:r>
              <w:t>Governing duration</w:t>
            </w:r>
          </w:p>
        </w:tc>
        <w:tc>
          <w:tcPr>
            <w:tcW w:type="dxa" w:w="4320"/>
          </w:tcPr>
          <w:p>
            <w:r>
              <w:t>360 days subject to contract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Pending CEO and discipline review</w:t>
            </w:r>
          </w:p>
        </w:tc>
      </w:tr>
    </w:tbl>
    <w:p>
      <w:pPr>
        <w:pStyle w:val="Heading2"/>
      </w:pPr>
      <w:r>
        <w:t>Basis, sources and limitations</w:t>
      </w:r>
    </w:p>
    <w:p>
      <w:r>
        <w:t>The ONGC SOW &amp; Bridge Report Combined.pdf, Section 1 Background and General Requirement, contains the ten-bridge B774 scope and quantity table. Previous project-stage assumptions are incorporated as planning hypotheses, not as verified commitments. Latest addenda, detailed drawings and MTO must be reconciled before procurement, fabrication, lifting or offshore work.</w:t>
      </w:r>
    </w:p>
    <w:p>
      <w:r>
        <w:t>External EPC benchmarks: Saipem offshore engineering and construction; McDermott offshore EPCI. Marine reference for applicability review: DNV-ST-N001 (December 2023). Contract documents and approved ONGC requirements govern.</w:t>
      </w:r>
    </w:p>
    <w:p>
      <w:pPr>
        <w:pStyle w:val="Heading2"/>
      </w:pPr>
      <w:r>
        <w:t>Master bridge and quantity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Bridge</w:t>
            </w:r>
          </w:p>
        </w:tc>
        <w:tc>
          <w:tcPr>
            <w:tcW w:type="dxa" w:w="1440"/>
          </w:tcPr>
          <w:p>
            <w:r>
              <w:t>New/replace MT</w:t>
            </w:r>
          </w:p>
        </w:tc>
        <w:tc>
          <w:tcPr>
            <w:tcW w:type="dxa" w:w="1440"/>
          </w:tcPr>
          <w:p>
            <w:r>
              <w:t>Existing bridge strengthen MT</w:t>
            </w:r>
          </w:p>
        </w:tc>
        <w:tc>
          <w:tcPr>
            <w:tcW w:type="dxa" w:w="1440"/>
          </w:tcPr>
          <w:p>
            <w:r>
              <w:t>New landing/deck MT</w:t>
            </w:r>
          </w:p>
        </w:tc>
        <w:tc>
          <w:tcPr>
            <w:tcW w:type="dxa" w:w="1440"/>
          </w:tcPr>
          <w:p>
            <w:r>
              <w:t>Existing landing/deck strengthen MT</w:t>
            </w:r>
          </w:p>
        </w:tc>
        <w:tc>
          <w:tcPr>
            <w:tcW w:type="dxa" w:w="1440"/>
          </w:tcPr>
          <w:p>
            <w:r>
              <w:t>Demolition MT</w:t>
            </w:r>
          </w:p>
        </w:tc>
      </w:tr>
      <w:tr>
        <w:tc>
          <w:tcPr>
            <w:tcW w:type="dxa" w:w="1440"/>
          </w:tcPr>
          <w:p>
            <w:r>
              <w:t>ICW–ICG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ICW–ICG LD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ICG–ICP UD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ICG–ICP LD</w:t>
            </w:r>
          </w:p>
        </w:tc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BHS–SLQ</w:t>
            </w:r>
          </w:p>
        </w:tc>
        <w:tc>
          <w:tcPr>
            <w:tcW w:type="dxa" w:w="1440"/>
          </w:tcPr>
          <w:p>
            <w:r>
              <w:t>195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210</w:t>
            </w:r>
          </w:p>
        </w:tc>
      </w:tr>
      <w:tr>
        <w:tc>
          <w:tcPr>
            <w:tcW w:type="dxa" w:w="1440"/>
          </w:tcPr>
          <w:p>
            <w:r>
              <w:t>SLQ–WIS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NQO–NQD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t>WIN–NC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SCA–SC1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15</w:t>
            </w:r>
          </w:p>
        </w:tc>
      </w:tr>
      <w:tr>
        <w:tc>
          <w:tcPr>
            <w:tcW w:type="dxa" w:w="1440"/>
          </w:tcPr>
          <w:p>
            <w:r>
              <w:t>SCA–SCF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30</w:t>
            </w:r>
          </w:p>
        </w:tc>
      </w:tr>
    </w:tbl>
    <w:p>
      <w:r>
        <w:t>Printed SOW column totals: 367 / 361 / 197 / 217 / 357 MT. Structural column total = 1,142 MT. Sum of printed bridge-row structural entries = 1,141 MT. Open discrepancy: 1 MT. Handrail 1,168 m; grating 719 m²; GI sheeting 1,274 m². No correction made pending source reconciliation.</w:t>
      </w:r>
    </w:p>
    <w:p>
      <w:pPr>
        <w:pStyle w:val="Heading1"/>
      </w:pPr>
      <w:r>
        <w:t>Management procedures and control requirements</w:t>
      </w:r>
    </w:p>
    <w:p>
      <w:pPr>
        <w:pStyle w:val="Heading2"/>
      </w:pPr>
      <w:r>
        <w:t>2.1 Design basis and document hierarchy</w:t>
      </w:r>
    </w:p>
    <w:p>
      <w:r>
        <w:t>Use the signed contract, latest addenda/corrigenda, ONGC SOW, engineering specifications, existing bridge reports, survey results and approved drawings in that order as contractually defined. Establish a master document register with revision and supersession control.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2.2 Bridge-by-bridge engineering deliverables</w:t>
      </w:r>
    </w:p>
    <w:p>
      <w:r>
        <w:t>For each bridge: survey and condition assessment, member schedule, structural design checks, fatigue assessment as applicable, landing/deck connections, temporary works, lifting interfaces, fabrication drawings, weld maps, coating schedule and as-builts. No design is approved by this document.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2.3 MTO measurement rules</w:t>
      </w:r>
    </w:p>
    <w:p>
      <w:r>
        <w:t>Maintain line-item dimensions, material grades, unit weights, fabrication allowances, procurement quantity, installed quantity, removed quantity and salvage/backload. Link each row to drawing number and revision. Avoid treating bridge total as individual lift weight.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2.4 Quantity discrepancy</w:t>
      </w:r>
    </w:p>
    <w:p>
      <w:r>
        <w:t>Source SOW table totals structural columns as 367+361+197+217 = 1,142 MT; sum of printed bridge-level structural entries = 1,141 MT. Keep an open technical query for 1 MT until the controlling MTO and drawings are reconciled.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2.5 Procurement work packages</w:t>
      </w:r>
    </w:p>
    <w:p>
      <w:r>
        <w:t>Steel and sections; bolts and fasteners; grating; handrails; GI sheeting; coatings; welding consumables; lifting attachments; temporary works; inspection/NDT; E&amp;I and service interfaces if required. Use approved specifications and inspection categories.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2.6 Vendor enquiry and technical bid evaluation</w:t>
      </w:r>
    </w:p>
    <w:p>
      <w:r>
        <w:t>RFQ includes quantities, specifications, drawing revisions, inspection/test plan, traceability, delivery dates, documentation, deviations and warranty. Pass/fail technical compliance precedes normalised commercial comparison.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2.7 Long-lead and expediting</w:t>
      </w:r>
    </w:p>
    <w:p>
      <w:r>
        <w:t>Maintain enquiry date, bid due, TBE, PO, drawing approval, raw-material release, production, inspection, dispatch and work-front required-on-site dates. Escalate any negative float to Project Director.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2.8 Material control</w:t>
      </w:r>
    </w:p>
    <w:p>
      <w:r>
        <w:t>Unique heat/batch traceability; receiving inspection; quarantine of nonconforming material; controlled storage and preservation; issue by bridge IWP; reconcile excess and shortage weekly.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2.9 Engineering release criteria</w:t>
      </w:r>
    </w:p>
    <w:p>
      <w:r>
        <w:t>Only checked and approved IFC drawings may release fabrication or offshore work. Field changes require TQ/RFI, engineering disposition, revision control and affected-work reassessment.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2"/>
      </w:pPr>
      <w:r>
        <w:t>2.10 Procurement KPI</w:t>
      </w:r>
    </w:p>
    <w:p>
      <w:r>
        <w:t>PO coverage, material availability by IWP, supplier on-time delivery, expediting exceptions, inspected/accepted quantity, outstanding TQs and forecast cost of material.</w:t>
      </w:r>
    </w:p>
    <w:p>
      <w:r>
        <w:t>Required evidence / deliverable: controlled register or signed record, responsible manager, planned date, verification status, and escalation of any open technical, resource, commercial or operational constraint.</w:t>
      </w:r>
    </w:p>
    <w:p>
      <w:pPr>
        <w:pStyle w:val="Heading1"/>
      </w:pPr>
      <w:r>
        <w:t>Bridge-wise implementation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Bridge</w:t>
            </w:r>
          </w:p>
        </w:tc>
        <w:tc>
          <w:tcPr>
            <w:tcW w:type="dxa" w:w="2160"/>
          </w:tcPr>
          <w:p>
            <w:r>
              <w:t>Work type</w:t>
            </w:r>
          </w:p>
        </w:tc>
        <w:tc>
          <w:tcPr>
            <w:tcW w:type="dxa" w:w="2160"/>
          </w:tcPr>
          <w:p>
            <w:r>
              <w:t>Planning quantity MT</w:t>
            </w:r>
          </w:p>
        </w:tc>
        <w:tc>
          <w:tcPr>
            <w:tcW w:type="dxa" w:w="2160"/>
          </w:tcPr>
          <w:p>
            <w:r>
              <w:t>Required bridge-specific output</w:t>
            </w:r>
          </w:p>
        </w:tc>
      </w:tr>
      <w:tr>
        <w:tc>
          <w:tcPr>
            <w:tcW w:type="dxa" w:w="2160"/>
          </w:tcPr>
          <w:p>
            <w:r>
              <w:t>ICW–ICG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ICW–ICG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UD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ICG–ICP LD</w:t>
            </w:r>
          </w:p>
        </w:tc>
        <w:tc>
          <w:tcPr>
            <w:tcW w:type="dxa" w:w="2160"/>
          </w:tcPr>
          <w:p>
            <w:r>
              <w:t>New lower deck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BHS–SLQ</w:t>
            </w:r>
          </w:p>
        </w:tc>
        <w:tc>
          <w:tcPr>
            <w:tcW w:type="dxa" w:w="2160"/>
          </w:tcPr>
          <w:p>
            <w:r>
              <w:t>Replacement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SLQ–WIS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NQO–NQD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WIN–NC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SCA–SC1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  <w:tr>
        <w:tc>
          <w:tcPr>
            <w:tcW w:type="dxa" w:w="2160"/>
          </w:tcPr>
          <w:p>
            <w:r>
              <w:t>SCA–SCF</w:t>
            </w:r>
          </w:p>
        </w:tc>
        <w:tc>
          <w:tcPr>
            <w:tcW w:type="dxa" w:w="2160"/>
          </w:tcPr>
          <w:p>
            <w:r>
              <w:t>Strengthening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Approved drawings + MTO + work pack + QA release + accepted handover</w:t>
            </w:r>
          </w:p>
        </w:tc>
      </w:tr>
    </w:tbl>
    <w:p>
      <w:pPr>
        <w:pStyle w:val="Heading1"/>
      </w:pPr>
      <w:r>
        <w:t>Control register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Deliverable / action</w:t>
            </w:r>
          </w:p>
        </w:tc>
        <w:tc>
          <w:tcPr>
            <w:tcW w:type="dxa" w:w="1728"/>
          </w:tcPr>
          <w:p>
            <w:r>
              <w:t>Accountable 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  <w:tc>
          <w:tcPr>
            <w:tcW w:type="dxa" w:w="1728"/>
          </w:tcPr>
          <w:p>
            <w:r>
              <w:t>Status / evidence</w:t>
            </w:r>
          </w:p>
        </w:tc>
      </w:tr>
      <w:tr>
        <w:tc>
          <w:tcPr>
            <w:tcW w:type="dxa" w:w="1728"/>
          </w:tcPr>
          <w:p>
            <w:r>
              <w:t>V2-01</w:t>
            </w:r>
          </w:p>
        </w:tc>
        <w:tc>
          <w:tcPr>
            <w:tcW w:type="dxa" w:w="1728"/>
          </w:tcPr>
          <w:p>
            <w:r>
              <w:t>Design basis and document hierarchy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V2-02</w:t>
            </w:r>
          </w:p>
        </w:tc>
        <w:tc>
          <w:tcPr>
            <w:tcW w:type="dxa" w:w="1728"/>
          </w:tcPr>
          <w:p>
            <w:r>
              <w:t>Bridge-by-bridge engineering deliverables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V2-03</w:t>
            </w:r>
          </w:p>
        </w:tc>
        <w:tc>
          <w:tcPr>
            <w:tcW w:type="dxa" w:w="1728"/>
          </w:tcPr>
          <w:p>
            <w:r>
              <w:t>MTO measurement rules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V2-04</w:t>
            </w:r>
          </w:p>
        </w:tc>
        <w:tc>
          <w:tcPr>
            <w:tcW w:type="dxa" w:w="1728"/>
          </w:tcPr>
          <w:p>
            <w:r>
              <w:t>Quantity discrepancy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V2-05</w:t>
            </w:r>
          </w:p>
        </w:tc>
        <w:tc>
          <w:tcPr>
            <w:tcW w:type="dxa" w:w="1728"/>
          </w:tcPr>
          <w:p>
            <w:r>
              <w:t>Procurement work packages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V2-06</w:t>
            </w:r>
          </w:p>
        </w:tc>
        <w:tc>
          <w:tcPr>
            <w:tcW w:type="dxa" w:w="1728"/>
          </w:tcPr>
          <w:p>
            <w:r>
              <w:t>Vendor enquiry and technical bid evaluation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V2-07</w:t>
            </w:r>
          </w:p>
        </w:tc>
        <w:tc>
          <w:tcPr>
            <w:tcW w:type="dxa" w:w="1728"/>
          </w:tcPr>
          <w:p>
            <w:r>
              <w:t>Long-lead and expediting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V2-08</w:t>
            </w:r>
          </w:p>
        </w:tc>
        <w:tc>
          <w:tcPr>
            <w:tcW w:type="dxa" w:w="1728"/>
          </w:tcPr>
          <w:p>
            <w:r>
              <w:t>Material control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V2-09</w:t>
            </w:r>
          </w:p>
        </w:tc>
        <w:tc>
          <w:tcPr>
            <w:tcW w:type="dxa" w:w="1728"/>
          </w:tcPr>
          <w:p>
            <w:r>
              <w:t>Engineering release criteria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  <w:tr>
        <w:tc>
          <w:tcPr>
            <w:tcW w:type="dxa" w:w="1728"/>
          </w:tcPr>
          <w:p>
            <w:r>
              <w:t>V2-10</w:t>
            </w:r>
          </w:p>
        </w:tc>
        <w:tc>
          <w:tcPr>
            <w:tcW w:type="dxa" w:w="1728"/>
          </w:tcPr>
          <w:p>
            <w:r>
              <w:t>Procurement KPI</w:t>
            </w:r>
          </w:p>
        </w:tc>
        <w:tc>
          <w:tcPr>
            <w:tcW w:type="dxa" w:w="1728"/>
          </w:tcPr>
          <w:p>
            <w:r>
              <w:t>To assign</w:t>
            </w:r>
          </w:p>
        </w:tc>
        <w:tc>
          <w:tcPr>
            <w:tcW w:type="dxa" w:w="1728"/>
          </w:tcPr>
          <w:p>
            <w:r>
              <w:t>To confirm</w:t>
            </w:r>
          </w:p>
        </w:tc>
        <w:tc>
          <w:tcPr>
            <w:tcW w:type="dxa" w:w="1728"/>
          </w:tcPr>
          <w:p>
            <w:r>
              <w:t>Open — verify</w:t>
            </w:r>
          </w:p>
        </w:tc>
      </w:tr>
    </w:tbl>
    <w:p>
      <w:pPr>
        <w:pStyle w:val="Heading1"/>
      </w:pPr>
      <w:r>
        <w:t>Formal review and release criteria</w:t>
      </w:r>
    </w:p>
    <w:p>
      <w:r>
        <w:t>Before release, discipline leads must verify: (1) controlling contract and drawing revision; (2) reconciled quantity and scope; (3) qualified resources and documented capacity; (4) schedule and cost impact; (5) inspection and safety hold points; (6) ONGC and marine operational authorisations where applicable. CEO approval of a planning volume does not authorise offshore operations.</w:t>
      </w:r>
    </w:p>
    <w:p>
      <w:pPr>
        <w:pStyle w:val="Heading1"/>
      </w:pPr>
      <w:r>
        <w:t>Reference sources</w:t>
      </w:r>
    </w:p>
    <w:p>
      <w:pPr>
        <w:pStyle w:val="ListBullet"/>
      </w:pPr>
      <w:r>
        <w:t>SOW &amp; Bridge Report Combined.pdf — Section 1, Background and General Requirement; B774 MTO table</w:t>
      </w:r>
    </w:p>
    <w:p>
      <w:pPr>
        <w:pStyle w:val="ListBullet"/>
      </w:pPr>
      <w:r>
        <w:t>MTO Drawings IRT.pdf — drawing collection; detailed checking outstanding</w:t>
      </w:r>
    </w:p>
    <w:p>
      <w:pPr>
        <w:pStyle w:val="ListBullet"/>
      </w:pPr>
      <w:r>
        <w:t>https://www.saipem.com/en/solutions-energy-transition/offshore</w:t>
      </w:r>
    </w:p>
    <w:p>
      <w:pPr>
        <w:pStyle w:val="ListBullet"/>
      </w:pPr>
      <w:r>
        <w:t>https://www.mcdermott.com/solutions/offshore</w:t>
      </w:r>
    </w:p>
    <w:p>
      <w:pPr>
        <w:pStyle w:val="ListBullet"/>
      </w:pPr>
      <w:r>
        <w:t>https://www.dnv.com/energy/standards-guidelines/dnv-st-n001-marine-operations-and-marine-warranty/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SHV-BRRP-PEP-V02-R0  |  PRE-AWARD — NOT FOR CONSTRUCTION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SHIVANSH  |  OFFSHORE EPC PROJECT EXECUTION MASTER PLAN  |  CONTROLLED PLANNING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