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SHIVANSH OFFSHORE EPC</w:t>
      </w:r>
    </w:p>
    <w:p>
      <w:pPr>
        <w:pStyle w:val="Heading1"/>
      </w:pPr>
      <w:r>
        <w:t>PROJECT EXECUTION MASTER PLAN</w:t>
      </w:r>
    </w:p>
    <w:p>
      <w:pPr>
        <w:pStyle w:val="Heading1"/>
      </w:pPr>
      <w:r>
        <w:t>VOLUME 4 — MARINE EXECUTION, LIFTING AND LOGISTICS</w:t>
      </w:r>
    </w:p>
    <w:p>
      <w:r>
        <w:t>ONGC Bridge Refurbishment &amp; Replacement Project | Pre-award planning draft | 17 October 2026</w:t>
      </w:r>
    </w:p>
    <w:p>
      <w:r>
        <w:t>DOCUMENT STATUS: For management planning and verification only. Not issued for construction. Technical and marine procedures require competent engineering review and ONGC approvals.</w:t>
      </w:r>
    </w:p>
    <w:p>
      <w:pPr>
        <w:pStyle w:val="Heading2"/>
      </w:pPr>
      <w:r>
        <w:t>Document control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Entry</w:t>
            </w:r>
          </w:p>
        </w:tc>
      </w:tr>
      <w:tr>
        <w:tc>
          <w:tcPr>
            <w:tcW w:type="dxa" w:w="4320"/>
          </w:tcPr>
          <w:p>
            <w:r>
              <w:t>Document code</w:t>
            </w:r>
          </w:p>
        </w:tc>
        <w:tc>
          <w:tcPr>
            <w:tcW w:type="dxa" w:w="4320"/>
          </w:tcPr>
          <w:p>
            <w:r>
              <w:t>SHV-BRRP-PEP-V04-R0</w:t>
            </w:r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0 — Pre-award planning</w:t>
            </w:r>
          </w:p>
        </w:tc>
      </w:tr>
      <w:tr>
        <w:tc>
          <w:tcPr>
            <w:tcW w:type="dxa" w:w="4320"/>
          </w:tcPr>
          <w:p>
            <w:r>
              <w:t>Prepared for</w:t>
            </w:r>
          </w:p>
        </w:tc>
        <w:tc>
          <w:tcPr>
            <w:tcW w:type="dxa" w:w="4320"/>
          </w:tcPr>
          <w:p>
            <w:r>
              <w:t>Shivansh management / Project Director</w:t>
            </w:r>
          </w:p>
        </w:tc>
      </w:tr>
      <w:tr>
        <w:tc>
          <w:tcPr>
            <w:tcW w:type="dxa" w:w="4320"/>
          </w:tcPr>
          <w:p>
            <w:r>
              <w:t>Contract award</w:t>
            </w:r>
          </w:p>
        </w:tc>
        <w:tc>
          <w:tcPr>
            <w:tcW w:type="dxa" w:w="4320"/>
          </w:tcPr>
          <w:p>
            <w:r>
              <w:t>Not confirmed</w:t>
            </w:r>
          </w:p>
        </w:tc>
      </w:tr>
      <w:tr>
        <w:tc>
          <w:tcPr>
            <w:tcW w:type="dxa" w:w="4320"/>
          </w:tcPr>
          <w:p>
            <w:r>
              <w:t>Governing duration</w:t>
            </w:r>
          </w:p>
        </w:tc>
        <w:tc>
          <w:tcPr>
            <w:tcW w:type="dxa" w:w="4320"/>
          </w:tcPr>
          <w:p>
            <w:r>
              <w:t>360 days subject to contract</w:t>
            </w:r>
          </w:p>
        </w:tc>
      </w:tr>
      <w:tr>
        <w:tc>
          <w:tcPr>
            <w:tcW w:type="dxa" w:w="4320"/>
          </w:tcPr>
          <w:p>
            <w:r>
              <w:t>Approval</w:t>
            </w:r>
          </w:p>
        </w:tc>
        <w:tc>
          <w:tcPr>
            <w:tcW w:type="dxa" w:w="4320"/>
          </w:tcPr>
          <w:p>
            <w:r>
              <w:t>Pending CEO and discipline review</w:t>
            </w:r>
          </w:p>
        </w:tc>
      </w:tr>
    </w:tbl>
    <w:p>
      <w:pPr>
        <w:pStyle w:val="Heading2"/>
      </w:pPr>
      <w:r>
        <w:t>Basis, sources and limitations</w:t>
      </w:r>
    </w:p>
    <w:p>
      <w:r>
        <w:t>The ONGC SOW &amp; Bridge Report Combined.pdf, Section 1 Background and General Requirement, contains the ten-bridge B774 scope and quantity table. Previous project-stage assumptions are incorporated as planning hypotheses, not as verified commitments. Latest addenda, detailed drawings and MTO must be reconciled before procurement, fabrication, lifting or offshore work.</w:t>
      </w:r>
    </w:p>
    <w:p>
      <w:r>
        <w:t>External EPC benchmarks: Saipem offshore engineering and construction; McDermott offshore EPCI. Marine reference for applicability review: DNV-ST-N001 (December 2023). Contract documents and approved ONGC requirements govern.</w:t>
      </w:r>
    </w:p>
    <w:p>
      <w:pPr>
        <w:pStyle w:val="Heading2"/>
      </w:pPr>
      <w:r>
        <w:t>Master bridge and quantity register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Bridge</w:t>
            </w:r>
          </w:p>
        </w:tc>
        <w:tc>
          <w:tcPr>
            <w:tcW w:type="dxa" w:w="1440"/>
          </w:tcPr>
          <w:p>
            <w:r>
              <w:t>New/replace MT</w:t>
            </w:r>
          </w:p>
        </w:tc>
        <w:tc>
          <w:tcPr>
            <w:tcW w:type="dxa" w:w="1440"/>
          </w:tcPr>
          <w:p>
            <w:r>
              <w:t>Existing bridge strengthen MT</w:t>
            </w:r>
          </w:p>
        </w:tc>
        <w:tc>
          <w:tcPr>
            <w:tcW w:type="dxa" w:w="1440"/>
          </w:tcPr>
          <w:p>
            <w:r>
              <w:t>New landing/deck MT</w:t>
            </w:r>
          </w:p>
        </w:tc>
        <w:tc>
          <w:tcPr>
            <w:tcW w:type="dxa" w:w="1440"/>
          </w:tcPr>
          <w:p>
            <w:r>
              <w:t>Existing landing/deck strengthen MT</w:t>
            </w:r>
          </w:p>
        </w:tc>
        <w:tc>
          <w:tcPr>
            <w:tcW w:type="dxa" w:w="1440"/>
          </w:tcPr>
          <w:p>
            <w:r>
              <w:t>Demolition MT</w:t>
            </w:r>
          </w:p>
        </w:tc>
      </w:tr>
      <w:tr>
        <w:tc>
          <w:tcPr>
            <w:tcW w:type="dxa" w:w="1440"/>
          </w:tcPr>
          <w:p>
            <w:r>
              <w:t>ICW–ICG UD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r>
              <w:t>25</w:t>
            </w:r>
          </w:p>
        </w:tc>
      </w:tr>
      <w:tr>
        <w:tc>
          <w:tcPr>
            <w:tcW w:type="dxa" w:w="1440"/>
          </w:tcPr>
          <w:p>
            <w:r>
              <w:t>ICW–ICG LD</w:t>
            </w:r>
          </w:p>
        </w:tc>
        <w:tc>
          <w:tcPr>
            <w:tcW w:type="dxa" w:w="1440"/>
          </w:tcPr>
          <w:p>
            <w:r>
              <w:t>57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65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</w:t>
            </w:r>
          </w:p>
        </w:tc>
      </w:tr>
      <w:tr>
        <w:tc>
          <w:tcPr>
            <w:tcW w:type="dxa" w:w="1440"/>
          </w:tcPr>
          <w:p>
            <w:r>
              <w:t>ICG–ICP UD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86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r>
              <w:t>25</w:t>
            </w:r>
          </w:p>
        </w:tc>
      </w:tr>
      <w:tr>
        <w:tc>
          <w:tcPr>
            <w:tcW w:type="dxa" w:w="1440"/>
          </w:tcPr>
          <w:p>
            <w:r>
              <w:t>ICG–ICP LD</w:t>
            </w:r>
          </w:p>
        </w:tc>
        <w:tc>
          <w:tcPr>
            <w:tcW w:type="dxa" w:w="1440"/>
          </w:tcPr>
          <w:p>
            <w:r>
              <w:t>115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45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</w:t>
            </w:r>
          </w:p>
        </w:tc>
      </w:tr>
      <w:tr>
        <w:tc>
          <w:tcPr>
            <w:tcW w:type="dxa" w:w="1440"/>
          </w:tcPr>
          <w:p>
            <w:r>
              <w:t>BHS–SLQ</w:t>
            </w:r>
          </w:p>
        </w:tc>
        <w:tc>
          <w:tcPr>
            <w:tcW w:type="dxa" w:w="1440"/>
          </w:tcPr>
          <w:p>
            <w:r>
              <w:t>195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87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210</w:t>
            </w:r>
          </w:p>
        </w:tc>
      </w:tr>
      <w:tr>
        <w:tc>
          <w:tcPr>
            <w:tcW w:type="dxa" w:w="1440"/>
          </w:tcPr>
          <w:p>
            <w:r>
              <w:t>SLQ–WIS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61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r>
              <w:t>15</w:t>
            </w:r>
          </w:p>
        </w:tc>
      </w:tr>
      <w:tr>
        <w:tc>
          <w:tcPr>
            <w:tcW w:type="dxa" w:w="1440"/>
          </w:tcPr>
          <w:p>
            <w:r>
              <w:t>NQO–NQD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63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r>
              <w:t>25</w:t>
            </w:r>
          </w:p>
        </w:tc>
      </w:tr>
      <w:tr>
        <w:tc>
          <w:tcPr>
            <w:tcW w:type="dxa" w:w="1440"/>
          </w:tcPr>
          <w:p>
            <w:r>
              <w:t>WIN–NC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40</w:t>
            </w:r>
          </w:p>
        </w:tc>
        <w:tc>
          <w:tcPr>
            <w:tcW w:type="dxa" w:w="1440"/>
          </w:tcPr>
          <w:p>
            <w:r>
              <w:t>10</w:t>
            </w:r>
          </w:p>
        </w:tc>
      </w:tr>
      <w:tr>
        <w:tc>
          <w:tcPr>
            <w:tcW w:type="dxa" w:w="1440"/>
          </w:tcPr>
          <w:p>
            <w:r>
              <w:t>SCA–SC1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35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28</w:t>
            </w:r>
          </w:p>
        </w:tc>
        <w:tc>
          <w:tcPr>
            <w:tcW w:type="dxa" w:w="1440"/>
          </w:tcPr>
          <w:p>
            <w:r>
              <w:t>15</w:t>
            </w:r>
          </w:p>
        </w:tc>
      </w:tr>
      <w:tr>
        <w:tc>
          <w:tcPr>
            <w:tcW w:type="dxa" w:w="1440"/>
          </w:tcPr>
          <w:p>
            <w:r>
              <w:t>SCA–SCF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91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28</w:t>
            </w:r>
          </w:p>
        </w:tc>
        <w:tc>
          <w:tcPr>
            <w:tcW w:type="dxa" w:w="1440"/>
          </w:tcPr>
          <w:p>
            <w:r>
              <w:t>30</w:t>
            </w:r>
          </w:p>
        </w:tc>
      </w:tr>
    </w:tbl>
    <w:p>
      <w:r>
        <w:t>Printed SOW column totals: 367 / 361 / 197 / 217 / 357 MT. Structural column total = 1,142 MT. Sum of printed bridge-row structural entries = 1,141 MT. Open discrepancy: 1 MT. Handrail 1,168 m; grating 719 m²; GI sheeting 1,274 m². No correction made pending source reconciliation.</w:t>
      </w:r>
    </w:p>
    <w:p>
      <w:pPr>
        <w:pStyle w:val="Heading1"/>
      </w:pPr>
      <w:r>
        <w:t>Management procedures and control requirements</w:t>
      </w:r>
    </w:p>
    <w:p>
      <w:pPr>
        <w:pStyle w:val="Heading2"/>
      </w:pPr>
      <w:r>
        <w:t>4.1 Marine strategy</w:t>
      </w:r>
    </w:p>
    <w:p>
      <w:r>
        <w:t>Four management campaigns: strengthening, ICW–ICG LD, ICG–ICP LD and BHS–SLQ replacement/removal. These are not necessarily four charters; test consolidated versus separate campaigns for safety, workability, cost and critical-path effect.</w:t>
      </w:r>
    </w:p>
    <w:p>
      <w:r>
        <w:t>Required evidence / deliverable: controlled register or signed record, responsible manager, planned date, verification status, and escalation of any open technical, resource, commercial or operational constraint.</w:t>
      </w:r>
    </w:p>
    <w:p>
      <w:pPr>
        <w:pStyle w:val="Heading2"/>
      </w:pPr>
      <w:r>
        <w:t>4.2 Module register</w:t>
      </w:r>
    </w:p>
    <w:p>
      <w:r>
        <w:t>Record module ID, bridge, drawing revision, actual dimensions, measured weight, calculated and verified COG, lifting points, transport supports, preservation, acceptance dossier, vessel and installation IWP.</w:t>
      </w:r>
    </w:p>
    <w:p>
      <w:r>
        <w:t>Required evidence / deliverable: controlled register or signed record, responsible manager, planned date, verification status, and escalation of any open technical, resource, commercial or operational constraint.</w:t>
      </w:r>
    </w:p>
    <w:p>
      <w:pPr>
        <w:pStyle w:val="Heading2"/>
      </w:pPr>
      <w:r>
        <w:t>4.3 Vessel selection</w:t>
      </w:r>
    </w:p>
    <w:p>
      <w:r>
        <w:t>Request crane charts at actual radius/configuration, deck strength, stability, positioning, environmental limits, vessel certification, marine personnel competence, charter conditions, mobilisation and contingency arrangements.</w:t>
      </w:r>
    </w:p>
    <w:p>
      <w:r>
        <w:t>Required evidence / deliverable: controlled register or signed record, responsible manager, planned date, verification status, and escalation of any open technical, resource, commercial or operational constraint.</w:t>
      </w:r>
    </w:p>
    <w:p>
      <w:pPr>
        <w:pStyle w:val="Heading2"/>
      </w:pPr>
      <w:r>
        <w:t>4.4 Marine engineering and assurance</w:t>
      </w:r>
    </w:p>
    <w:p>
      <w:r>
        <w:t>Project-specific loadout, rigging, sea-fastening, voyage, deck loading, motion, lift dynamics, landing and removal analyses require competent specialist checking. Evaluate applicability of DNV-ST-N001 and contract-specific MWS obligations.</w:t>
      </w:r>
    </w:p>
    <w:p>
      <w:r>
        <w:t>Required evidence / deliverable: controlled register or signed record, responsible manager, planned date, verification status, and escalation of any open technical, resource, commercial or operational constraint.</w:t>
      </w:r>
    </w:p>
    <w:p>
      <w:pPr>
        <w:pStyle w:val="Heading2"/>
      </w:pPr>
      <w:r>
        <w:t>4.5 Fabrication-to-offshore chain</w:t>
      </w:r>
    </w:p>
    <w:p>
      <w:r>
        <w:t>IFC drawing → inspected fabrication → verified weight/COG → module release → shore base → approved loadout → marine transport → work-front readiness → authorised lift → inspected installation → closeout.</w:t>
      </w:r>
    </w:p>
    <w:p>
      <w:r>
        <w:t>Required evidence / deliverable: controlled register or signed record, responsible manager, planned date, verification status, and escalation of any open technical, resource, commercial or operational constraint.</w:t>
      </w:r>
    </w:p>
    <w:p>
      <w:pPr>
        <w:pStyle w:val="Heading2"/>
      </w:pPr>
      <w:r>
        <w:t>4.6 Logistics controls</w:t>
      </w:r>
    </w:p>
    <w:p>
      <w:r>
        <w:t>14-day cargo readiness and 72-hour vessel manifest; segregate accepted, quarantined, backload and preservation-sensitive cargo. Use cargo manifests with unique ID, destination, mass and documentation.</w:t>
      </w:r>
    </w:p>
    <w:p>
      <w:r>
        <w:t>Required evidence / deliverable: controlled register or signed record, responsible manager, planned date, verification status, and escalation of any open technical, resource, commercial or operational constraint.</w:t>
      </w:r>
    </w:p>
    <w:p>
      <w:pPr>
        <w:pStyle w:val="Heading2"/>
      </w:pPr>
      <w:r>
        <w:t>4.7 Marine daily report</w:t>
      </w:r>
    </w:p>
    <w:p>
      <w:r>
        <w:t>Record vessel hours by productive, transit, weather standby, operations standby, equipment failure and contractor-caused standby. Review forecast days and cost each day.</w:t>
      </w:r>
    </w:p>
    <w:p>
      <w:r>
        <w:t>Required evidence / deliverable: controlled register or signed record, responsible manager, planned date, verification status, and escalation of any open technical, resource, commercial or operational constraint.</w:t>
      </w:r>
    </w:p>
    <w:p>
      <w:pPr>
        <w:pStyle w:val="Heading2"/>
      </w:pPr>
      <w:r>
        <w:t>4.8 BHS–SLQ special control</w:t>
      </w:r>
    </w:p>
    <w:p>
      <w:r>
        <w:t>Coordinate new replacement structure, operating service interfaces, temporary support, approved lifting and landing, structural integrity, engineered demolition and disposal. Never infer a single-lift weight from 282 MT bridge quantity.</w:t>
      </w:r>
    </w:p>
    <w:p>
      <w:r>
        <w:t>Required evidence / deliverable: controlled register or signed record, responsible manager, planned date, verification status, and escalation of any open technical, resource, commercial or operational constraint.</w:t>
      </w:r>
    </w:p>
    <w:p>
      <w:pPr>
        <w:pStyle w:val="Heading2"/>
      </w:pPr>
      <w:r>
        <w:t>4.9 Weather and SIMOPS</w:t>
      </w:r>
    </w:p>
    <w:p>
      <w:r>
        <w:t>Use project-specific environmental thresholds, vessel procedures, ONGC work authorisation and SIMOPS interface documents. Vessel master and installation authorities retain safety powers.</w:t>
      </w:r>
    </w:p>
    <w:p>
      <w:r>
        <w:t>Required evidence / deliverable: controlled register or signed record, responsible manager, planned date, verification status, and escalation of any open technical, resource, commercial or operational constraint.</w:t>
      </w:r>
    </w:p>
    <w:p>
      <w:pPr>
        <w:pStyle w:val="Heading2"/>
      </w:pPr>
      <w:r>
        <w:t>4.10 Marine gate checklist</w:t>
      </w:r>
    </w:p>
    <w:p>
      <w:r>
        <w:t>Before any operation verify competent engineering approval, certified equipment, inspection releases, permits, isolations, communications, weather limits, emergency readiness, vessel configuration and formal go/no-go.</w:t>
      </w:r>
    </w:p>
    <w:p>
      <w:r>
        <w:t>Required evidence / deliverable: controlled register or signed record, responsible manager, planned date, verification status, and escalation of any open technical, resource, commercial or operational constraint.</w:t>
      </w:r>
    </w:p>
    <w:p>
      <w:pPr>
        <w:pStyle w:val="Heading1"/>
      </w:pPr>
      <w:r>
        <w:t>Bridge-wise implementation matrix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Bridge</w:t>
            </w:r>
          </w:p>
        </w:tc>
        <w:tc>
          <w:tcPr>
            <w:tcW w:type="dxa" w:w="2160"/>
          </w:tcPr>
          <w:p>
            <w:r>
              <w:t>Work type</w:t>
            </w:r>
          </w:p>
        </w:tc>
        <w:tc>
          <w:tcPr>
            <w:tcW w:type="dxa" w:w="2160"/>
          </w:tcPr>
          <w:p>
            <w:r>
              <w:t>Planning quantity MT</w:t>
            </w:r>
          </w:p>
        </w:tc>
        <w:tc>
          <w:tcPr>
            <w:tcW w:type="dxa" w:w="2160"/>
          </w:tcPr>
          <w:p>
            <w:r>
              <w:t>Required bridge-specific output</w:t>
            </w:r>
          </w:p>
        </w:tc>
      </w:tr>
      <w:tr>
        <w:tc>
          <w:tcPr>
            <w:tcW w:type="dxa" w:w="2160"/>
          </w:tcPr>
          <w:p>
            <w:r>
              <w:t>ICW–ICG UD</w:t>
            </w:r>
          </w:p>
        </w:tc>
        <w:tc>
          <w:tcPr>
            <w:tcW w:type="dxa" w:w="2160"/>
          </w:tcPr>
          <w:p>
            <w:r>
              <w:t>Strengthening</w:t>
            </w:r>
          </w:p>
        </w:tc>
        <w:tc>
          <w:tcPr>
            <w:tcW w:type="dxa" w:w="2160"/>
          </w:tcPr>
          <w:p>
            <w:r>
              <w:t>49</w:t>
            </w:r>
          </w:p>
        </w:tc>
        <w:tc>
          <w:tcPr>
            <w:tcW w:type="dxa" w:w="2160"/>
          </w:tcPr>
          <w:p>
            <w:r>
              <w:t>Approved drawings + MTO + work pack + QA release + accepted handover</w:t>
            </w:r>
          </w:p>
        </w:tc>
      </w:tr>
      <w:tr>
        <w:tc>
          <w:tcPr>
            <w:tcW w:type="dxa" w:w="2160"/>
          </w:tcPr>
          <w:p>
            <w:r>
              <w:t>ICW–ICG LD</w:t>
            </w:r>
          </w:p>
        </w:tc>
        <w:tc>
          <w:tcPr>
            <w:tcW w:type="dxa" w:w="2160"/>
          </w:tcPr>
          <w:p>
            <w:r>
              <w:t>New lower deck</w:t>
            </w:r>
          </w:p>
        </w:tc>
        <w:tc>
          <w:tcPr>
            <w:tcW w:type="dxa" w:w="2160"/>
          </w:tcPr>
          <w:p>
            <w:r>
              <w:t>122</w:t>
            </w:r>
          </w:p>
        </w:tc>
        <w:tc>
          <w:tcPr>
            <w:tcW w:type="dxa" w:w="2160"/>
          </w:tcPr>
          <w:p>
            <w:r>
              <w:t>Approved drawings + MTO + work pack + QA release + accepted handover</w:t>
            </w:r>
          </w:p>
        </w:tc>
      </w:tr>
      <w:tr>
        <w:tc>
          <w:tcPr>
            <w:tcW w:type="dxa" w:w="2160"/>
          </w:tcPr>
          <w:p>
            <w:r>
              <w:t>ICG–ICP UD</w:t>
            </w:r>
          </w:p>
        </w:tc>
        <w:tc>
          <w:tcPr>
            <w:tcW w:type="dxa" w:w="2160"/>
          </w:tcPr>
          <w:p>
            <w:r>
              <w:t>Strengthening</w:t>
            </w:r>
          </w:p>
        </w:tc>
        <w:tc>
          <w:tcPr>
            <w:tcW w:type="dxa" w:w="2160"/>
          </w:tcPr>
          <w:p>
            <w:r>
              <w:t>116</w:t>
            </w:r>
          </w:p>
        </w:tc>
        <w:tc>
          <w:tcPr>
            <w:tcW w:type="dxa" w:w="2160"/>
          </w:tcPr>
          <w:p>
            <w:r>
              <w:t>Approved drawings + MTO + work pack + QA release + accepted handover</w:t>
            </w:r>
          </w:p>
        </w:tc>
      </w:tr>
      <w:tr>
        <w:tc>
          <w:tcPr>
            <w:tcW w:type="dxa" w:w="2160"/>
          </w:tcPr>
          <w:p>
            <w:r>
              <w:t>ICG–ICP LD</w:t>
            </w:r>
          </w:p>
        </w:tc>
        <w:tc>
          <w:tcPr>
            <w:tcW w:type="dxa" w:w="2160"/>
          </w:tcPr>
          <w:p>
            <w:r>
              <w:t>New lower deck</w:t>
            </w:r>
          </w:p>
        </w:tc>
        <w:tc>
          <w:tcPr>
            <w:tcW w:type="dxa" w:w="2160"/>
          </w:tcPr>
          <w:p>
            <w:r>
              <w:t>160</w:t>
            </w:r>
          </w:p>
        </w:tc>
        <w:tc>
          <w:tcPr>
            <w:tcW w:type="dxa" w:w="2160"/>
          </w:tcPr>
          <w:p>
            <w:r>
              <w:t>Approved drawings + MTO + work pack + QA release + accepted handover</w:t>
            </w:r>
          </w:p>
        </w:tc>
      </w:tr>
      <w:tr>
        <w:tc>
          <w:tcPr>
            <w:tcW w:type="dxa" w:w="2160"/>
          </w:tcPr>
          <w:p>
            <w:r>
              <w:t>BHS–SLQ</w:t>
            </w:r>
          </w:p>
        </w:tc>
        <w:tc>
          <w:tcPr>
            <w:tcW w:type="dxa" w:w="2160"/>
          </w:tcPr>
          <w:p>
            <w:r>
              <w:t>Replacement</w:t>
            </w:r>
          </w:p>
        </w:tc>
        <w:tc>
          <w:tcPr>
            <w:tcW w:type="dxa" w:w="2160"/>
          </w:tcPr>
          <w:p>
            <w:r>
              <w:t>282</w:t>
            </w:r>
          </w:p>
        </w:tc>
        <w:tc>
          <w:tcPr>
            <w:tcW w:type="dxa" w:w="2160"/>
          </w:tcPr>
          <w:p>
            <w:r>
              <w:t>Approved drawings + MTO + work pack + QA release + accepted handover</w:t>
            </w:r>
          </w:p>
        </w:tc>
      </w:tr>
      <w:tr>
        <w:tc>
          <w:tcPr>
            <w:tcW w:type="dxa" w:w="2160"/>
          </w:tcPr>
          <w:p>
            <w:r>
              <w:t>SLQ–WIS</w:t>
            </w:r>
          </w:p>
        </w:tc>
        <w:tc>
          <w:tcPr>
            <w:tcW w:type="dxa" w:w="2160"/>
          </w:tcPr>
          <w:p>
            <w:r>
              <w:t>Strengthening</w:t>
            </w:r>
          </w:p>
        </w:tc>
        <w:tc>
          <w:tcPr>
            <w:tcW w:type="dxa" w:w="2160"/>
          </w:tcPr>
          <w:p>
            <w:r>
              <w:t>91</w:t>
            </w:r>
          </w:p>
        </w:tc>
        <w:tc>
          <w:tcPr>
            <w:tcW w:type="dxa" w:w="2160"/>
          </w:tcPr>
          <w:p>
            <w:r>
              <w:t>Approved drawings + MTO + work pack + QA release + accepted handover</w:t>
            </w:r>
          </w:p>
        </w:tc>
      </w:tr>
      <w:tr>
        <w:tc>
          <w:tcPr>
            <w:tcW w:type="dxa" w:w="2160"/>
          </w:tcPr>
          <w:p>
            <w:r>
              <w:t>NQO–NQD</w:t>
            </w:r>
          </w:p>
        </w:tc>
        <w:tc>
          <w:tcPr>
            <w:tcW w:type="dxa" w:w="2160"/>
          </w:tcPr>
          <w:p>
            <w:r>
              <w:t>Strengthening</w:t>
            </w:r>
          </w:p>
        </w:tc>
        <w:tc>
          <w:tcPr>
            <w:tcW w:type="dxa" w:w="2160"/>
          </w:tcPr>
          <w:p>
            <w:r>
              <w:t>93</w:t>
            </w:r>
          </w:p>
        </w:tc>
        <w:tc>
          <w:tcPr>
            <w:tcW w:type="dxa" w:w="2160"/>
          </w:tcPr>
          <w:p>
            <w:r>
              <w:t>Approved drawings + MTO + work pack + QA release + accepted handover</w:t>
            </w:r>
          </w:p>
        </w:tc>
      </w:tr>
      <w:tr>
        <w:tc>
          <w:tcPr>
            <w:tcW w:type="dxa" w:w="2160"/>
          </w:tcPr>
          <w:p>
            <w:r>
              <w:t>WIN–NC</w:t>
            </w:r>
          </w:p>
        </w:tc>
        <w:tc>
          <w:tcPr>
            <w:tcW w:type="dxa" w:w="2160"/>
          </w:tcPr>
          <w:p>
            <w:r>
              <w:t>Strengthening</w:t>
            </w:r>
          </w:p>
        </w:tc>
        <w:tc>
          <w:tcPr>
            <w:tcW w:type="dxa" w:w="2160"/>
          </w:tcPr>
          <w:p>
            <w:r>
              <w:t>46</w:t>
            </w:r>
          </w:p>
        </w:tc>
        <w:tc>
          <w:tcPr>
            <w:tcW w:type="dxa" w:w="2160"/>
          </w:tcPr>
          <w:p>
            <w:r>
              <w:t>Approved drawings + MTO + work pack + QA release + accepted handover</w:t>
            </w:r>
          </w:p>
        </w:tc>
      </w:tr>
      <w:tr>
        <w:tc>
          <w:tcPr>
            <w:tcW w:type="dxa" w:w="2160"/>
          </w:tcPr>
          <w:p>
            <w:r>
              <w:t>SCA–SC1</w:t>
            </w:r>
          </w:p>
        </w:tc>
        <w:tc>
          <w:tcPr>
            <w:tcW w:type="dxa" w:w="2160"/>
          </w:tcPr>
          <w:p>
            <w:r>
              <w:t>Strengthening</w:t>
            </w:r>
          </w:p>
        </w:tc>
        <w:tc>
          <w:tcPr>
            <w:tcW w:type="dxa" w:w="2160"/>
          </w:tcPr>
          <w:p>
            <w:r>
              <w:t>63</w:t>
            </w:r>
          </w:p>
        </w:tc>
        <w:tc>
          <w:tcPr>
            <w:tcW w:type="dxa" w:w="2160"/>
          </w:tcPr>
          <w:p>
            <w:r>
              <w:t>Approved drawings + MTO + work pack + QA release + accepted handover</w:t>
            </w:r>
          </w:p>
        </w:tc>
      </w:tr>
      <w:tr>
        <w:tc>
          <w:tcPr>
            <w:tcW w:type="dxa" w:w="2160"/>
          </w:tcPr>
          <w:p>
            <w:r>
              <w:t>SCA–SCF</w:t>
            </w:r>
          </w:p>
        </w:tc>
        <w:tc>
          <w:tcPr>
            <w:tcW w:type="dxa" w:w="2160"/>
          </w:tcPr>
          <w:p>
            <w:r>
              <w:t>Strengthening</w:t>
            </w:r>
          </w:p>
        </w:tc>
        <w:tc>
          <w:tcPr>
            <w:tcW w:type="dxa" w:w="2160"/>
          </w:tcPr>
          <w:p>
            <w:r>
              <w:t>119</w:t>
            </w:r>
          </w:p>
        </w:tc>
        <w:tc>
          <w:tcPr>
            <w:tcW w:type="dxa" w:w="2160"/>
          </w:tcPr>
          <w:p>
            <w:r>
              <w:t>Approved drawings + MTO + work pack + QA release + accepted handover</w:t>
            </w:r>
          </w:p>
        </w:tc>
      </w:tr>
    </w:tbl>
    <w:p>
      <w:pPr>
        <w:pStyle w:val="Heading1"/>
      </w:pPr>
      <w:r>
        <w:t>Control register template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Deliverable / action</w:t>
            </w:r>
          </w:p>
        </w:tc>
        <w:tc>
          <w:tcPr>
            <w:tcW w:type="dxa" w:w="1728"/>
          </w:tcPr>
          <w:p>
            <w:r>
              <w:t>Accountable owner</w:t>
            </w:r>
          </w:p>
        </w:tc>
        <w:tc>
          <w:tcPr>
            <w:tcW w:type="dxa" w:w="1728"/>
          </w:tcPr>
          <w:p>
            <w:r>
              <w:t>Due date</w:t>
            </w:r>
          </w:p>
        </w:tc>
        <w:tc>
          <w:tcPr>
            <w:tcW w:type="dxa" w:w="1728"/>
          </w:tcPr>
          <w:p>
            <w:r>
              <w:t>Status / evidence</w:t>
            </w:r>
          </w:p>
        </w:tc>
      </w:tr>
      <w:tr>
        <w:tc>
          <w:tcPr>
            <w:tcW w:type="dxa" w:w="1728"/>
          </w:tcPr>
          <w:p>
            <w:r>
              <w:t>V4-01</w:t>
            </w:r>
          </w:p>
        </w:tc>
        <w:tc>
          <w:tcPr>
            <w:tcW w:type="dxa" w:w="1728"/>
          </w:tcPr>
          <w:p>
            <w:r>
              <w:t>Marine strategy</w:t>
            </w:r>
          </w:p>
        </w:tc>
        <w:tc>
          <w:tcPr>
            <w:tcW w:type="dxa" w:w="1728"/>
          </w:tcPr>
          <w:p>
            <w:r>
              <w:t>To assign</w:t>
            </w:r>
          </w:p>
        </w:tc>
        <w:tc>
          <w:tcPr>
            <w:tcW w:type="dxa" w:w="1728"/>
          </w:tcPr>
          <w:p>
            <w:r>
              <w:t>To confirm</w:t>
            </w:r>
          </w:p>
        </w:tc>
        <w:tc>
          <w:tcPr>
            <w:tcW w:type="dxa" w:w="1728"/>
          </w:tcPr>
          <w:p>
            <w:r>
              <w:t>Open — verify</w:t>
            </w:r>
          </w:p>
        </w:tc>
      </w:tr>
      <w:tr>
        <w:tc>
          <w:tcPr>
            <w:tcW w:type="dxa" w:w="1728"/>
          </w:tcPr>
          <w:p>
            <w:r>
              <w:t>V4-02</w:t>
            </w:r>
          </w:p>
        </w:tc>
        <w:tc>
          <w:tcPr>
            <w:tcW w:type="dxa" w:w="1728"/>
          </w:tcPr>
          <w:p>
            <w:r>
              <w:t>Module register</w:t>
            </w:r>
          </w:p>
        </w:tc>
        <w:tc>
          <w:tcPr>
            <w:tcW w:type="dxa" w:w="1728"/>
          </w:tcPr>
          <w:p>
            <w:r>
              <w:t>To assign</w:t>
            </w:r>
          </w:p>
        </w:tc>
        <w:tc>
          <w:tcPr>
            <w:tcW w:type="dxa" w:w="1728"/>
          </w:tcPr>
          <w:p>
            <w:r>
              <w:t>To confirm</w:t>
            </w:r>
          </w:p>
        </w:tc>
        <w:tc>
          <w:tcPr>
            <w:tcW w:type="dxa" w:w="1728"/>
          </w:tcPr>
          <w:p>
            <w:r>
              <w:t>Open — verify</w:t>
            </w:r>
          </w:p>
        </w:tc>
      </w:tr>
      <w:tr>
        <w:tc>
          <w:tcPr>
            <w:tcW w:type="dxa" w:w="1728"/>
          </w:tcPr>
          <w:p>
            <w:r>
              <w:t>V4-03</w:t>
            </w:r>
          </w:p>
        </w:tc>
        <w:tc>
          <w:tcPr>
            <w:tcW w:type="dxa" w:w="1728"/>
          </w:tcPr>
          <w:p>
            <w:r>
              <w:t>Vessel selection</w:t>
            </w:r>
          </w:p>
        </w:tc>
        <w:tc>
          <w:tcPr>
            <w:tcW w:type="dxa" w:w="1728"/>
          </w:tcPr>
          <w:p>
            <w:r>
              <w:t>To assign</w:t>
            </w:r>
          </w:p>
        </w:tc>
        <w:tc>
          <w:tcPr>
            <w:tcW w:type="dxa" w:w="1728"/>
          </w:tcPr>
          <w:p>
            <w:r>
              <w:t>To confirm</w:t>
            </w:r>
          </w:p>
        </w:tc>
        <w:tc>
          <w:tcPr>
            <w:tcW w:type="dxa" w:w="1728"/>
          </w:tcPr>
          <w:p>
            <w:r>
              <w:t>Open — verify</w:t>
            </w:r>
          </w:p>
        </w:tc>
      </w:tr>
      <w:tr>
        <w:tc>
          <w:tcPr>
            <w:tcW w:type="dxa" w:w="1728"/>
          </w:tcPr>
          <w:p>
            <w:r>
              <w:t>V4-04</w:t>
            </w:r>
          </w:p>
        </w:tc>
        <w:tc>
          <w:tcPr>
            <w:tcW w:type="dxa" w:w="1728"/>
          </w:tcPr>
          <w:p>
            <w:r>
              <w:t>Marine engineering and assurance</w:t>
            </w:r>
          </w:p>
        </w:tc>
        <w:tc>
          <w:tcPr>
            <w:tcW w:type="dxa" w:w="1728"/>
          </w:tcPr>
          <w:p>
            <w:r>
              <w:t>To assign</w:t>
            </w:r>
          </w:p>
        </w:tc>
        <w:tc>
          <w:tcPr>
            <w:tcW w:type="dxa" w:w="1728"/>
          </w:tcPr>
          <w:p>
            <w:r>
              <w:t>To confirm</w:t>
            </w:r>
          </w:p>
        </w:tc>
        <w:tc>
          <w:tcPr>
            <w:tcW w:type="dxa" w:w="1728"/>
          </w:tcPr>
          <w:p>
            <w:r>
              <w:t>Open — verify</w:t>
            </w:r>
          </w:p>
        </w:tc>
      </w:tr>
      <w:tr>
        <w:tc>
          <w:tcPr>
            <w:tcW w:type="dxa" w:w="1728"/>
          </w:tcPr>
          <w:p>
            <w:r>
              <w:t>V4-05</w:t>
            </w:r>
          </w:p>
        </w:tc>
        <w:tc>
          <w:tcPr>
            <w:tcW w:type="dxa" w:w="1728"/>
          </w:tcPr>
          <w:p>
            <w:r>
              <w:t>Fabrication-to-offshore chain</w:t>
            </w:r>
          </w:p>
        </w:tc>
        <w:tc>
          <w:tcPr>
            <w:tcW w:type="dxa" w:w="1728"/>
          </w:tcPr>
          <w:p>
            <w:r>
              <w:t>To assign</w:t>
            </w:r>
          </w:p>
        </w:tc>
        <w:tc>
          <w:tcPr>
            <w:tcW w:type="dxa" w:w="1728"/>
          </w:tcPr>
          <w:p>
            <w:r>
              <w:t>To confirm</w:t>
            </w:r>
          </w:p>
        </w:tc>
        <w:tc>
          <w:tcPr>
            <w:tcW w:type="dxa" w:w="1728"/>
          </w:tcPr>
          <w:p>
            <w:r>
              <w:t>Open — verify</w:t>
            </w:r>
          </w:p>
        </w:tc>
      </w:tr>
      <w:tr>
        <w:tc>
          <w:tcPr>
            <w:tcW w:type="dxa" w:w="1728"/>
          </w:tcPr>
          <w:p>
            <w:r>
              <w:t>V4-06</w:t>
            </w:r>
          </w:p>
        </w:tc>
        <w:tc>
          <w:tcPr>
            <w:tcW w:type="dxa" w:w="1728"/>
          </w:tcPr>
          <w:p>
            <w:r>
              <w:t>Logistics controls</w:t>
            </w:r>
          </w:p>
        </w:tc>
        <w:tc>
          <w:tcPr>
            <w:tcW w:type="dxa" w:w="1728"/>
          </w:tcPr>
          <w:p>
            <w:r>
              <w:t>To assign</w:t>
            </w:r>
          </w:p>
        </w:tc>
        <w:tc>
          <w:tcPr>
            <w:tcW w:type="dxa" w:w="1728"/>
          </w:tcPr>
          <w:p>
            <w:r>
              <w:t>To confirm</w:t>
            </w:r>
          </w:p>
        </w:tc>
        <w:tc>
          <w:tcPr>
            <w:tcW w:type="dxa" w:w="1728"/>
          </w:tcPr>
          <w:p>
            <w:r>
              <w:t>Open — verify</w:t>
            </w:r>
          </w:p>
        </w:tc>
      </w:tr>
      <w:tr>
        <w:tc>
          <w:tcPr>
            <w:tcW w:type="dxa" w:w="1728"/>
          </w:tcPr>
          <w:p>
            <w:r>
              <w:t>V4-07</w:t>
            </w:r>
          </w:p>
        </w:tc>
        <w:tc>
          <w:tcPr>
            <w:tcW w:type="dxa" w:w="1728"/>
          </w:tcPr>
          <w:p>
            <w:r>
              <w:t>Marine daily report</w:t>
            </w:r>
          </w:p>
        </w:tc>
        <w:tc>
          <w:tcPr>
            <w:tcW w:type="dxa" w:w="1728"/>
          </w:tcPr>
          <w:p>
            <w:r>
              <w:t>To assign</w:t>
            </w:r>
          </w:p>
        </w:tc>
        <w:tc>
          <w:tcPr>
            <w:tcW w:type="dxa" w:w="1728"/>
          </w:tcPr>
          <w:p>
            <w:r>
              <w:t>To confirm</w:t>
            </w:r>
          </w:p>
        </w:tc>
        <w:tc>
          <w:tcPr>
            <w:tcW w:type="dxa" w:w="1728"/>
          </w:tcPr>
          <w:p>
            <w:r>
              <w:t>Open — verify</w:t>
            </w:r>
          </w:p>
        </w:tc>
      </w:tr>
      <w:tr>
        <w:tc>
          <w:tcPr>
            <w:tcW w:type="dxa" w:w="1728"/>
          </w:tcPr>
          <w:p>
            <w:r>
              <w:t>V4-08</w:t>
            </w:r>
          </w:p>
        </w:tc>
        <w:tc>
          <w:tcPr>
            <w:tcW w:type="dxa" w:w="1728"/>
          </w:tcPr>
          <w:p>
            <w:r>
              <w:t>BHS–SLQ special control</w:t>
            </w:r>
          </w:p>
        </w:tc>
        <w:tc>
          <w:tcPr>
            <w:tcW w:type="dxa" w:w="1728"/>
          </w:tcPr>
          <w:p>
            <w:r>
              <w:t>To assign</w:t>
            </w:r>
          </w:p>
        </w:tc>
        <w:tc>
          <w:tcPr>
            <w:tcW w:type="dxa" w:w="1728"/>
          </w:tcPr>
          <w:p>
            <w:r>
              <w:t>To confirm</w:t>
            </w:r>
          </w:p>
        </w:tc>
        <w:tc>
          <w:tcPr>
            <w:tcW w:type="dxa" w:w="1728"/>
          </w:tcPr>
          <w:p>
            <w:r>
              <w:t>Open — verify</w:t>
            </w:r>
          </w:p>
        </w:tc>
      </w:tr>
      <w:tr>
        <w:tc>
          <w:tcPr>
            <w:tcW w:type="dxa" w:w="1728"/>
          </w:tcPr>
          <w:p>
            <w:r>
              <w:t>V4-09</w:t>
            </w:r>
          </w:p>
        </w:tc>
        <w:tc>
          <w:tcPr>
            <w:tcW w:type="dxa" w:w="1728"/>
          </w:tcPr>
          <w:p>
            <w:r>
              <w:t>Weather and SIMOPS</w:t>
            </w:r>
          </w:p>
        </w:tc>
        <w:tc>
          <w:tcPr>
            <w:tcW w:type="dxa" w:w="1728"/>
          </w:tcPr>
          <w:p>
            <w:r>
              <w:t>To assign</w:t>
            </w:r>
          </w:p>
        </w:tc>
        <w:tc>
          <w:tcPr>
            <w:tcW w:type="dxa" w:w="1728"/>
          </w:tcPr>
          <w:p>
            <w:r>
              <w:t>To confirm</w:t>
            </w:r>
          </w:p>
        </w:tc>
        <w:tc>
          <w:tcPr>
            <w:tcW w:type="dxa" w:w="1728"/>
          </w:tcPr>
          <w:p>
            <w:r>
              <w:t>Open — verify</w:t>
            </w:r>
          </w:p>
        </w:tc>
      </w:tr>
      <w:tr>
        <w:tc>
          <w:tcPr>
            <w:tcW w:type="dxa" w:w="1728"/>
          </w:tcPr>
          <w:p>
            <w:r>
              <w:t>V4-10</w:t>
            </w:r>
          </w:p>
        </w:tc>
        <w:tc>
          <w:tcPr>
            <w:tcW w:type="dxa" w:w="1728"/>
          </w:tcPr>
          <w:p>
            <w:r>
              <w:t>Marine gate checklist</w:t>
            </w:r>
          </w:p>
        </w:tc>
        <w:tc>
          <w:tcPr>
            <w:tcW w:type="dxa" w:w="1728"/>
          </w:tcPr>
          <w:p>
            <w:r>
              <w:t>To assign</w:t>
            </w:r>
          </w:p>
        </w:tc>
        <w:tc>
          <w:tcPr>
            <w:tcW w:type="dxa" w:w="1728"/>
          </w:tcPr>
          <w:p>
            <w:r>
              <w:t>To confirm</w:t>
            </w:r>
          </w:p>
        </w:tc>
        <w:tc>
          <w:tcPr>
            <w:tcW w:type="dxa" w:w="1728"/>
          </w:tcPr>
          <w:p>
            <w:r>
              <w:t>Open — verify</w:t>
            </w:r>
          </w:p>
        </w:tc>
      </w:tr>
    </w:tbl>
    <w:p>
      <w:pPr>
        <w:pStyle w:val="Heading1"/>
      </w:pPr>
      <w:r>
        <w:t>Formal review and release criteria</w:t>
      </w:r>
    </w:p>
    <w:p>
      <w:r>
        <w:t>Before release, discipline leads must verify: (1) controlling contract and drawing revision; (2) reconciled quantity and scope; (3) qualified resources and documented capacity; (4) schedule and cost impact; (5) inspection and safety hold points; (6) ONGC and marine operational authorisations where applicable. CEO approval of a planning volume does not authorise offshore operations.</w:t>
      </w:r>
    </w:p>
    <w:p>
      <w:pPr>
        <w:pStyle w:val="Heading1"/>
      </w:pPr>
      <w:r>
        <w:t>Reference sources</w:t>
      </w:r>
    </w:p>
    <w:p>
      <w:pPr>
        <w:pStyle w:val="ListBullet"/>
      </w:pPr>
      <w:r>
        <w:t>SOW &amp; Bridge Report Combined.pdf — Section 1, Background and General Requirement; B774 MTO table</w:t>
      </w:r>
    </w:p>
    <w:p>
      <w:pPr>
        <w:pStyle w:val="ListBullet"/>
      </w:pPr>
      <w:r>
        <w:t>MTO Drawings IRT.pdf — drawing collection; detailed checking outstanding</w:t>
      </w:r>
    </w:p>
    <w:p>
      <w:pPr>
        <w:pStyle w:val="ListBullet"/>
      </w:pPr>
      <w:r>
        <w:t>https://www.saipem.com/en/solutions-energy-transition/offshore</w:t>
      </w:r>
    </w:p>
    <w:p>
      <w:pPr>
        <w:pStyle w:val="ListBullet"/>
      </w:pPr>
      <w:r>
        <w:t>https://www.mcdermott.com/solutions/offshore</w:t>
      </w:r>
    </w:p>
    <w:p>
      <w:pPr>
        <w:pStyle w:val="ListBullet"/>
      </w:pPr>
      <w:r>
        <w:t>https://www.dnv.com/energy/standards-guidelines/dnv-st-n001-marine-operations-and-marine-warranty/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SHV-BRRP-PEP-V04-R0  |  PRE-AWARD — NOT FOR CONSTRUCTION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SHIVANSH  |  OFFSHORE EPC PROJECT EXECUTION MASTER PLAN  |  CONTROLLED PLANNING ISSUE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