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72"/>
          <w:sz w:val="48"/>
        </w:rPr>
        <w:t>PhishDriftBench + DASH</w:t>
      </w:r>
    </w:p>
    <w:p>
      <w:pPr>
        <w:jc w:val="center"/>
      </w:pPr>
      <w:r>
        <w:rPr>
          <w:sz w:val="26"/>
        </w:rPr>
        <w:t>The Reported–Deployed Gap in Phishing URL Detection:</w:t>
        <w:br/>
        <w:t>A Time-, Source-, Provenance- and Evasion-Aware Benchmark</w:t>
        <w:br/>
        <w:t>with Drift-Aware Selective Hardening</w:t>
      </w:r>
    </w:p>
    <w:p>
      <w:pPr>
        <w:jc w:val="center"/>
      </w:pPr>
      <w:r>
        <w:rPr>
          <w:i/>
          <w:sz w:val="20"/>
        </w:rPr>
        <w:t>Final Year Project — Project Definition, Literature Review and Architecture</w:t>
      </w:r>
    </w:p>
    <w:p>
      <w:pPr>
        <w:spacing w:before="280" w:after="120"/>
      </w:pPr>
      <w:r>
        <w:rPr>
          <w:rFonts w:ascii="Calibri" w:hAnsi="Calibri"/>
          <w:b/>
          <w:color w:val="1B4F72"/>
          <w:sz w:val="30"/>
        </w:rPr>
        <w:t>1.  Abstract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 xml:space="preserve">Published phishing URL detectors routinely report 97–99.5% accuracy, yet these figures are almost always produced under one evaluation protocol: a random or k-fold split of a single dataset, balanced at roughly 50% phishing prevalence, with no adversary in the loop. Each of those choices is individually defensible and collectively misleading. Random splits leak time, because phishing URLs arrive in campaigns whose near-identical members land in both train and test partitions. Single-source evaluation hides source-specific artifacts — a feature can carry </w:t>
      </w:r>
      <w:r>
        <w:rPr>
          <w:rFonts w:ascii="Calibri" w:hAnsi="Calibri"/>
          <w:b w:val="0"/>
          <w:i/>
          <w:sz w:val="20"/>
        </w:rPr>
        <w:t>opposite</w:t>
      </w:r>
      <w:r>
        <w:rPr>
          <w:rFonts w:ascii="Calibri" w:hAnsi="Calibri"/>
          <w:b w:val="0"/>
          <w:i w:val="0"/>
          <w:sz w:val="20"/>
        </w:rPr>
        <w:t xml:space="preserve"> meaning in different corpora. Balanced test sets conceal the base-rate problem: a detector with 99% accuracy and a 1% false-positive rate, deployed at a real prevalence of 1:10⁴, yields precision near 1%.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 xml:space="preserve">This project builds </w:t>
      </w:r>
      <w:r>
        <w:rPr>
          <w:rFonts w:ascii="Calibri" w:hAnsi="Calibri"/>
          <w:b/>
          <w:i w:val="0"/>
          <w:sz w:val="20"/>
        </w:rPr>
        <w:t>PhishDriftBench</w:t>
      </w:r>
      <w:r>
        <w:rPr>
          <w:rFonts w:ascii="Calibri" w:hAnsi="Calibri"/>
          <w:b w:val="0"/>
          <w:i w:val="0"/>
          <w:sz w:val="20"/>
        </w:rPr>
        <w:t xml:space="preserve">, a four-axis evaluation protocol that measures detectors across time, across data sources, against rule-based and generative evasion, and at deployment-realistic class priors. Under this protocol we re-evaluate five representative architectures drawn from the base papers. We add a </w:t>
      </w:r>
      <w:r>
        <w:rPr>
          <w:rFonts w:ascii="Calibri" w:hAnsi="Calibri"/>
          <w:b/>
          <w:i w:val="0"/>
          <w:sz w:val="20"/>
        </w:rPr>
        <w:t>feature-provenance audit</w:t>
      </w:r>
      <w:r>
        <w:rPr>
          <w:rFonts w:ascii="Calibri" w:hAnsi="Calibri"/>
          <w:b w:val="0"/>
          <w:i w:val="0"/>
          <w:sz w:val="20"/>
        </w:rPr>
        <w:t xml:space="preserve"> that separates statically computable lexical features from those requiring a live network lookup, and quantifies how much reported accuracy is attributable to lookup artifacts rather than phishing semantics. Finally we propose </w:t>
      </w:r>
      <w:r>
        <w:rPr>
          <w:rFonts w:ascii="Calibri" w:hAnsi="Calibri"/>
          <w:b/>
          <w:i w:val="0"/>
          <w:sz w:val="20"/>
        </w:rPr>
        <w:t>DASH</w:t>
      </w:r>
      <w:r>
        <w:rPr>
          <w:rFonts w:ascii="Calibri" w:hAnsi="Calibri"/>
          <w:b w:val="0"/>
          <w:i w:val="0"/>
          <w:sz w:val="20"/>
        </w:rPr>
        <w:t xml:space="preserve"> (Drift-Aware Selective Hardening), a lightweight mitigation combining drift-stability feature weighting, unsupervised drift detection, a bounded active-labelling budget, and a calibrated abstention band. The project is </w:t>
      </w:r>
      <w:r>
        <w:rPr>
          <w:rFonts w:ascii="Calibri" w:hAnsi="Calibri"/>
          <w:b/>
          <w:i w:val="0"/>
          <w:sz w:val="20"/>
        </w:rPr>
        <w:t>URL-only</w:t>
      </w:r>
      <w:r>
        <w:rPr>
          <w:rFonts w:ascii="Calibri" w:hAnsi="Calibri"/>
          <w:b w:val="0"/>
          <w:i w:val="0"/>
          <w:sz w:val="20"/>
        </w:rPr>
        <w:t>: no page is fetched, rendered, hosted or transmitted at any point.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DEDEC"/>
          </w:tcPr>
          <w:p>
            <w:r>
              <w:rPr>
                <w:b/>
                <w:color w:val="922B21"/>
                <w:sz w:val="20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sz w:val="20"/>
              </w:rPr>
              <w:t>design and protocol complete; experiments not yet run. Every quantitative claim in the accompanying paper draft is an explicit unfilled placeholder. No results are reported until they are measured.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B4F72"/>
          <w:sz w:val="30"/>
        </w:rPr>
        <w:t>2.  Improvements over the base papers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Each improvement names a specific, verified gap in the ten base papers.</w:t>
      </w:r>
    </w:p>
    <w:p>
      <w:pPr>
        <w:spacing w:before="160" w:after="120"/>
      </w:pPr>
      <w:r>
        <w:rPr>
          <w:rFonts w:ascii="Calibri" w:hAnsi="Calibri"/>
          <w:b/>
          <w:color w:val="1B4F72"/>
          <w:sz w:val="22"/>
        </w:rPr>
        <w:t>1. Temporal evaluation instead of random splits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Gap:</w:t>
      </w:r>
      <w:r>
        <w:rPr>
          <w:rFonts w:ascii="Calibri" w:hAnsi="Calibri"/>
          <w:b w:val="0"/>
          <w:i w:val="0"/>
          <w:sz w:val="20"/>
        </w:rPr>
        <w:t xml:space="preserve"> 0 of 10 base papers uses a chronological split. All use random or k-fold partitioning.  </w:t>
      </w:r>
      <w:r>
        <w:rPr>
          <w:rFonts w:ascii="Calibri" w:hAnsi="Calibri"/>
          <w:b/>
          <w:i w:val="0"/>
          <w:sz w:val="20"/>
        </w:rPr>
        <w:t>Improvement:</w:t>
      </w:r>
      <w:r>
        <w:rPr>
          <w:rFonts w:ascii="Calibri" w:hAnsi="Calibri"/>
          <w:b w:val="0"/>
          <w:i w:val="0"/>
          <w:sz w:val="20"/>
        </w:rPr>
        <w:t xml:space="preserve"> train on URLs first observed ≤ T, test on disjoint windows at +1, +3, +6 and +12 months; report a </w:t>
      </w:r>
      <w:r>
        <w:rPr>
          <w:rFonts w:ascii="Calibri" w:hAnsi="Calibri"/>
          <w:b/>
          <w:i w:val="0"/>
          <w:sz w:val="20"/>
        </w:rPr>
        <w:t>decay curve</w:t>
      </w:r>
      <w:r>
        <w:rPr>
          <w:rFonts w:ascii="Calibri" w:hAnsi="Calibri"/>
          <w:b w:val="0"/>
          <w:i w:val="0"/>
          <w:sz w:val="20"/>
        </w:rPr>
        <w:t>, not a single accuracy. Paper 5 accidentally demonstrates why — 99.35% on its 2025 data but 89.17% on an older corpus.</w:t>
      </w:r>
    </w:p>
    <w:p>
      <w:pPr>
        <w:spacing w:before="160" w:after="120"/>
      </w:pPr>
      <w:r>
        <w:rPr>
          <w:rFonts w:ascii="Calibri" w:hAnsi="Calibri"/>
          <w:b/>
          <w:color w:val="1B4F72"/>
          <w:sz w:val="22"/>
        </w:rPr>
        <w:t>2. True cross-source transfer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Gap:</w:t>
      </w:r>
      <w:r>
        <w:rPr>
          <w:rFonts w:ascii="Calibri" w:hAnsi="Calibri"/>
          <w:b w:val="0"/>
          <w:i w:val="0"/>
          <w:sz w:val="20"/>
        </w:rPr>
        <w:t xml:space="preserve"> only 1 of 10 (X-PHIDE) performs genuine transfer; Paper 5 evaluates on multiple datasets but </w:t>
      </w:r>
      <w:r>
        <w:rPr>
          <w:rFonts w:ascii="Calibri" w:hAnsi="Calibri"/>
          <w:b/>
          <w:i w:val="0"/>
          <w:sz w:val="20"/>
        </w:rPr>
        <w:t>retrains per dataset</w:t>
      </w:r>
      <w:r>
        <w:rPr>
          <w:rFonts w:ascii="Calibri" w:hAnsi="Calibri"/>
          <w:b w:val="0"/>
          <w:i w:val="0"/>
          <w:sz w:val="20"/>
        </w:rPr>
        <w:t xml:space="preserve">, which measures dataset difficulty, not transfer.  </w:t>
      </w:r>
      <w:r>
        <w:rPr>
          <w:rFonts w:ascii="Calibri" w:hAnsi="Calibri"/>
          <w:b/>
          <w:i w:val="0"/>
          <w:sz w:val="20"/>
        </w:rPr>
        <w:t>Improvement:</w:t>
      </w:r>
      <w:r>
        <w:rPr>
          <w:rFonts w:ascii="Calibri" w:hAnsi="Calibri"/>
          <w:b w:val="0"/>
          <w:i w:val="0"/>
          <w:sz w:val="20"/>
        </w:rPr>
        <w:t xml:space="preserve"> train once, evaluate on all source pairs plus leave-one-source-out.</w:t>
      </w:r>
    </w:p>
    <w:p>
      <w:pPr>
        <w:spacing w:before="160" w:after="120"/>
      </w:pPr>
      <w:r>
        <w:rPr>
          <w:rFonts w:ascii="Calibri" w:hAnsi="Calibri"/>
          <w:b/>
          <w:color w:val="1B4F72"/>
          <w:sz w:val="22"/>
        </w:rPr>
        <w:t>3. Prevalence-corrected reporting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Gap:</w:t>
      </w:r>
      <w:r>
        <w:rPr>
          <w:rFonts w:ascii="Calibri" w:hAnsi="Calibri"/>
          <w:b w:val="0"/>
          <w:i w:val="0"/>
          <w:sz w:val="20"/>
        </w:rPr>
        <w:t xml:space="preserve"> 0 of 10 reports precision at a realistic deployment base rate; all train and test near 50/50.  </w:t>
      </w:r>
      <w:r>
        <w:rPr>
          <w:rFonts w:ascii="Calibri" w:hAnsi="Calibri"/>
          <w:b/>
          <w:i w:val="0"/>
          <w:sz w:val="20"/>
        </w:rPr>
        <w:t>Improvement:</w:t>
      </w:r>
      <w:r>
        <w:rPr>
          <w:rFonts w:ascii="Calibri" w:hAnsi="Calibri"/>
          <w:b w:val="0"/>
          <w:i w:val="0"/>
          <w:sz w:val="20"/>
        </w:rPr>
        <w:t xml:space="preserve"> report precision, FPR and alerts per 10⁶ URLs at prevalences of 1:10², 1:10³ and 1:10⁴, alongside balanced figures for comparability.</w:t>
      </w:r>
    </w:p>
    <w:p>
      <w:pPr>
        <w:spacing w:before="160" w:after="120"/>
      </w:pPr>
      <w:r>
        <w:rPr>
          <w:rFonts w:ascii="Calibri" w:hAnsi="Calibri"/>
          <w:b/>
          <w:color w:val="1B4F72"/>
          <w:sz w:val="22"/>
        </w:rPr>
        <w:t>4. Evasion testing against our own detector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Gap:</w:t>
      </w:r>
      <w:r>
        <w:rPr>
          <w:rFonts w:ascii="Calibri" w:hAnsi="Calibri"/>
          <w:b w:val="0"/>
          <w:i w:val="0"/>
          <w:sz w:val="20"/>
        </w:rPr>
        <w:t xml:space="preserve"> Paper 10 catalogues cloaking and evasion thoroughly; </w:t>
      </w:r>
      <w:r>
        <w:rPr>
          <w:rFonts w:ascii="Calibri" w:hAnsi="Calibri"/>
          <w:b/>
          <w:i w:val="0"/>
          <w:sz w:val="20"/>
        </w:rPr>
        <w:t>no method paper evaluates its own detector against that catalogue.</w:t>
      </w:r>
      <w:r>
        <w:rPr>
          <w:rFonts w:ascii="Calibri" w:hAnsi="Calibri"/>
          <w:b w:val="0"/>
          <w:i w:val="0"/>
          <w:sz w:val="20"/>
        </w:rPr>
        <w:t xml:space="preserve"> Paper 4 states outright that homograph attacks were never systematically evaluated.  </w:t>
      </w:r>
      <w:r>
        <w:rPr>
          <w:rFonts w:ascii="Calibri" w:hAnsi="Calibri"/>
          <w:b/>
          <w:i w:val="0"/>
          <w:sz w:val="20"/>
        </w:rPr>
        <w:t>Improvement:</w:t>
      </w:r>
      <w:r>
        <w:rPr>
          <w:rFonts w:ascii="Calibri" w:hAnsi="Calibri"/>
          <w:b w:val="0"/>
          <w:i w:val="0"/>
          <w:sz w:val="20"/>
        </w:rPr>
        <w:t xml:space="preserve"> E1 label-preserving transformations from the cloaking taxonomy (homoglyph/IDN substitution, subdomain and path padding, percent-encoding, shortener wrapping, TLD swap, hyphenated brand insertion) and E2 URLs from a contemporary generative model.</w:t>
      </w:r>
    </w:p>
    <w:p>
      <w:pPr>
        <w:spacing w:before="160" w:after="120"/>
      </w:pPr>
      <w:r>
        <w:rPr>
          <w:rFonts w:ascii="Calibri" w:hAnsi="Calibri"/>
          <w:b/>
          <w:color w:val="1B4F72"/>
          <w:sz w:val="22"/>
        </w:rPr>
        <w:t>5. Feature-provenance and lookup-dependency audit  (most novel)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Gap:</w:t>
      </w:r>
      <w:r>
        <w:rPr>
          <w:rFonts w:ascii="Calibri" w:hAnsi="Calibri"/>
          <w:b w:val="0"/>
          <w:i w:val="0"/>
          <w:sz w:val="20"/>
        </w:rPr>
        <w:t xml:space="preserve"> no base paper — and no adjacent work we could find — asks </w:t>
      </w:r>
      <w:r>
        <w:rPr>
          <w:rFonts w:ascii="Calibri" w:hAnsi="Calibri"/>
          <w:b w:val="0"/>
          <w:i/>
          <w:sz w:val="20"/>
        </w:rPr>
        <w:t>where</w:t>
      </w:r>
      <w:r>
        <w:rPr>
          <w:rFonts w:ascii="Calibri" w:hAnsi="Calibri"/>
          <w:b w:val="0"/>
          <w:i w:val="0"/>
          <w:sz w:val="20"/>
        </w:rPr>
        <w:t xml:space="preserve"> a feature's value comes from or </w:t>
      </w:r>
      <w:r>
        <w:rPr>
          <w:rFonts w:ascii="Calibri" w:hAnsi="Calibri"/>
          <w:b w:val="0"/>
          <w:i/>
          <w:sz w:val="20"/>
        </w:rPr>
        <w:t>when</w:t>
      </w:r>
      <w:r>
        <w:rPr>
          <w:rFonts w:ascii="Calibri" w:hAnsi="Calibri"/>
          <w:b w:val="0"/>
          <w:i w:val="0"/>
          <w:sz w:val="20"/>
        </w:rPr>
        <w:t xml:space="preserve"> it was resolved.  </w:t>
      </w:r>
      <w:r>
        <w:rPr>
          <w:rFonts w:ascii="Calibri" w:hAnsi="Calibri"/>
          <w:b/>
          <w:i w:val="0"/>
          <w:sz w:val="20"/>
        </w:rPr>
        <w:t>Improvement:</w:t>
      </w:r>
      <w:r>
        <w:rPr>
          <w:rFonts w:ascii="Calibri" w:hAnsi="Calibri"/>
          <w:b w:val="0"/>
          <w:i w:val="0"/>
          <w:sz w:val="20"/>
        </w:rPr>
        <w:t xml:space="preserve"> classify every feature as </w:t>
      </w:r>
      <w:r>
        <w:rPr>
          <w:rFonts w:ascii="Calibri" w:hAnsi="Calibri"/>
          <w:b/>
          <w:i w:val="0"/>
          <w:sz w:val="20"/>
        </w:rPr>
        <w:t>P1</w:t>
      </w:r>
      <w:r>
        <w:rPr>
          <w:rFonts w:ascii="Calibri" w:hAnsi="Calibri"/>
          <w:b w:val="0"/>
          <w:i w:val="0"/>
          <w:sz w:val="20"/>
        </w:rPr>
        <w:t xml:space="preserve"> static-lexical, </w:t>
      </w:r>
      <w:r>
        <w:rPr>
          <w:rFonts w:ascii="Calibri" w:hAnsi="Calibri"/>
          <w:b/>
          <w:i w:val="0"/>
          <w:sz w:val="20"/>
        </w:rPr>
        <w:t>P2</w:t>
      </w:r>
      <w:r>
        <w:rPr>
          <w:rFonts w:ascii="Calibri" w:hAnsi="Calibri"/>
          <w:b w:val="0"/>
          <w:i w:val="0"/>
          <w:sz w:val="20"/>
        </w:rPr>
        <w:t xml:space="preserve"> lookup-at-inference (WHOIS, DNS, SSL, domain age, shortener expansion) or </w:t>
      </w:r>
      <w:r>
        <w:rPr>
          <w:rFonts w:ascii="Calibri" w:hAnsi="Calibri"/>
          <w:b/>
          <w:i w:val="0"/>
          <w:sz w:val="20"/>
        </w:rPr>
        <w:t>P3</w:t>
      </w:r>
      <w:r>
        <w:rPr>
          <w:rFonts w:ascii="Calibri" w:hAnsi="Calibri"/>
          <w:b w:val="0"/>
          <w:i w:val="0"/>
          <w:sz w:val="20"/>
        </w:rPr>
        <w:t xml:space="preserve"> third-party reputation; then measure accuracy with P2/P3 ablated, accuracy when P2 features are resolved </w:t>
      </w:r>
      <w:r>
        <w:rPr>
          <w:rFonts w:ascii="Calibri" w:hAnsi="Calibri"/>
          <w:b w:val="0"/>
          <w:i/>
          <w:sz w:val="20"/>
        </w:rPr>
        <w:t>today</w:t>
      </w:r>
      <w:r>
        <w:rPr>
          <w:rFonts w:ascii="Calibri" w:hAnsi="Calibri"/>
          <w:b w:val="0"/>
          <w:i w:val="0"/>
          <w:sz w:val="20"/>
        </w:rPr>
        <w:t xml:space="preserve"> versus at collection time, and recall when the lookup channel is unavailable or attacker-controlled. The hazard is concrete: Paper 6 reports WHOIS, DNS and domain-age features over a 549,346-URL corpus containing </w:t>
      </w:r>
      <w:r>
        <w:rPr>
          <w:rFonts w:ascii="Calibri" w:hAnsi="Calibri"/>
          <w:b/>
          <w:i w:val="0"/>
          <w:sz w:val="20"/>
        </w:rPr>
        <w:t>only URL strings</w:t>
      </w:r>
      <w:r>
        <w:rPr>
          <w:rFonts w:ascii="Calibri" w:hAnsi="Calibri"/>
          <w:b w:val="0"/>
          <w:i w:val="0"/>
          <w:sz w:val="20"/>
        </w:rPr>
        <w:t xml:space="preserve">. If those lookups were performed retrospectively they encode </w:t>
      </w:r>
      <w:r>
        <w:rPr>
          <w:rFonts w:ascii="Calibri" w:hAnsi="Calibri"/>
          <w:b w:val="0"/>
          <w:i/>
          <w:sz w:val="20"/>
        </w:rPr>
        <w:t>domain mortality</w:t>
      </w:r>
      <w:r>
        <w:rPr>
          <w:rFonts w:ascii="Calibri" w:hAnsi="Calibri"/>
          <w:b w:val="0"/>
          <w:i w:val="0"/>
          <w:sz w:val="20"/>
        </w:rPr>
        <w:t xml:space="preserve"> — phishing domains die within days, legitimate ones persist for years — which any classifier can exploit without learning anything about phishing. Paper 4, which deliberately avoids third-party features, is the control.</w:t>
      </w:r>
    </w:p>
    <w:p>
      <w:pPr>
        <w:spacing w:before="160" w:after="120"/>
      </w:pPr>
      <w:r>
        <w:rPr>
          <w:rFonts w:ascii="Calibri" w:hAnsi="Calibri"/>
          <w:b/>
          <w:color w:val="1B4F72"/>
          <w:sz w:val="22"/>
        </w:rPr>
        <w:t>6. Drift-stability feature scoring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Gap:</w:t>
      </w:r>
      <w:r>
        <w:rPr>
          <w:rFonts w:ascii="Calibri" w:hAnsi="Calibri"/>
          <w:b w:val="0"/>
          <w:i w:val="0"/>
          <w:sz w:val="20"/>
        </w:rPr>
        <w:t xml:space="preserve"> drift is </w:t>
      </w:r>
      <w:r>
        <w:rPr>
          <w:rFonts w:ascii="Calibri" w:hAnsi="Calibri"/>
          <w:b w:val="0"/>
          <w:i/>
          <w:sz w:val="20"/>
        </w:rPr>
        <w:t>mentioned</w:t>
      </w:r>
      <w:r>
        <w:rPr>
          <w:rFonts w:ascii="Calibri" w:hAnsi="Calibri"/>
          <w:b w:val="0"/>
          <w:i w:val="0"/>
          <w:sz w:val="20"/>
        </w:rPr>
        <w:t xml:space="preserve"> by 4 of 10 papers and </w:t>
      </w:r>
      <w:r>
        <w:rPr>
          <w:rFonts w:ascii="Calibri" w:hAnsi="Calibri"/>
          <w:b w:val="0"/>
          <w:i/>
          <w:sz w:val="20"/>
        </w:rPr>
        <w:t>implemented</w:t>
      </w:r>
      <w:r>
        <w:rPr>
          <w:rFonts w:ascii="Calibri" w:hAnsi="Calibri"/>
          <w:b w:val="0"/>
          <w:i w:val="0"/>
          <w:sz w:val="20"/>
        </w:rPr>
        <w:t xml:space="preserve"> by none.  </w:t>
      </w:r>
      <w:r>
        <w:rPr>
          <w:rFonts w:ascii="Calibri" w:hAnsi="Calibri"/>
          <w:b/>
          <w:i w:val="0"/>
          <w:sz w:val="20"/>
        </w:rPr>
        <w:t>Improvement:</w:t>
      </w:r>
      <w:r>
        <w:rPr>
          <w:rFonts w:ascii="Calibri" w:hAnsi="Calibri"/>
          <w:b w:val="0"/>
          <w:i w:val="0"/>
          <w:sz w:val="20"/>
        </w:rPr>
        <w:t xml:space="preserve"> score each feature by Population Stability Index across time windows and sources plus the variance of its permutation importance; partition into drift-stable and drift-brittle </w:t>
      </w:r>
      <w:r>
        <w:rPr>
          <w:rFonts w:ascii="Calibri" w:hAnsi="Calibri"/>
          <w:b w:val="0"/>
          <w:i/>
          <w:sz w:val="20"/>
        </w:rPr>
        <w:t>before</w:t>
      </w:r>
      <w:r>
        <w:rPr>
          <w:rFonts w:ascii="Calibri" w:hAnsi="Calibri"/>
          <w:b w:val="0"/>
          <w:i w:val="0"/>
          <w:sz w:val="20"/>
        </w:rPr>
        <w:t xml:space="preserve"> deployment. Validation target: the HTTPS inversion X-PHIDE found (100% of legitimate URLs in PhiUSIIL, 59.2% in their own corpus) should be flagged without access to the second corpus's labels.</w:t>
      </w:r>
    </w:p>
    <w:p>
      <w:pPr>
        <w:spacing w:before="160" w:after="120"/>
      </w:pPr>
      <w:r>
        <w:rPr>
          <w:rFonts w:ascii="Calibri" w:hAnsi="Calibri"/>
          <w:b/>
          <w:color w:val="1B4F72"/>
          <w:sz w:val="22"/>
        </w:rPr>
        <w:t>7. DASH — a mitigation, not just a diagnosis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Gap:</w:t>
      </w:r>
      <w:r>
        <w:rPr>
          <w:rFonts w:ascii="Calibri" w:hAnsi="Calibri"/>
          <w:b w:val="0"/>
          <w:i w:val="0"/>
          <w:sz w:val="20"/>
        </w:rPr>
        <w:t xml:space="preserve"> 0 of 10 proposes any drift mitigation.  </w:t>
      </w:r>
      <w:r>
        <w:rPr>
          <w:rFonts w:ascii="Calibri" w:hAnsi="Calibri"/>
          <w:b/>
          <w:i w:val="0"/>
          <w:sz w:val="20"/>
        </w:rPr>
        <w:t>Improvement:</w:t>
      </w:r>
      <w:r>
        <w:rPr>
          <w:rFonts w:ascii="Calibri" w:hAnsi="Calibri"/>
          <w:b w:val="0"/>
          <w:i w:val="0"/>
          <w:sz w:val="20"/>
        </w:rPr>
        <w:t xml:space="preserve"> (i) stability-weighted training; (ii) </w:t>
      </w:r>
      <w:r>
        <w:rPr>
          <w:rFonts w:ascii="Calibri" w:hAnsi="Calibri"/>
          <w:b/>
          <w:i w:val="0"/>
          <w:sz w:val="20"/>
        </w:rPr>
        <w:t>unsupervised</w:t>
      </w:r>
      <w:r>
        <w:rPr>
          <w:rFonts w:ascii="Calibri" w:hAnsi="Calibri"/>
          <w:b w:val="0"/>
          <w:i w:val="0"/>
          <w:sz w:val="20"/>
        </w:rPr>
        <w:t xml:space="preserve"> drift detection over the prediction-confidence stream, requiring no labels — the binding constraint in deployment; (iii) a bounded active-labelling budget (≈2% of the window by uncertainty sampling) on drift alarm; (iv) a calibrated abstention band that escalates instead of guessing, reported as a coverage–risk curve.</w:t>
      </w:r>
    </w:p>
    <w:p>
      <w:pPr>
        <w:spacing w:before="160" w:after="120"/>
      </w:pPr>
      <w:r>
        <w:rPr>
          <w:rFonts w:ascii="Calibri" w:hAnsi="Calibri"/>
          <w:b/>
          <w:color w:val="1B4F72"/>
          <w:sz w:val="22"/>
        </w:rPr>
        <w:t>8. Duplicate-leakage probe (supporting)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Report exact and near-duplicate rates across the train/test boundary for every corpus, and accuracy before and after deduplication. With k-fold CV over scraped corpora, campaign duplicates are near-certain.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B4F72"/>
          <w:sz w:val="30"/>
        </w:rPr>
        <w:t>3. 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68000" cy="80678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68000" cy="8067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The pipeline is strictly URL-only. Layer 1 assembles dated corpora; Layer 2 generates the four evaluation axes; Layer 3 classifies features by provenance and scores their drift stability; Layer 4 hosts five baselines re-implemented from the base papers; Layer 5 is the proposed DASH mitigation; Layer 6 produces deployment-honest reporting. The dashed return path carries a drift alarm back into DASH for a warm restart.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B4F72"/>
          <w:sz w:val="30"/>
        </w:rPr>
        <w:t>4.  Literature review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Ten base papers, all published 2023 or later: eight method or empirical studies plus two reviews.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c>
          <w:tcPr>
            <w:tcW w:type="dxa" w:w="397"/>
            <w:shd w:val="clear" w:fill="1B4F7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154"/>
            <w:shd w:val="clear" w:fill="1B4F7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Title</w:t>
            </w:r>
          </w:p>
        </w:tc>
        <w:tc>
          <w:tcPr>
            <w:tcW w:type="dxa" w:w="1644"/>
            <w:shd w:val="clear" w:fill="1B4F7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Authors</w:t>
            </w:r>
          </w:p>
        </w:tc>
        <w:tc>
          <w:tcPr>
            <w:tcW w:type="dxa" w:w="1361"/>
            <w:shd w:val="clear" w:fill="1B4F7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Publication &amp; Year</w:t>
            </w:r>
          </w:p>
        </w:tc>
        <w:tc>
          <w:tcPr>
            <w:tcW w:type="dxa" w:w="2381"/>
            <w:shd w:val="clear" w:fill="1B4F7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Key Findings</w:t>
            </w:r>
          </w:p>
        </w:tc>
        <w:tc>
          <w:tcPr>
            <w:tcW w:type="dxa" w:w="2041"/>
            <w:shd w:val="clear" w:fill="1B4F7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Research Gap</w:t>
            </w:r>
          </w:p>
        </w:tc>
        <w:tc>
          <w:tcPr>
            <w:tcW w:type="dxa" w:w="2381"/>
            <w:shd w:val="clear" w:fill="1B4F7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Methodology</w:t>
            </w:r>
          </w:p>
        </w:tc>
        <w:tc>
          <w:tcPr>
            <w:tcW w:type="dxa" w:w="2211"/>
            <w:shd w:val="clear" w:fill="1B4F7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7"/>
              </w:rPr>
              <w:t>Future Work</w:t>
            </w:r>
          </w:p>
        </w:tc>
      </w:tr>
      <w:tr>
        <w:tc>
          <w:tcPr>
            <w:tcW w:type="dxa" w:w="39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An Effective Detection Approach for Phishing URL Using ResMLP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S. Remya; M. J. Pillai; K. K. Nair; S. R. Subbareddy; Y. Y. Cho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IEEE Access, vol. 12, 2024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98.29% accuracy; residual pipelining outperforms traditional ML baselines on the same features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Blacklists cannot identify dynamic and newly registered URLs; optimal detection accuracy remains an open pursuit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Lexical + sentiment + domain-age features → convolutional and inverted-residual blocks → MLP; Kaggle dataset, 80:20 random split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Address limitations affecting practical viability; explore self-organising networks and online-learning representations</w:t>
            </w:r>
          </w:p>
        </w:tc>
      </w:tr>
      <w:tr>
        <w:tc>
          <w:tcPr>
            <w:tcW w:type="dxa" w:w="397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2</w:t>
            </w:r>
          </w:p>
        </w:tc>
        <w:tc>
          <w:tcPr>
            <w:tcW w:type="dxa" w:w="2154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On Phishing URL Detection Using Feature Extension</w:t>
            </w:r>
          </w:p>
        </w:tc>
        <w:tc>
          <w:tcPr>
            <w:tcW w:type="dxa" w:w="1644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D. He; Z. Liu; X. Lv; S. Chan; M. Guizani</w:t>
            </w:r>
          </w:p>
        </w:tc>
        <w:tc>
          <w:tcPr>
            <w:tcW w:type="dxa" w:w="136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IEEE Internet of Things Journal, vol. 11, no. 24, 2024</w:t>
            </w:r>
          </w:p>
        </w:tc>
        <w:tc>
          <w:tcPr>
            <w:tcW w:type="dxa" w:w="238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Feature extension enriches information-poor URLs; two-layer BERT→CNN improves detection, including on cryptocurrency phishing</w:t>
            </w:r>
          </w:p>
        </w:tc>
        <w:tc>
          <w:tcPr>
            <w:tcW w:type="dxa" w:w="204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URLs are short and carry little signal; blacklist/whitelist methods have inherent limitations</w:t>
            </w:r>
          </w:p>
        </w:tc>
        <w:tc>
          <w:tcPr>
            <w:tcW w:type="dxa" w:w="238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TextRank keyword extraction builds a feature-extension library; BERT embeddings feed a CNN classifier; single real-phishing dataset</w:t>
            </w:r>
          </w:p>
        </w:tc>
        <w:tc>
          <w:tcPr>
            <w:tcW w:type="dxa" w:w="221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Extend to broader transaction-security threats in the blockchain and cryptocurrency ecosystem</w:t>
            </w:r>
          </w:p>
        </w:tc>
      </w:tr>
      <w:tr>
        <w:tc>
          <w:tcPr>
            <w:tcW w:type="dxa" w:w="39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3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Evaluating the Impact of Feature Engineering in Phishing URL Detection: A Comparative Study of URL, HTML, and Derived Features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Y. A. Kustiawan; K. I. Ghauth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IEEE Access, vol. 13, 2025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99.45% (CatBoost); derived features contribute most; systematic comparison across three feature families and ten models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Prior work studies URL or HTML features in isolation; no comparative study of engineered feature sets across models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101,063-URL corpus; URL / HTML / derived feature groups × 10 ML models; single dataset, random split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Cascading architecture — cheap URL analysis first, heavier content and relationship analysis only for borderline cases; craft further derived features</w:t>
            </w:r>
          </w:p>
        </w:tc>
      </w:tr>
      <w:tr>
        <w:tc>
          <w:tcPr>
            <w:tcW w:type="dxa" w:w="397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4</w:t>
            </w:r>
          </w:p>
        </w:tc>
        <w:tc>
          <w:tcPr>
            <w:tcW w:type="dxa" w:w="2154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PhishOFE: A Novel Machine Learning Framework for Real-Time Phishing URL Detection With Optimized Feature Engineering</w:t>
            </w:r>
          </w:p>
        </w:tc>
        <w:tc>
          <w:tcPr>
            <w:tcW w:type="dxa" w:w="1644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Y. A. Kustiawan; K. I. Ghauth</w:t>
            </w:r>
          </w:p>
        </w:tc>
        <w:tc>
          <w:tcPr>
            <w:tcW w:type="dxa" w:w="136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IEEE Access, vol. 13, 2025</w:t>
            </w:r>
          </w:p>
        </w:tc>
        <w:tc>
          <w:tcPr>
            <w:tcW w:type="dxa" w:w="238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99.48% (CatBoost) with no third-party features, enabling real-time deployment</w:t>
            </w:r>
          </w:p>
        </w:tc>
        <w:tc>
          <w:tcPr>
            <w:tcW w:type="dxa" w:w="204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Prior studies depend on outdated datasets and on third-party services that break in deployment</w:t>
            </w:r>
          </w:p>
        </w:tc>
        <w:tc>
          <w:tcPr>
            <w:tcW w:type="dxa" w:w="238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Optimised feature-engineering pipeline avoiding third-party lookups; CatBoost plus comparison models; single dataset, random split</w:t>
            </w:r>
          </w:p>
        </w:tc>
        <w:tc>
          <w:tcPr>
            <w:tcW w:type="dxa" w:w="221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Homograph-attack detection via character normalisation, visual-similarity metrics and Unicode-aware features — explicitly not evaluated in the paper</w:t>
            </w:r>
          </w:p>
        </w:tc>
      </w:tr>
      <w:tr>
        <w:tc>
          <w:tcPr>
            <w:tcW w:type="dxa" w:w="39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5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Enhanced Phishing Detection Approach Using a Layered Model: Domain Squatting and URL Obfuscation Identification and Lexical Feature-Based Classification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R. Goenka; M. Chawla; N. Tiwari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IEEE Access, vol. 13, 2025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99.35% (XGBoost) at 12.49 ms; but only 89.17% on an older dataset, which the authors attribute to 2025 target brands differing from 2018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Prevailing approaches overlook domain-squatting and URL obfuscation (brand-jacking), which cause most successful phishing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Layer 1: bad-domain features detect brand names in unwanted positions or misspelled forms; Layer 2: lexical-feature ML classifier; own corpus + 6 datasets, retrained per dataset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Extend the brand-jacking feature set beyond conventional lexical features</w:t>
            </w:r>
          </w:p>
        </w:tc>
      </w:tr>
      <w:tr>
        <w:tc>
          <w:tcPr>
            <w:tcW w:type="dxa" w:w="397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6</w:t>
            </w:r>
          </w:p>
        </w:tc>
        <w:tc>
          <w:tcPr>
            <w:tcW w:type="dxa" w:w="2154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BGL-PhishNet: Phishing Website Detection Using Hybrid Model — BERT, GNN, and LightGBM</w:t>
            </w:r>
          </w:p>
        </w:tc>
        <w:tc>
          <w:tcPr>
            <w:tcW w:type="dxa" w:w="1644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S. Remya; M. J. Pillai; B. S. Aparna; S. R. Subbareddy; Y. Y. Cho</w:t>
            </w:r>
          </w:p>
        </w:tc>
        <w:tc>
          <w:tcPr>
            <w:tcW w:type="dxa" w:w="136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IEEE Access, vol. 13, 2025</w:t>
            </w:r>
          </w:p>
        </w:tc>
        <w:tc>
          <w:tcPr>
            <w:tcW w:type="dxa" w:w="238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Hybrid 97.3% accuracy / 97.8% precision / F1 97.3 / ROC-AUC 0.97; individually BERT 90.4%, GNN 88.3%, LightGBM 85.8%</w:t>
            </w:r>
          </w:p>
        </w:tc>
        <w:tc>
          <w:tcPr>
            <w:tcW w:type="dxa" w:w="204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Single models lack flexibility, turnaround time and scalability on large, evolving datasets</w:t>
            </w:r>
          </w:p>
        </w:tc>
        <w:tc>
          <w:tcPr>
            <w:tcW w:type="dxa" w:w="238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BERT (semantic) + GNN (structural) + LightGBM (metadata) with ensemble late fusion; Kaggle corpus of 549,346 URLs; 10-fold cross-validation</w:t>
            </w:r>
          </w:p>
        </w:tc>
        <w:tc>
          <w:tcPr>
            <w:tcW w:type="dxa" w:w="221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Improve GNN memory efficiency; adapt the model to the evolving phishing landscape</w:t>
            </w:r>
          </w:p>
        </w:tc>
      </w:tr>
      <w:tr>
        <w:tc>
          <w:tcPr>
            <w:tcW w:type="dxa" w:w="39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7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Staying Ahead of Phishers: A Review of Recent Advances and Emerging Methodologies in Phishing Detection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S. Kavya; D. Sumathi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Artificial Intelligence Review, vol. 58, no. 50, 2025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Consolidated taxonomy spanning list-based, ML, DL, graph-based and GAN-based detection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No consolidated view of recent deep-learning, graph and generative approaches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Systematic literature review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Dataset diversity, adversarial robustness, interpretability and real-time deployability named as unfilled gaps</w:t>
            </w:r>
          </w:p>
        </w:tc>
      </w:tr>
      <w:tr>
        <w:tc>
          <w:tcPr>
            <w:tcW w:type="dxa" w:w="397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8</w:t>
            </w:r>
          </w:p>
        </w:tc>
        <w:tc>
          <w:tcPr>
            <w:tcW w:type="dxa" w:w="2154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A Multimodal Phishing Website Detection System Using Explainable Artificial Intelligence Technologies</w:t>
            </w:r>
          </w:p>
        </w:tc>
        <w:tc>
          <w:tcPr>
            <w:tcW w:type="dxa" w:w="1644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A. Vulfin; A. Sulavko; V. Vasiliev; A. Minko; A. Kirillova; A. Samotuga</w:t>
            </w:r>
          </w:p>
        </w:tc>
        <w:tc>
          <w:tcPr>
            <w:tcW w:type="dxa" w:w="136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Machine Learning and Knowledge Extraction (MAKE), 2026</w:t>
            </w:r>
          </w:p>
        </w:tc>
        <w:tc>
          <w:tcPr>
            <w:tcW w:type="dxa" w:w="238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F1 0.989 on own data, 0.953 on MTLP; quantifies an 8–15% temporal decay and a 3–9% adversarial drop; SOC deployment scenario on zero-day URLs</w:t>
            </w:r>
          </w:p>
        </w:tc>
        <w:tc>
          <w:tcPr>
            <w:tcW w:type="dxa" w:w="204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Single-modality detectors are brittle and offer no explanation to a human analyst</w:t>
            </w:r>
          </w:p>
        </w:tc>
        <w:tc>
          <w:tcPr>
            <w:tcW w:type="dxa" w:w="238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Late fusion of CatBoost (URL), 1D-CNN (characters), CodeBERT (HTML) and EfficientNet-B7 (screenshot); SHAP and Grad-CAM plus local LLM explanation</w:t>
            </w:r>
          </w:p>
        </w:tc>
        <w:tc>
          <w:tcPr>
            <w:tcW w:type="dxa" w:w="221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Improve explanation quality; broaden zero-day evaluation</w:t>
            </w:r>
          </w:p>
        </w:tc>
      </w:tr>
      <w:tr>
        <w:tc>
          <w:tcPr>
            <w:tcW w:type="dxa" w:w="39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9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XGBoost-Based URL Phishing Detection Method With Cross-Dataset Validation (X-PHIDE)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M. Misiek; T. Hyla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IEEE Access, vol. 14, 2026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97.80% single-dataset → 77.84% cross-dataset average (Custom 90.72, GramBeddings 70.65, PhiUSIIL 72.16); HTTPS inverts meaning across corpora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Dataset shift is “a factor often overlooked in existing literature”; single-dataset results do not transfer</w:t>
            </w:r>
          </w:p>
        </w:tc>
        <w:tc>
          <w:tcPr>
            <w:tcW w:type="dxa" w:w="238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XGBoost over a cross-dataset feature intersection; three distinct datasets; Chrome plug-in for real-time use</w:t>
            </w:r>
          </w:p>
        </w:tc>
        <w:tc>
          <w:tcPr>
            <w:tcW w:type="dxa" w:w="2211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Operational challenges of distribution shift; model compression and lightweight deployment</w:t>
            </w:r>
          </w:p>
        </w:tc>
      </w:tr>
      <w:tr>
        <w:tc>
          <w:tcPr>
            <w:tcW w:type="dxa" w:w="397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10</w:t>
            </w:r>
          </w:p>
        </w:tc>
        <w:tc>
          <w:tcPr>
            <w:tcW w:type="dxa" w:w="2154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Uncovering the Cloak: A Systematic Review of Techniques Used to Conceal Phishing Websites</w:t>
            </w:r>
          </w:p>
        </w:tc>
        <w:tc>
          <w:tcPr>
            <w:tcW w:type="dxa" w:w="1644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W. Li; S. Manickam; S. U. A. Laghari; Y.-W. Chong</w:t>
            </w:r>
          </w:p>
        </w:tc>
        <w:tc>
          <w:tcPr>
            <w:tcW w:type="dxa" w:w="136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IEEE Access, vol. 11, 2023</w:t>
            </w:r>
          </w:p>
        </w:tc>
        <w:tc>
          <w:tcPr>
            <w:tcW w:type="dxa" w:w="238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Taxonomy of server-side and client-side cloaking, 2012–2022; a small number of sophisticated campaigns account for over 89% of attacks</w:t>
            </w:r>
          </w:p>
        </w:tc>
        <w:tc>
          <w:tcPr>
            <w:tcW w:type="dxa" w:w="204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Cloaking and evasion techniques are scattered across the literature with no unified taxonomy</w:t>
            </w:r>
          </w:p>
        </w:tc>
        <w:tc>
          <w:tcPr>
            <w:tcW w:type="dxa" w:w="238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Systematic literature review (SLR)</w:t>
            </w:r>
          </w:p>
        </w:tc>
        <w:tc>
          <w:tcPr>
            <w:tcW w:type="dxa" w:w="2211"/>
            <w:shd w:val="clear" w:fill="F4F6F7"/>
          </w:tcPr>
          <w:p>
            <w:pPr>
              <w:spacing w:after="40"/>
            </w:pPr>
            <w:r>
              <w:rPr>
                <w:rFonts w:ascii="Calibri" w:hAnsi="Calibri"/>
                <w:sz w:val="15"/>
              </w:rPr>
              <w:t>Strategies targeting sophisticated campaigns; the role of certificate authorities; collaborative data sharing and faster takedown response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color w:val="1B4F72"/>
          <w:sz w:val="22"/>
        </w:rPr>
        <w:t>What the table shows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6236"/>
            <w:shd w:val="clear" w:fill="1B4F72"/>
          </w:tcPr>
          <w:p>
            <w:r>
              <w:rPr>
                <w:b/>
                <w:color w:val="FFFFFF"/>
                <w:sz w:val="18"/>
              </w:rPr>
              <w:t>Evaluation property</w:t>
            </w:r>
          </w:p>
        </w:tc>
        <w:tc>
          <w:tcPr>
            <w:tcW w:type="dxa" w:w="2835"/>
            <w:shd w:val="clear" w:fill="1B4F72"/>
          </w:tcPr>
          <w:p>
            <w:r>
              <w:rPr>
                <w:b/>
                <w:color w:val="FFFFFF"/>
                <w:sz w:val="18"/>
              </w:rPr>
              <w:t>Base papers satisfying it</w:t>
            </w:r>
          </w:p>
        </w:tc>
      </w:tr>
      <w:tr>
        <w:tc>
          <w:tcPr>
            <w:tcW w:type="dxa" w:w="6236"/>
          </w:tcPr>
          <w:p>
            <w:r>
              <w:rPr>
                <w:sz w:val="18"/>
              </w:rPr>
              <w:t>Temporal / chronological split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0 / 10</w:t>
            </w:r>
          </w:p>
        </w:tc>
      </w:tr>
      <w:tr>
        <w:tc>
          <w:tcPr>
            <w:tcW w:type="dxa" w:w="6236"/>
          </w:tcPr>
          <w:p>
            <w:r>
              <w:rPr>
                <w:sz w:val="18"/>
              </w:rPr>
              <w:t>Prevalence-corrected metrics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0 / 10</w:t>
            </w:r>
          </w:p>
        </w:tc>
      </w:tr>
      <w:tr>
        <w:tc>
          <w:tcPr>
            <w:tcW w:type="dxa" w:w="6236"/>
          </w:tcPr>
          <w:p>
            <w:r>
              <w:rPr>
                <w:sz w:val="18"/>
              </w:rPr>
              <w:t>Genuine cross-source transfer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1 / 10  (X-PHIDE)</w:t>
            </w:r>
          </w:p>
        </w:tc>
      </w:tr>
      <w:tr>
        <w:tc>
          <w:tcPr>
            <w:tcW w:type="dxa" w:w="6236"/>
          </w:tcPr>
          <w:p>
            <w:r>
              <w:rPr>
                <w:sz w:val="18"/>
              </w:rPr>
              <w:t>Evasion tested against own detector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0 / 10</w:t>
            </w:r>
          </w:p>
        </w:tc>
      </w:tr>
      <w:tr>
        <w:tc>
          <w:tcPr>
            <w:tcW w:type="dxa" w:w="6236"/>
          </w:tcPr>
          <w:p>
            <w:r>
              <w:rPr>
                <w:sz w:val="18"/>
              </w:rPr>
              <w:t>Drift detection or mitigation implemented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0 / 10</w:t>
            </w:r>
          </w:p>
        </w:tc>
      </w:tr>
      <w:tr>
        <w:tc>
          <w:tcPr>
            <w:tcW w:type="dxa" w:w="6236"/>
          </w:tcPr>
          <w:p>
            <w:r>
              <w:rPr>
                <w:sz w:val="18"/>
              </w:rPr>
              <w:t>Feature-provenance audit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0 / 10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0"/>
        </w:rPr>
        <w:t xml:space="preserve">Drift is </w:t>
      </w:r>
      <w:r>
        <w:rPr>
          <w:rFonts w:ascii="Calibri" w:hAnsi="Calibri"/>
          <w:b w:val="0"/>
          <w:i/>
          <w:sz w:val="20"/>
        </w:rPr>
        <w:t>mentioned</w:t>
      </w:r>
      <w:r>
        <w:rPr>
          <w:rFonts w:ascii="Calibri" w:hAnsi="Calibri"/>
          <w:b w:val="0"/>
          <w:i w:val="0"/>
          <w:sz w:val="20"/>
        </w:rPr>
        <w:t xml:space="preserve"> by four papers and </w:t>
      </w:r>
      <w:r>
        <w:rPr>
          <w:rFonts w:ascii="Calibri" w:hAnsi="Calibri"/>
          <w:b w:val="0"/>
          <w:i/>
          <w:sz w:val="20"/>
        </w:rPr>
        <w:t>implemented</w:t>
      </w:r>
      <w:r>
        <w:rPr>
          <w:rFonts w:ascii="Calibri" w:hAnsi="Calibri"/>
          <w:b w:val="0"/>
          <w:i w:val="0"/>
          <w:sz w:val="20"/>
        </w:rPr>
        <w:t xml:space="preserve"> by none.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B4F72"/>
          <w:sz w:val="30"/>
        </w:rPr>
        <w:t>5.  Scope, feasibility and honesty constraints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URL-only.</w:t>
      </w:r>
      <w:r>
        <w:rPr>
          <w:rFonts w:ascii="Calibri" w:hAnsi="Calibri"/>
          <w:b w:val="0"/>
          <w:i w:val="0"/>
          <w:sz w:val="20"/>
        </w:rPr>
        <w:t xml:space="preserve"> No crawling, rendering, hosting or third-party API calls. This sidesteps the dependency Papers 4 and 9 complain about, and makes the evasion axis safe: strings are perturbed or generated inside an offline dataset, never deployed.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Compute.</w:t>
      </w:r>
      <w:r>
        <w:rPr>
          <w:rFonts w:ascii="Calibri" w:hAnsi="Calibri"/>
          <w:b w:val="0"/>
          <w:i w:val="0"/>
          <w:sz w:val="20"/>
        </w:rPr>
        <w:t xml:space="preserve"> Gradient boosting, a small char-CNN and one BERT fine-tune. A laptop suffices for most of it; requiring no GPU is itself a selling point for a real-time detector.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Riskiest ingredient: timestamps.</w:t>
      </w:r>
      <w:r>
        <w:rPr>
          <w:rFonts w:ascii="Calibri" w:hAnsi="Calibri"/>
          <w:b w:val="0"/>
          <w:i w:val="0"/>
          <w:sz w:val="20"/>
        </w:rPr>
        <w:t xml:space="preserve"> Axis T needs first-observation dates. Where a source lacks them, dated dataset </w:t>
      </w:r>
      <w:r>
        <w:rPr>
          <w:rFonts w:ascii="Calibri" w:hAnsi="Calibri"/>
          <w:b w:val="0"/>
          <w:i/>
          <w:sz w:val="20"/>
        </w:rPr>
        <w:t>releases</w:t>
      </w:r>
      <w:r>
        <w:rPr>
          <w:rFonts w:ascii="Calibri" w:hAnsi="Calibri"/>
          <w:b w:val="0"/>
          <w:i w:val="0"/>
          <w:sz w:val="20"/>
        </w:rPr>
        <w:t xml:space="preserve"> serve as a coarse time axis (2023 → 2024 → 2025 → 2026).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DEDEC"/>
          </w:tcPr>
          <w:p>
            <w:r>
              <w:rPr>
                <w:b/>
                <w:color w:val="922B21"/>
                <w:sz w:val="20"/>
              </w:rPr>
              <w:t xml:space="preserve">Non-negotiable. </w:t>
            </w:r>
            <w:r>
              <w:rPr>
                <w:rFonts w:ascii="Calibri" w:hAnsi="Calibri"/>
                <w:b w:val="0"/>
                <w:i w:val="0"/>
                <w:sz w:val="20"/>
              </w:rPr>
              <w:t>Every number in every results table must come from an experiment actually run. The paper draft carries explicit red resultTODO{} placeholders wherever a measured value belongs. Fabricating results in work submitted for publication is research misconduct.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0"/>
        </w:rPr>
        <w:t>Novelty must be scoped honestly.</w:t>
      </w:r>
      <w:r>
        <w:rPr>
          <w:rFonts w:ascii="Calibri" w:hAnsi="Calibri"/>
          <w:b w:val="0"/>
          <w:i w:val="0"/>
          <w:sz w:val="20"/>
        </w:rPr>
        <w:t xml:space="preserve"> Two concurrent works overlap parts of this proposal and must be cited: </w:t>
      </w:r>
      <w:r>
        <w:rPr>
          <w:rFonts w:ascii="Calibri" w:hAnsi="Calibri"/>
          <w:b/>
          <w:i w:val="0"/>
          <w:sz w:val="20"/>
        </w:rPr>
        <w:t>PhreshPhish</w:t>
      </w:r>
      <w:r>
        <w:rPr>
          <w:rFonts w:ascii="Calibri" w:hAnsi="Calibri"/>
          <w:b w:val="0"/>
          <w:i w:val="0"/>
          <w:sz w:val="20"/>
        </w:rPr>
        <w:t xml:space="preserve"> (arXiv 2507.10854, 2025 — temporal splits, LSH leakage removal and base-rate benchmarks, but a preprint, website-based, and silent on feature provenance) and </w:t>
      </w:r>
      <w:r>
        <w:rPr>
          <w:rFonts w:ascii="Calibri" w:hAnsi="Calibri"/>
          <w:b/>
          <w:i w:val="0"/>
          <w:sz w:val="20"/>
        </w:rPr>
        <w:t>Wei et al.</w:t>
      </w:r>
      <w:r>
        <w:rPr>
          <w:rFonts w:ascii="Calibri" w:hAnsi="Calibri"/>
          <w:b w:val="0"/>
          <w:i w:val="0"/>
          <w:sz w:val="20"/>
        </w:rPr>
        <w:t xml:space="preserve"> (IEEE Access 2025 — cross-dataset evaluation; found URL length alone yields 86.13% and 82.54% on two corpora). Claims in this project are stated as findings about </w:t>
      </w:r>
      <w:r>
        <w:rPr>
          <w:rFonts w:ascii="Calibri" w:hAnsi="Calibri"/>
          <w:b w:val="0"/>
          <w:i/>
          <w:sz w:val="20"/>
        </w:rPr>
        <w:t>this corpus of ten papers</w:t>
      </w:r>
      <w:r>
        <w:rPr>
          <w:rFonts w:ascii="Calibri" w:hAnsi="Calibri"/>
          <w:b w:val="0"/>
          <w:i w:val="0"/>
          <w:sz w:val="20"/>
        </w:rPr>
        <w:t>, not about the field as a whole.</w:t>
      </w:r>
    </w:p>
    <w:p>
      <w:pPr>
        <w:spacing w:after="120"/>
      </w:pPr>
      <w:r>
        <w:rPr>
          <w:rFonts w:ascii="Calibri" w:hAnsi="Calibri"/>
          <w:b/>
          <w:i w:val="0"/>
          <w:sz w:val="20"/>
        </w:rPr>
        <w:t>Target venue: IEEE Access.</w:t>
      </w:r>
      <w:r>
        <w:rPr>
          <w:rFonts w:ascii="Calibri" w:hAnsi="Calibri"/>
          <w:b w:val="0"/>
          <w:i w:val="0"/>
          <w:sz w:val="20"/>
        </w:rPr>
        <w:t xml:space="preserve"> Seven of the ten base papers appear there, it publishes benchmark-plus-mitigation work of exactly this shape, and it is Scopus/SCIE indexed with a 4–8 week first decision. Fallbacks: IEEE ICC / GLOBECOM / TrustCom for a shorter conference version; Computers &amp; Security for a slower, no-APC route.</w:t>
      </w:r>
    </w:p>
    <w:sectPr w:rsidR="00FC693F" w:rsidRPr="0006063C" w:rsidSect="00034616">
      <w:pgSz w:w="16838" w:h="11906" w:orient="landscape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