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1A20" w14:textId="77777777" w:rsidR="00853AE1" w:rsidRPr="007D177A" w:rsidRDefault="00853AE1" w:rsidP="00853AE1">
      <w:pPr>
        <w:rPr>
          <w:b/>
          <w:bCs/>
          <w:sz w:val="30"/>
          <w:szCs w:val="30"/>
        </w:rPr>
      </w:pPr>
      <w:r w:rsidRPr="007D177A">
        <w:rPr>
          <w:b/>
          <w:bCs/>
          <w:sz w:val="30"/>
          <w:szCs w:val="30"/>
        </w:rPr>
        <w:t>1. General Assumptions</w:t>
      </w:r>
    </w:p>
    <w:p w14:paraId="7607E52F" w14:textId="77777777" w:rsidR="00853AE1" w:rsidRPr="007D177A" w:rsidRDefault="00853AE1" w:rsidP="00853AE1">
      <w:pPr>
        <w:numPr>
          <w:ilvl w:val="0"/>
          <w:numId w:val="8"/>
        </w:numPr>
        <w:rPr>
          <w:sz w:val="30"/>
          <w:szCs w:val="30"/>
        </w:rPr>
      </w:pPr>
      <w:r w:rsidRPr="007D177A">
        <w:rPr>
          <w:sz w:val="30"/>
          <w:szCs w:val="30"/>
        </w:rPr>
        <w:t>Financial projections are prepared for 5 years</w:t>
      </w:r>
    </w:p>
    <w:p w14:paraId="27F038AF" w14:textId="77777777" w:rsidR="00853AE1" w:rsidRPr="007D177A" w:rsidRDefault="00853AE1" w:rsidP="00853AE1">
      <w:pPr>
        <w:numPr>
          <w:ilvl w:val="0"/>
          <w:numId w:val="8"/>
        </w:numPr>
        <w:rPr>
          <w:sz w:val="30"/>
          <w:szCs w:val="30"/>
        </w:rPr>
      </w:pPr>
      <w:r w:rsidRPr="007D177A">
        <w:rPr>
          <w:sz w:val="30"/>
          <w:szCs w:val="30"/>
        </w:rPr>
        <w:t>Financial year considered: FY1–FY5</w:t>
      </w:r>
    </w:p>
    <w:p w14:paraId="45BB5622" w14:textId="77777777" w:rsidR="00853AE1" w:rsidRPr="007D177A" w:rsidRDefault="00853AE1" w:rsidP="00853AE1">
      <w:pPr>
        <w:numPr>
          <w:ilvl w:val="0"/>
          <w:numId w:val="8"/>
        </w:numPr>
        <w:rPr>
          <w:sz w:val="30"/>
          <w:szCs w:val="30"/>
        </w:rPr>
      </w:pPr>
      <w:r w:rsidRPr="007D177A">
        <w:rPr>
          <w:sz w:val="30"/>
          <w:szCs w:val="30"/>
        </w:rPr>
        <w:t>Currency: INR (₹)</w:t>
      </w:r>
    </w:p>
    <w:p w14:paraId="3EE437E9" w14:textId="77777777" w:rsidR="00853AE1" w:rsidRPr="007D177A" w:rsidRDefault="00853AE1" w:rsidP="00853AE1">
      <w:pPr>
        <w:numPr>
          <w:ilvl w:val="0"/>
          <w:numId w:val="8"/>
        </w:numPr>
        <w:rPr>
          <w:sz w:val="30"/>
          <w:szCs w:val="30"/>
        </w:rPr>
      </w:pPr>
      <w:r w:rsidRPr="007D177A">
        <w:rPr>
          <w:sz w:val="30"/>
          <w:szCs w:val="30"/>
        </w:rPr>
        <w:t>Figures are in ₹ Crores</w:t>
      </w:r>
    </w:p>
    <w:p w14:paraId="5441AC27" w14:textId="77777777" w:rsidR="00853AE1" w:rsidRPr="007D177A" w:rsidRDefault="00853AE1" w:rsidP="00853AE1">
      <w:pPr>
        <w:numPr>
          <w:ilvl w:val="0"/>
          <w:numId w:val="8"/>
        </w:numPr>
        <w:rPr>
          <w:sz w:val="30"/>
          <w:szCs w:val="30"/>
        </w:rPr>
      </w:pPr>
      <w:r w:rsidRPr="007D177A">
        <w:rPr>
          <w:sz w:val="30"/>
          <w:szCs w:val="30"/>
        </w:rPr>
        <w:t>The model assumes going concern</w:t>
      </w:r>
    </w:p>
    <w:p w14:paraId="76762B15" w14:textId="77777777" w:rsidR="00853AE1" w:rsidRPr="007D177A" w:rsidRDefault="00853AE1" w:rsidP="00853AE1">
      <w:pPr>
        <w:numPr>
          <w:ilvl w:val="0"/>
          <w:numId w:val="8"/>
        </w:numPr>
        <w:rPr>
          <w:sz w:val="30"/>
          <w:szCs w:val="30"/>
        </w:rPr>
      </w:pPr>
      <w:r w:rsidRPr="007D177A">
        <w:rPr>
          <w:sz w:val="30"/>
          <w:szCs w:val="30"/>
        </w:rPr>
        <w:t>No extraordinary items unless specified</w:t>
      </w:r>
    </w:p>
    <w:p w14:paraId="2E5FB972" w14:textId="77777777" w:rsidR="00853AE1" w:rsidRPr="007D177A" w:rsidRDefault="00853AE1" w:rsidP="00853AE1">
      <w:pPr>
        <w:numPr>
          <w:ilvl w:val="0"/>
          <w:numId w:val="8"/>
        </w:numPr>
        <w:rPr>
          <w:sz w:val="30"/>
          <w:szCs w:val="30"/>
        </w:rPr>
      </w:pPr>
      <w:r w:rsidRPr="007D177A">
        <w:rPr>
          <w:sz w:val="30"/>
          <w:szCs w:val="30"/>
        </w:rPr>
        <w:t>No major change in accounting policies</w:t>
      </w:r>
    </w:p>
    <w:p w14:paraId="5C42AF97" w14:textId="6BBCFC44" w:rsidR="00853AE1" w:rsidRPr="007D177A" w:rsidRDefault="007D177A" w:rsidP="00853AE1">
      <w:pPr>
        <w:rPr>
          <w:b/>
          <w:bCs/>
          <w:sz w:val="30"/>
          <w:szCs w:val="30"/>
        </w:rPr>
      </w:pPr>
      <w:r w:rsidRPr="007D177A">
        <w:rPr>
          <w:sz w:val="30"/>
          <w:szCs w:val="30"/>
        </w:rPr>
        <w:t>2</w:t>
      </w:r>
      <w:r w:rsidR="00853AE1" w:rsidRPr="007D177A">
        <w:rPr>
          <w:b/>
          <w:bCs/>
          <w:sz w:val="30"/>
          <w:szCs w:val="30"/>
        </w:rPr>
        <w:t>. Revenue Assumptions</w:t>
      </w:r>
    </w:p>
    <w:p w14:paraId="05572587" w14:textId="77777777" w:rsidR="00853AE1" w:rsidRPr="007D177A" w:rsidRDefault="00853AE1" w:rsidP="00853AE1">
      <w:pPr>
        <w:numPr>
          <w:ilvl w:val="0"/>
          <w:numId w:val="9"/>
        </w:numPr>
        <w:rPr>
          <w:sz w:val="30"/>
          <w:szCs w:val="30"/>
        </w:rPr>
      </w:pPr>
      <w:r w:rsidRPr="007D177A">
        <w:rPr>
          <w:sz w:val="30"/>
          <w:szCs w:val="30"/>
        </w:rPr>
        <w:t>Revenue growth assumed at X% per annum</w:t>
      </w:r>
    </w:p>
    <w:p w14:paraId="7B474E35" w14:textId="77777777" w:rsidR="00853AE1" w:rsidRPr="007D177A" w:rsidRDefault="00853AE1" w:rsidP="00853AE1">
      <w:pPr>
        <w:numPr>
          <w:ilvl w:val="0"/>
          <w:numId w:val="9"/>
        </w:numPr>
        <w:rPr>
          <w:sz w:val="30"/>
          <w:szCs w:val="30"/>
        </w:rPr>
      </w:pPr>
      <w:r w:rsidRPr="007D177A">
        <w:rPr>
          <w:sz w:val="30"/>
          <w:szCs w:val="30"/>
        </w:rPr>
        <w:t>Growth driven by:</w:t>
      </w:r>
    </w:p>
    <w:p w14:paraId="799040DC" w14:textId="77777777" w:rsidR="00853AE1" w:rsidRPr="007D177A" w:rsidRDefault="00853AE1" w:rsidP="00853AE1">
      <w:pPr>
        <w:numPr>
          <w:ilvl w:val="1"/>
          <w:numId w:val="9"/>
        </w:numPr>
        <w:rPr>
          <w:sz w:val="30"/>
          <w:szCs w:val="30"/>
        </w:rPr>
      </w:pPr>
      <w:r w:rsidRPr="007D177A">
        <w:rPr>
          <w:sz w:val="30"/>
          <w:szCs w:val="30"/>
        </w:rPr>
        <w:t>Stable demand in core steel products</w:t>
      </w:r>
    </w:p>
    <w:p w14:paraId="2E1530A2" w14:textId="77777777" w:rsidR="00853AE1" w:rsidRPr="007D177A" w:rsidRDefault="00853AE1" w:rsidP="00853AE1">
      <w:pPr>
        <w:numPr>
          <w:ilvl w:val="1"/>
          <w:numId w:val="9"/>
        </w:numPr>
        <w:rPr>
          <w:sz w:val="30"/>
          <w:szCs w:val="30"/>
        </w:rPr>
      </w:pPr>
      <w:r w:rsidRPr="007D177A">
        <w:rPr>
          <w:sz w:val="30"/>
          <w:szCs w:val="30"/>
        </w:rPr>
        <w:t>Moderate price increase aligned with inflation</w:t>
      </w:r>
    </w:p>
    <w:p w14:paraId="7DF7824D" w14:textId="77777777" w:rsidR="00853AE1" w:rsidRPr="007D177A" w:rsidRDefault="00853AE1" w:rsidP="00853AE1">
      <w:pPr>
        <w:numPr>
          <w:ilvl w:val="0"/>
          <w:numId w:val="9"/>
        </w:numPr>
        <w:rPr>
          <w:sz w:val="30"/>
          <w:szCs w:val="30"/>
        </w:rPr>
      </w:pPr>
      <w:r w:rsidRPr="007D177A">
        <w:rPr>
          <w:sz w:val="30"/>
          <w:szCs w:val="30"/>
        </w:rPr>
        <w:t>No major capacity expansion assumed unless stated</w:t>
      </w:r>
    </w:p>
    <w:p w14:paraId="3174C0B2" w14:textId="6A1CBE4A" w:rsidR="00853AE1" w:rsidRPr="007D177A" w:rsidRDefault="00853AE1" w:rsidP="00853AE1">
      <w:pPr>
        <w:rPr>
          <w:sz w:val="30"/>
          <w:szCs w:val="30"/>
        </w:rPr>
      </w:pPr>
      <w:r w:rsidRPr="007D177A">
        <w:rPr>
          <w:sz w:val="30"/>
          <w:szCs w:val="30"/>
        </w:rPr>
        <w:t>Revenue = Previous Year Revenue × (1 + Growth Rate)</w:t>
      </w:r>
    </w:p>
    <w:p w14:paraId="67113A4A" w14:textId="77777777" w:rsidR="00853AE1" w:rsidRPr="007D177A" w:rsidRDefault="00853AE1" w:rsidP="00853AE1">
      <w:pPr>
        <w:rPr>
          <w:sz w:val="30"/>
          <w:szCs w:val="30"/>
        </w:rPr>
      </w:pPr>
      <w:r w:rsidRPr="007D177A">
        <w:rPr>
          <w:sz w:val="30"/>
          <w:szCs w:val="30"/>
        </w:rPr>
        <w:t>Example:</w:t>
      </w:r>
    </w:p>
    <w:p w14:paraId="1AF6099E" w14:textId="77777777" w:rsidR="00853AE1" w:rsidRPr="007D177A" w:rsidRDefault="00853AE1" w:rsidP="00853AE1">
      <w:pPr>
        <w:numPr>
          <w:ilvl w:val="0"/>
          <w:numId w:val="10"/>
        </w:numPr>
        <w:rPr>
          <w:sz w:val="30"/>
          <w:szCs w:val="30"/>
        </w:rPr>
      </w:pPr>
      <w:r w:rsidRPr="007D177A">
        <w:rPr>
          <w:sz w:val="30"/>
          <w:szCs w:val="30"/>
        </w:rPr>
        <w:t>FY1 growth: 6%</w:t>
      </w:r>
    </w:p>
    <w:p w14:paraId="6BDBB8FB" w14:textId="77777777" w:rsidR="00853AE1" w:rsidRPr="007D177A" w:rsidRDefault="00853AE1" w:rsidP="00853AE1">
      <w:pPr>
        <w:numPr>
          <w:ilvl w:val="0"/>
          <w:numId w:val="10"/>
        </w:numPr>
        <w:rPr>
          <w:sz w:val="30"/>
          <w:szCs w:val="30"/>
        </w:rPr>
      </w:pPr>
      <w:r w:rsidRPr="007D177A">
        <w:rPr>
          <w:sz w:val="30"/>
          <w:szCs w:val="30"/>
        </w:rPr>
        <w:t>FY2–FY5 growth: 5%</w:t>
      </w:r>
    </w:p>
    <w:p w14:paraId="2ED677E9" w14:textId="77777777" w:rsidR="00853AE1" w:rsidRPr="007D177A" w:rsidRDefault="00853AE1" w:rsidP="00853AE1">
      <w:pPr>
        <w:rPr>
          <w:sz w:val="30"/>
          <w:szCs w:val="30"/>
        </w:rPr>
      </w:pPr>
      <w:r w:rsidRPr="007D177A">
        <w:rPr>
          <w:sz w:val="30"/>
          <w:szCs w:val="30"/>
        </w:rPr>
        <w:t>3</w:t>
      </w:r>
      <w:r w:rsidRPr="007D177A">
        <w:rPr>
          <w:b/>
          <w:bCs/>
          <w:sz w:val="30"/>
          <w:szCs w:val="30"/>
        </w:rPr>
        <w:t>. Cost of Goods Sold (COGS) Assumptions</w:t>
      </w:r>
    </w:p>
    <w:p w14:paraId="74C2FAD6" w14:textId="77777777" w:rsidR="00853AE1" w:rsidRPr="007D177A" w:rsidRDefault="00853AE1" w:rsidP="00853AE1">
      <w:pPr>
        <w:numPr>
          <w:ilvl w:val="0"/>
          <w:numId w:val="11"/>
        </w:numPr>
        <w:rPr>
          <w:sz w:val="30"/>
          <w:szCs w:val="30"/>
        </w:rPr>
      </w:pPr>
      <w:r w:rsidRPr="007D177A">
        <w:rPr>
          <w:sz w:val="30"/>
          <w:szCs w:val="30"/>
        </w:rPr>
        <w:t>COGS assumed as % of Revenue</w:t>
      </w:r>
    </w:p>
    <w:p w14:paraId="771DD1BC" w14:textId="77777777" w:rsidR="00853AE1" w:rsidRPr="007D177A" w:rsidRDefault="00853AE1" w:rsidP="00853AE1">
      <w:pPr>
        <w:numPr>
          <w:ilvl w:val="0"/>
          <w:numId w:val="11"/>
        </w:numPr>
        <w:rPr>
          <w:sz w:val="30"/>
          <w:szCs w:val="30"/>
        </w:rPr>
      </w:pPr>
      <w:r w:rsidRPr="007D177A">
        <w:rPr>
          <w:sz w:val="30"/>
          <w:szCs w:val="30"/>
        </w:rPr>
        <w:t>Raw material costs fluctuate but remain within historical range</w:t>
      </w:r>
    </w:p>
    <w:p w14:paraId="4E040C03" w14:textId="77777777" w:rsidR="00853AE1" w:rsidRPr="007D177A" w:rsidRDefault="00853AE1" w:rsidP="00853AE1">
      <w:pPr>
        <w:numPr>
          <w:ilvl w:val="0"/>
          <w:numId w:val="11"/>
        </w:numPr>
        <w:rPr>
          <w:sz w:val="30"/>
          <w:szCs w:val="30"/>
        </w:rPr>
      </w:pPr>
      <w:r w:rsidRPr="007D177A">
        <w:rPr>
          <w:sz w:val="30"/>
          <w:szCs w:val="30"/>
        </w:rPr>
        <w:t>Energy and logistics costs assumed stable</w:t>
      </w:r>
    </w:p>
    <w:p w14:paraId="0C4DAC87" w14:textId="77777777" w:rsidR="00853AE1" w:rsidRPr="007D177A" w:rsidRDefault="00853AE1" w:rsidP="00853AE1">
      <w:pPr>
        <w:rPr>
          <w:sz w:val="30"/>
          <w:szCs w:val="30"/>
        </w:rPr>
      </w:pPr>
      <w:r w:rsidRPr="007D177A">
        <w:rPr>
          <w:sz w:val="30"/>
          <w:szCs w:val="30"/>
        </w:rPr>
        <w:t>Example:</w:t>
      </w:r>
    </w:p>
    <w:p w14:paraId="1AE07DED" w14:textId="77777777" w:rsidR="00853AE1" w:rsidRPr="007D177A" w:rsidRDefault="00853AE1" w:rsidP="00853AE1">
      <w:pPr>
        <w:numPr>
          <w:ilvl w:val="0"/>
          <w:numId w:val="12"/>
        </w:numPr>
        <w:rPr>
          <w:sz w:val="30"/>
          <w:szCs w:val="30"/>
        </w:rPr>
      </w:pPr>
      <w:r w:rsidRPr="007D177A">
        <w:rPr>
          <w:sz w:val="30"/>
          <w:szCs w:val="30"/>
        </w:rPr>
        <w:t>COGS = 72–75% of Revenue</w:t>
      </w:r>
    </w:p>
    <w:p w14:paraId="25EEDD70" w14:textId="77777777" w:rsidR="00853AE1" w:rsidRPr="007D177A" w:rsidRDefault="00853AE1" w:rsidP="00853AE1">
      <w:pPr>
        <w:rPr>
          <w:sz w:val="30"/>
          <w:szCs w:val="30"/>
        </w:rPr>
      </w:pPr>
      <w:r w:rsidRPr="007D177A">
        <w:rPr>
          <w:sz w:val="30"/>
          <w:szCs w:val="30"/>
        </w:rPr>
        <w:lastRenderedPageBreak/>
        <w:t xml:space="preserve">4. </w:t>
      </w:r>
      <w:r w:rsidRPr="007D177A">
        <w:rPr>
          <w:b/>
          <w:bCs/>
          <w:sz w:val="30"/>
          <w:szCs w:val="30"/>
        </w:rPr>
        <w:t>Operating Expense Assumptions</w:t>
      </w:r>
    </w:p>
    <w:p w14:paraId="57B1CE3A" w14:textId="77777777" w:rsidR="00853AE1" w:rsidRPr="007D177A" w:rsidRDefault="00853AE1" w:rsidP="00853AE1">
      <w:pPr>
        <w:rPr>
          <w:sz w:val="30"/>
          <w:szCs w:val="30"/>
        </w:rPr>
      </w:pPr>
      <w:r w:rsidRPr="007D177A">
        <w:rPr>
          <w:sz w:val="30"/>
          <w:szCs w:val="30"/>
        </w:rPr>
        <w:t>(All expressed as % of Revenue)</w:t>
      </w:r>
    </w:p>
    <w:p w14:paraId="5B417E48" w14:textId="77777777" w:rsidR="00853AE1" w:rsidRPr="007D177A" w:rsidRDefault="00853AE1" w:rsidP="00853AE1">
      <w:pPr>
        <w:numPr>
          <w:ilvl w:val="0"/>
          <w:numId w:val="13"/>
        </w:numPr>
        <w:rPr>
          <w:sz w:val="30"/>
          <w:szCs w:val="30"/>
        </w:rPr>
      </w:pPr>
      <w:r w:rsidRPr="007D177A">
        <w:rPr>
          <w:sz w:val="30"/>
          <w:szCs w:val="30"/>
        </w:rPr>
        <w:t>Selling &amp; Distribution: 3–4%</w:t>
      </w:r>
    </w:p>
    <w:p w14:paraId="7A96699E" w14:textId="77777777" w:rsidR="00853AE1" w:rsidRPr="007D177A" w:rsidRDefault="00853AE1" w:rsidP="00853AE1">
      <w:pPr>
        <w:numPr>
          <w:ilvl w:val="0"/>
          <w:numId w:val="13"/>
        </w:numPr>
        <w:rPr>
          <w:sz w:val="30"/>
          <w:szCs w:val="30"/>
        </w:rPr>
      </w:pPr>
      <w:r w:rsidRPr="007D177A">
        <w:rPr>
          <w:sz w:val="30"/>
          <w:szCs w:val="30"/>
        </w:rPr>
        <w:t>Administrative Expenses: 2–3%</w:t>
      </w:r>
    </w:p>
    <w:p w14:paraId="775ECDF4" w14:textId="77777777" w:rsidR="00853AE1" w:rsidRPr="007D177A" w:rsidRDefault="00853AE1" w:rsidP="00853AE1">
      <w:pPr>
        <w:numPr>
          <w:ilvl w:val="0"/>
          <w:numId w:val="13"/>
        </w:numPr>
        <w:rPr>
          <w:sz w:val="30"/>
          <w:szCs w:val="30"/>
        </w:rPr>
      </w:pPr>
      <w:r w:rsidRPr="007D177A">
        <w:rPr>
          <w:sz w:val="30"/>
          <w:szCs w:val="30"/>
        </w:rPr>
        <w:t>R&amp;D: &lt;1% (manufacturing reality)</w:t>
      </w:r>
    </w:p>
    <w:p w14:paraId="0B0FF7B7" w14:textId="77777777" w:rsidR="00853AE1" w:rsidRPr="007D177A" w:rsidRDefault="00853AE1" w:rsidP="00853AE1">
      <w:pPr>
        <w:numPr>
          <w:ilvl w:val="0"/>
          <w:numId w:val="13"/>
        </w:numPr>
        <w:rPr>
          <w:sz w:val="30"/>
          <w:szCs w:val="30"/>
        </w:rPr>
      </w:pPr>
      <w:r w:rsidRPr="007D177A">
        <w:rPr>
          <w:sz w:val="30"/>
          <w:szCs w:val="30"/>
        </w:rPr>
        <w:t>Total Operating Expenses grow in line with revenue</w:t>
      </w:r>
    </w:p>
    <w:p w14:paraId="7E9ED482" w14:textId="77777777" w:rsidR="00853AE1" w:rsidRPr="007D177A" w:rsidRDefault="00853AE1" w:rsidP="00853AE1">
      <w:pPr>
        <w:rPr>
          <w:sz w:val="30"/>
          <w:szCs w:val="30"/>
        </w:rPr>
      </w:pPr>
    </w:p>
    <w:p w14:paraId="7AC0573B" w14:textId="77777777" w:rsidR="00853AE1" w:rsidRPr="007D177A" w:rsidRDefault="00853AE1" w:rsidP="00853AE1">
      <w:pPr>
        <w:rPr>
          <w:sz w:val="30"/>
          <w:szCs w:val="30"/>
        </w:rPr>
      </w:pPr>
      <w:r w:rsidRPr="007D177A">
        <w:rPr>
          <w:sz w:val="30"/>
          <w:szCs w:val="30"/>
        </w:rPr>
        <w:t xml:space="preserve">5. </w:t>
      </w:r>
      <w:r w:rsidRPr="007D177A">
        <w:rPr>
          <w:b/>
          <w:bCs/>
          <w:sz w:val="30"/>
          <w:szCs w:val="30"/>
        </w:rPr>
        <w:t>Depreciation &amp; CapEx Assumptions</w:t>
      </w:r>
    </w:p>
    <w:p w14:paraId="3FDF7017" w14:textId="77777777" w:rsidR="00853AE1" w:rsidRPr="007D177A" w:rsidRDefault="00853AE1" w:rsidP="00853AE1">
      <w:pPr>
        <w:numPr>
          <w:ilvl w:val="0"/>
          <w:numId w:val="14"/>
        </w:numPr>
        <w:rPr>
          <w:sz w:val="30"/>
          <w:szCs w:val="30"/>
        </w:rPr>
      </w:pPr>
      <w:r w:rsidRPr="007D177A">
        <w:rPr>
          <w:sz w:val="30"/>
          <w:szCs w:val="30"/>
        </w:rPr>
        <w:t>Depreciation calculated using Straight Line Method</w:t>
      </w:r>
    </w:p>
    <w:p w14:paraId="79DBED5B" w14:textId="77777777" w:rsidR="00853AE1" w:rsidRPr="007D177A" w:rsidRDefault="00853AE1" w:rsidP="00853AE1">
      <w:pPr>
        <w:numPr>
          <w:ilvl w:val="0"/>
          <w:numId w:val="14"/>
        </w:numPr>
        <w:rPr>
          <w:sz w:val="30"/>
          <w:szCs w:val="30"/>
        </w:rPr>
      </w:pPr>
      <w:r w:rsidRPr="007D177A">
        <w:rPr>
          <w:sz w:val="30"/>
          <w:szCs w:val="30"/>
        </w:rPr>
        <w:t>Useful life of assets as per Companies Act, 2013</w:t>
      </w:r>
    </w:p>
    <w:p w14:paraId="052DB572" w14:textId="77777777" w:rsidR="00853AE1" w:rsidRPr="007D177A" w:rsidRDefault="00853AE1" w:rsidP="00853AE1">
      <w:pPr>
        <w:numPr>
          <w:ilvl w:val="0"/>
          <w:numId w:val="14"/>
        </w:numPr>
        <w:rPr>
          <w:sz w:val="30"/>
          <w:szCs w:val="30"/>
        </w:rPr>
      </w:pPr>
      <w:r w:rsidRPr="007D177A">
        <w:rPr>
          <w:sz w:val="30"/>
          <w:szCs w:val="30"/>
        </w:rPr>
        <w:t>Annual CapEx assumed at 3–5% of Revenue</w:t>
      </w:r>
    </w:p>
    <w:p w14:paraId="459693C8" w14:textId="77777777" w:rsidR="00853AE1" w:rsidRPr="007D177A" w:rsidRDefault="00853AE1" w:rsidP="00853AE1">
      <w:pPr>
        <w:numPr>
          <w:ilvl w:val="0"/>
          <w:numId w:val="14"/>
        </w:numPr>
        <w:rPr>
          <w:sz w:val="30"/>
          <w:szCs w:val="30"/>
        </w:rPr>
      </w:pPr>
      <w:r w:rsidRPr="007D177A">
        <w:rPr>
          <w:sz w:val="30"/>
          <w:szCs w:val="30"/>
        </w:rPr>
        <w:t>CapEx split:</w:t>
      </w:r>
    </w:p>
    <w:p w14:paraId="3CB0306E" w14:textId="77777777" w:rsidR="00853AE1" w:rsidRPr="007D177A" w:rsidRDefault="00853AE1" w:rsidP="00853AE1">
      <w:pPr>
        <w:numPr>
          <w:ilvl w:val="1"/>
          <w:numId w:val="14"/>
        </w:numPr>
        <w:rPr>
          <w:sz w:val="30"/>
          <w:szCs w:val="30"/>
        </w:rPr>
      </w:pPr>
      <w:r w:rsidRPr="007D177A">
        <w:rPr>
          <w:sz w:val="30"/>
          <w:szCs w:val="30"/>
        </w:rPr>
        <w:t>Maintenance CapEx (major portion)</w:t>
      </w:r>
    </w:p>
    <w:p w14:paraId="4E3EBE75" w14:textId="77777777" w:rsidR="00853AE1" w:rsidRPr="007D177A" w:rsidRDefault="00853AE1" w:rsidP="00853AE1">
      <w:pPr>
        <w:numPr>
          <w:ilvl w:val="1"/>
          <w:numId w:val="14"/>
        </w:numPr>
        <w:rPr>
          <w:sz w:val="30"/>
          <w:szCs w:val="30"/>
        </w:rPr>
      </w:pPr>
      <w:r w:rsidRPr="007D177A">
        <w:rPr>
          <w:sz w:val="30"/>
          <w:szCs w:val="30"/>
        </w:rPr>
        <w:t>No aggressive expansion CapEx</w:t>
      </w:r>
    </w:p>
    <w:p w14:paraId="581D67D1" w14:textId="77777777" w:rsidR="00853AE1" w:rsidRPr="007D177A" w:rsidRDefault="00853AE1" w:rsidP="00853AE1">
      <w:pPr>
        <w:rPr>
          <w:sz w:val="30"/>
          <w:szCs w:val="30"/>
        </w:rPr>
      </w:pPr>
      <w:r w:rsidRPr="007D177A">
        <w:rPr>
          <w:sz w:val="30"/>
          <w:szCs w:val="30"/>
        </w:rPr>
        <w:t>CapEx ≠ random number. Tie it to revenue or asset base.</w:t>
      </w:r>
    </w:p>
    <w:p w14:paraId="784BB5C2" w14:textId="77777777" w:rsidR="00853AE1" w:rsidRPr="007D177A" w:rsidRDefault="00853AE1" w:rsidP="00853AE1">
      <w:pPr>
        <w:rPr>
          <w:b/>
          <w:bCs/>
          <w:sz w:val="30"/>
          <w:szCs w:val="30"/>
        </w:rPr>
      </w:pPr>
      <w:r w:rsidRPr="007D177A">
        <w:rPr>
          <w:sz w:val="30"/>
          <w:szCs w:val="30"/>
        </w:rPr>
        <w:t xml:space="preserve">6. </w:t>
      </w:r>
      <w:r w:rsidRPr="007D177A">
        <w:rPr>
          <w:b/>
          <w:bCs/>
          <w:sz w:val="30"/>
          <w:szCs w:val="30"/>
        </w:rPr>
        <w:t>Working Capital Assumptions</w:t>
      </w:r>
    </w:p>
    <w:p w14:paraId="0B88D7CE" w14:textId="77777777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>Trade Receivables: 30–45 days</w:t>
      </w:r>
    </w:p>
    <w:p w14:paraId="1BCBA4EC" w14:textId="77777777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>Inventory: 90–120 days</w:t>
      </w:r>
    </w:p>
    <w:p w14:paraId="6E82B637" w14:textId="77777777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>Trade Payables: 45–60 days</w:t>
      </w:r>
    </w:p>
    <w:p w14:paraId="27955CEF" w14:textId="77777777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>Working capital assumed to scale with revenue growth</w:t>
      </w:r>
    </w:p>
    <w:p w14:paraId="665742B4" w14:textId="77777777" w:rsidR="00853AE1" w:rsidRPr="007D177A" w:rsidRDefault="00853AE1" w:rsidP="00853AE1">
      <w:pPr>
        <w:rPr>
          <w:b/>
          <w:bCs/>
          <w:sz w:val="30"/>
          <w:szCs w:val="30"/>
        </w:rPr>
      </w:pPr>
      <w:r w:rsidRPr="007D177A">
        <w:rPr>
          <w:sz w:val="30"/>
          <w:szCs w:val="30"/>
        </w:rPr>
        <w:t xml:space="preserve">7. </w:t>
      </w:r>
      <w:r w:rsidRPr="007D177A">
        <w:rPr>
          <w:b/>
          <w:bCs/>
          <w:sz w:val="30"/>
          <w:szCs w:val="30"/>
        </w:rPr>
        <w:t>Debt &amp; Interest Assumptions</w:t>
      </w:r>
    </w:p>
    <w:p w14:paraId="3CA6E5A8" w14:textId="77777777" w:rsidR="00853AE1" w:rsidRPr="007D177A" w:rsidRDefault="00853AE1" w:rsidP="00853AE1">
      <w:pPr>
        <w:numPr>
          <w:ilvl w:val="0"/>
          <w:numId w:val="16"/>
        </w:numPr>
        <w:rPr>
          <w:sz w:val="30"/>
          <w:szCs w:val="30"/>
        </w:rPr>
      </w:pPr>
      <w:r w:rsidRPr="007D177A">
        <w:rPr>
          <w:sz w:val="30"/>
          <w:szCs w:val="30"/>
        </w:rPr>
        <w:t>Existing debt remains constant unless repayment scheduled</w:t>
      </w:r>
    </w:p>
    <w:p w14:paraId="69C537F1" w14:textId="77777777" w:rsidR="00853AE1" w:rsidRPr="007D177A" w:rsidRDefault="00853AE1" w:rsidP="00853AE1">
      <w:pPr>
        <w:numPr>
          <w:ilvl w:val="0"/>
          <w:numId w:val="16"/>
        </w:numPr>
        <w:rPr>
          <w:sz w:val="30"/>
          <w:szCs w:val="30"/>
        </w:rPr>
      </w:pPr>
      <w:r w:rsidRPr="007D177A">
        <w:rPr>
          <w:sz w:val="30"/>
          <w:szCs w:val="30"/>
        </w:rPr>
        <w:t>No new long-term borrowing assumed</w:t>
      </w:r>
    </w:p>
    <w:p w14:paraId="4E00178E" w14:textId="77777777" w:rsidR="00853AE1" w:rsidRPr="007D177A" w:rsidRDefault="00853AE1" w:rsidP="00853AE1">
      <w:pPr>
        <w:numPr>
          <w:ilvl w:val="0"/>
          <w:numId w:val="16"/>
        </w:numPr>
        <w:rPr>
          <w:sz w:val="30"/>
          <w:szCs w:val="30"/>
        </w:rPr>
      </w:pPr>
      <w:r w:rsidRPr="007D177A">
        <w:rPr>
          <w:sz w:val="30"/>
          <w:szCs w:val="30"/>
        </w:rPr>
        <w:t>Interest rate assumed at 8–10%</w:t>
      </w:r>
    </w:p>
    <w:p w14:paraId="749477DA" w14:textId="77777777" w:rsidR="00853AE1" w:rsidRPr="007D177A" w:rsidRDefault="00853AE1" w:rsidP="00853AE1">
      <w:pPr>
        <w:numPr>
          <w:ilvl w:val="0"/>
          <w:numId w:val="16"/>
        </w:numPr>
        <w:rPr>
          <w:sz w:val="30"/>
          <w:szCs w:val="30"/>
        </w:rPr>
      </w:pPr>
      <w:r w:rsidRPr="007D177A">
        <w:rPr>
          <w:sz w:val="30"/>
          <w:szCs w:val="30"/>
        </w:rPr>
        <w:lastRenderedPageBreak/>
        <w:t>Interest calculated on average outstanding debt</w:t>
      </w:r>
    </w:p>
    <w:p w14:paraId="7EC6DB28" w14:textId="77777777" w:rsidR="00853AE1" w:rsidRPr="007D177A" w:rsidRDefault="00853AE1" w:rsidP="00853AE1">
      <w:pPr>
        <w:rPr>
          <w:sz w:val="30"/>
          <w:szCs w:val="30"/>
        </w:rPr>
      </w:pPr>
    </w:p>
    <w:p w14:paraId="2DD27C34" w14:textId="77777777" w:rsidR="00853AE1" w:rsidRPr="007D177A" w:rsidRDefault="00853AE1" w:rsidP="00853AE1">
      <w:pPr>
        <w:rPr>
          <w:sz w:val="30"/>
          <w:szCs w:val="30"/>
        </w:rPr>
      </w:pPr>
      <w:r w:rsidRPr="007D177A">
        <w:rPr>
          <w:sz w:val="30"/>
          <w:szCs w:val="30"/>
        </w:rPr>
        <w:t>8</w:t>
      </w:r>
      <w:r w:rsidRPr="007D177A">
        <w:rPr>
          <w:b/>
          <w:bCs/>
          <w:sz w:val="30"/>
          <w:szCs w:val="30"/>
        </w:rPr>
        <w:t>. Tax Assumptions</w:t>
      </w:r>
    </w:p>
    <w:p w14:paraId="7EF3954D" w14:textId="77777777" w:rsidR="00853AE1" w:rsidRPr="007D177A" w:rsidRDefault="00853AE1" w:rsidP="00853AE1">
      <w:pPr>
        <w:numPr>
          <w:ilvl w:val="0"/>
          <w:numId w:val="17"/>
        </w:numPr>
        <w:rPr>
          <w:sz w:val="30"/>
          <w:szCs w:val="30"/>
        </w:rPr>
      </w:pPr>
      <w:r w:rsidRPr="007D177A">
        <w:rPr>
          <w:sz w:val="30"/>
          <w:szCs w:val="30"/>
        </w:rPr>
        <w:t>Corporate tax rate assumed at 25%</w:t>
      </w:r>
    </w:p>
    <w:p w14:paraId="61B3B6F0" w14:textId="77777777" w:rsidR="00853AE1" w:rsidRPr="007D177A" w:rsidRDefault="00853AE1" w:rsidP="00853AE1">
      <w:pPr>
        <w:numPr>
          <w:ilvl w:val="0"/>
          <w:numId w:val="17"/>
        </w:numPr>
        <w:rPr>
          <w:sz w:val="30"/>
          <w:szCs w:val="30"/>
        </w:rPr>
      </w:pPr>
      <w:r w:rsidRPr="007D177A">
        <w:rPr>
          <w:sz w:val="30"/>
          <w:szCs w:val="30"/>
        </w:rPr>
        <w:t>Deferred tax ignored for simplicity (unless advanced model)</w:t>
      </w:r>
    </w:p>
    <w:p w14:paraId="467DFAB7" w14:textId="77777777" w:rsidR="00853AE1" w:rsidRPr="007D177A" w:rsidRDefault="00853AE1" w:rsidP="00853AE1">
      <w:pPr>
        <w:numPr>
          <w:ilvl w:val="0"/>
          <w:numId w:val="17"/>
        </w:numPr>
        <w:rPr>
          <w:sz w:val="30"/>
          <w:szCs w:val="30"/>
        </w:rPr>
      </w:pPr>
      <w:r w:rsidRPr="007D177A">
        <w:rPr>
          <w:sz w:val="30"/>
          <w:szCs w:val="30"/>
        </w:rPr>
        <w:t>Tax applied on Profit Before Tax</w:t>
      </w:r>
    </w:p>
    <w:p w14:paraId="622DCE77" w14:textId="77777777" w:rsidR="00853AE1" w:rsidRPr="007D177A" w:rsidRDefault="00853AE1" w:rsidP="00853AE1">
      <w:pPr>
        <w:rPr>
          <w:b/>
          <w:bCs/>
          <w:sz w:val="30"/>
          <w:szCs w:val="30"/>
        </w:rPr>
      </w:pPr>
      <w:r w:rsidRPr="007D177A">
        <w:rPr>
          <w:b/>
          <w:bCs/>
          <w:sz w:val="30"/>
          <w:szCs w:val="30"/>
        </w:rPr>
        <w:t>9. Dividend &amp; Retained Earnings Assumptions</w:t>
      </w:r>
    </w:p>
    <w:p w14:paraId="12568DFD" w14:textId="77777777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>Dividend payout ratio assumed at 20–30%</w:t>
      </w:r>
    </w:p>
    <w:p w14:paraId="1D91E5D3" w14:textId="77777777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>Remaining profits transferred to Retained Earnings</w:t>
      </w:r>
    </w:p>
    <w:p w14:paraId="012A8B00" w14:textId="77777777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>No special dividends assumed</w:t>
      </w:r>
    </w:p>
    <w:p w14:paraId="5CE503F4" w14:textId="77777777" w:rsidR="00853AE1" w:rsidRPr="007D177A" w:rsidRDefault="00853AE1" w:rsidP="00853AE1">
      <w:pPr>
        <w:rPr>
          <w:sz w:val="30"/>
          <w:szCs w:val="30"/>
        </w:rPr>
      </w:pPr>
      <w:r w:rsidRPr="007D177A">
        <w:rPr>
          <w:sz w:val="30"/>
          <w:szCs w:val="30"/>
        </w:rPr>
        <w:t xml:space="preserve">10. </w:t>
      </w:r>
      <w:r w:rsidRPr="007D177A">
        <w:rPr>
          <w:b/>
          <w:bCs/>
          <w:sz w:val="30"/>
          <w:szCs w:val="30"/>
        </w:rPr>
        <w:t>Cash &amp; Balance Sheet Assumptions</w:t>
      </w:r>
    </w:p>
    <w:p w14:paraId="58D5993B" w14:textId="77777777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>Minimum cash balance maintained</w:t>
      </w:r>
    </w:p>
    <w:p w14:paraId="1564545D" w14:textId="77777777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 xml:space="preserve">Cash is auto-calculated </w:t>
      </w:r>
    </w:p>
    <w:p w14:paraId="450524CA" w14:textId="77777777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>Balance Sheet must balance every year</w:t>
      </w:r>
    </w:p>
    <w:p w14:paraId="5C3E8A94" w14:textId="3B397988" w:rsidR="00853AE1" w:rsidRPr="007D177A" w:rsidRDefault="00853AE1" w:rsidP="00853AE1">
      <w:pPr>
        <w:numPr>
          <w:ilvl w:val="0"/>
          <w:numId w:val="15"/>
        </w:numPr>
        <w:rPr>
          <w:sz w:val="30"/>
          <w:szCs w:val="30"/>
        </w:rPr>
      </w:pPr>
      <w:r w:rsidRPr="007D177A">
        <w:rPr>
          <w:sz w:val="30"/>
          <w:szCs w:val="30"/>
        </w:rPr>
        <w:t>Balance Check = Assets – Liabilities = 0</w:t>
      </w:r>
    </w:p>
    <w:p w14:paraId="19995B7C" w14:textId="77777777" w:rsidR="00853AE1" w:rsidRPr="007D177A" w:rsidRDefault="00853AE1" w:rsidP="00853AE1">
      <w:pPr>
        <w:rPr>
          <w:sz w:val="30"/>
          <w:szCs w:val="30"/>
        </w:rPr>
      </w:pPr>
    </w:p>
    <w:p w14:paraId="5312C6D7" w14:textId="77777777" w:rsidR="00853AE1" w:rsidRPr="007D177A" w:rsidRDefault="00853AE1" w:rsidP="00853AE1">
      <w:pPr>
        <w:rPr>
          <w:sz w:val="30"/>
          <w:szCs w:val="30"/>
        </w:rPr>
      </w:pPr>
    </w:p>
    <w:p w14:paraId="7AD0DAC8" w14:textId="77777777" w:rsidR="00853AE1" w:rsidRPr="007D177A" w:rsidRDefault="00853AE1" w:rsidP="00853AE1">
      <w:pPr>
        <w:rPr>
          <w:sz w:val="30"/>
          <w:szCs w:val="30"/>
        </w:rPr>
      </w:pPr>
    </w:p>
    <w:p w14:paraId="1E75F7E2" w14:textId="77777777" w:rsidR="00853AE1" w:rsidRPr="007D177A" w:rsidRDefault="00853AE1" w:rsidP="00853AE1">
      <w:pPr>
        <w:rPr>
          <w:sz w:val="30"/>
          <w:szCs w:val="30"/>
        </w:rPr>
      </w:pPr>
    </w:p>
    <w:p w14:paraId="30AA2EA3" w14:textId="77777777" w:rsidR="00853AE1" w:rsidRPr="007D177A" w:rsidRDefault="00853AE1" w:rsidP="00853AE1">
      <w:pPr>
        <w:rPr>
          <w:sz w:val="30"/>
          <w:szCs w:val="30"/>
        </w:rPr>
      </w:pPr>
    </w:p>
    <w:p w14:paraId="28005E91" w14:textId="77777777" w:rsidR="00853AE1" w:rsidRPr="007D177A" w:rsidRDefault="00853AE1" w:rsidP="00853AE1">
      <w:pPr>
        <w:rPr>
          <w:sz w:val="30"/>
          <w:szCs w:val="30"/>
        </w:rPr>
      </w:pPr>
    </w:p>
    <w:p w14:paraId="65BA69C2" w14:textId="77777777" w:rsidR="00853AE1" w:rsidRPr="007D177A" w:rsidRDefault="00853AE1" w:rsidP="00853AE1">
      <w:pPr>
        <w:rPr>
          <w:sz w:val="30"/>
          <w:szCs w:val="30"/>
        </w:rPr>
      </w:pPr>
    </w:p>
    <w:p w14:paraId="54DEC3C7" w14:textId="77777777" w:rsidR="0049373E" w:rsidRPr="007D177A" w:rsidRDefault="0049373E" w:rsidP="00853AE1">
      <w:pPr>
        <w:rPr>
          <w:sz w:val="30"/>
          <w:szCs w:val="30"/>
        </w:rPr>
      </w:pPr>
    </w:p>
    <w:p w14:paraId="6BAD576D" w14:textId="77777777" w:rsidR="007D177A" w:rsidRDefault="007D177A" w:rsidP="00853AE1">
      <w:pPr>
        <w:rPr>
          <w:sz w:val="30"/>
          <w:szCs w:val="30"/>
        </w:rPr>
      </w:pPr>
    </w:p>
    <w:p w14:paraId="24072A2B" w14:textId="426FEB8C" w:rsidR="00CB666C" w:rsidRPr="007D177A" w:rsidRDefault="00BD7C5C" w:rsidP="00853AE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1.</w:t>
      </w:r>
      <w:r w:rsidR="00CB666C" w:rsidRPr="007D177A">
        <w:rPr>
          <w:b/>
          <w:bCs/>
          <w:sz w:val="30"/>
          <w:szCs w:val="30"/>
        </w:rPr>
        <w:t>Detailed Assumptions &amp; Strategic Context</w:t>
      </w:r>
    </w:p>
    <w:p w14:paraId="41E973FC" w14:textId="77777777" w:rsidR="00CB666C" w:rsidRPr="007D177A" w:rsidRDefault="00CB666C" w:rsidP="00CB666C">
      <w:pPr>
        <w:rPr>
          <w:sz w:val="30"/>
          <w:szCs w:val="30"/>
        </w:rPr>
      </w:pPr>
      <w:r w:rsidRPr="007D177A">
        <w:rPr>
          <w:sz w:val="30"/>
          <w:szCs w:val="30"/>
        </w:rPr>
        <w:t>The financial model for Tata Steel is built on a "Pivot to India" strategy. This involves scaling up domestic capacity while restructuring legacy European assets.</w:t>
      </w:r>
    </w:p>
    <w:p w14:paraId="28F8B099" w14:textId="527DCA33" w:rsidR="00CB666C" w:rsidRPr="007D177A" w:rsidRDefault="00CB666C" w:rsidP="0049373E">
      <w:pPr>
        <w:rPr>
          <w:b/>
          <w:bCs/>
          <w:sz w:val="30"/>
          <w:szCs w:val="30"/>
        </w:rPr>
      </w:pPr>
      <w:r w:rsidRPr="007D177A">
        <w:rPr>
          <w:b/>
          <w:bCs/>
          <w:sz w:val="30"/>
          <w:szCs w:val="30"/>
        </w:rPr>
        <w:t>Merits (Competitive Strengths)</w:t>
      </w:r>
    </w:p>
    <w:p w14:paraId="679BAD27" w14:textId="77777777" w:rsidR="00CB666C" w:rsidRPr="007D177A" w:rsidRDefault="00CB666C" w:rsidP="00CB666C">
      <w:pPr>
        <w:numPr>
          <w:ilvl w:val="0"/>
          <w:numId w:val="4"/>
        </w:numPr>
        <w:rPr>
          <w:sz w:val="30"/>
          <w:szCs w:val="30"/>
        </w:rPr>
      </w:pPr>
      <w:r w:rsidRPr="007D177A">
        <w:rPr>
          <w:sz w:val="30"/>
          <w:szCs w:val="30"/>
        </w:rPr>
        <w:t>Vertical Integration: Tata Steel’s captive iron ore mines in India provide a massive cost cushion that global competitors lack, especially during inflationary periods.</w:t>
      </w:r>
    </w:p>
    <w:p w14:paraId="5A4EAD9F" w14:textId="77777777" w:rsidR="00CB666C" w:rsidRPr="007D177A" w:rsidRDefault="00CB666C" w:rsidP="00CB666C">
      <w:pPr>
        <w:numPr>
          <w:ilvl w:val="0"/>
          <w:numId w:val="4"/>
        </w:numPr>
        <w:rPr>
          <w:sz w:val="30"/>
          <w:szCs w:val="30"/>
        </w:rPr>
      </w:pPr>
      <w:r w:rsidRPr="007D177A">
        <w:rPr>
          <w:sz w:val="30"/>
          <w:szCs w:val="30"/>
        </w:rPr>
        <w:t>Market Leadership: Dominance in the Indian automotive and construction steel segments allows for better pricing power.</w:t>
      </w:r>
    </w:p>
    <w:p w14:paraId="1767A1A7" w14:textId="681EDA96" w:rsidR="00CB666C" w:rsidRPr="007D177A" w:rsidRDefault="00CB666C" w:rsidP="00CB666C">
      <w:pPr>
        <w:numPr>
          <w:ilvl w:val="0"/>
          <w:numId w:val="4"/>
        </w:numPr>
        <w:rPr>
          <w:sz w:val="30"/>
          <w:szCs w:val="30"/>
        </w:rPr>
      </w:pPr>
      <w:r w:rsidRPr="007D177A">
        <w:rPr>
          <w:sz w:val="30"/>
          <w:szCs w:val="30"/>
        </w:rPr>
        <w:t>Cash Flow Robustness: The model shows Net Cash from Operations staying consistently high ($₹44,321 { Cr}$ projected for FY25), which allows the company to fund its own growth without excessive external equity dilution.</w:t>
      </w:r>
    </w:p>
    <w:p w14:paraId="7DB144ED" w14:textId="4A7C9070" w:rsidR="00CB666C" w:rsidRPr="007D177A" w:rsidRDefault="00CB666C" w:rsidP="00CB666C">
      <w:pPr>
        <w:rPr>
          <w:sz w:val="30"/>
          <w:szCs w:val="30"/>
        </w:rPr>
      </w:pPr>
    </w:p>
    <w:p w14:paraId="14AE4052" w14:textId="184B8E1A" w:rsidR="00CB666C" w:rsidRPr="007D177A" w:rsidRDefault="00BD7C5C" w:rsidP="004937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</w:t>
      </w:r>
      <w:r w:rsidR="00CB666C" w:rsidRPr="007D177A">
        <w:rPr>
          <w:b/>
          <w:bCs/>
          <w:sz w:val="30"/>
          <w:szCs w:val="30"/>
        </w:rPr>
        <w:t>Demerits &amp; Financial Weaknesses</w:t>
      </w:r>
    </w:p>
    <w:p w14:paraId="7BE645F4" w14:textId="77777777" w:rsidR="00CB666C" w:rsidRPr="007D177A" w:rsidRDefault="00CB666C" w:rsidP="00CB666C">
      <w:pPr>
        <w:numPr>
          <w:ilvl w:val="0"/>
          <w:numId w:val="5"/>
        </w:numPr>
        <w:rPr>
          <w:sz w:val="30"/>
          <w:szCs w:val="30"/>
        </w:rPr>
      </w:pPr>
      <w:r w:rsidRPr="007D177A">
        <w:rPr>
          <w:sz w:val="30"/>
          <w:szCs w:val="30"/>
        </w:rPr>
        <w:t>Working Capital Stress: The Cash Conversion Cycle (CCC) jumped from 68 days in FY21 to a projected 97.5 days by FY25. This means cash is being tied up longer in inventory and receivables.</w:t>
      </w:r>
    </w:p>
    <w:p w14:paraId="4C169C5F" w14:textId="77777777" w:rsidR="00CB666C" w:rsidRPr="007D177A" w:rsidRDefault="00CB666C" w:rsidP="00CB666C">
      <w:pPr>
        <w:numPr>
          <w:ilvl w:val="0"/>
          <w:numId w:val="5"/>
        </w:numPr>
        <w:rPr>
          <w:sz w:val="30"/>
          <w:szCs w:val="30"/>
        </w:rPr>
      </w:pPr>
      <w:r w:rsidRPr="007D177A">
        <w:rPr>
          <w:sz w:val="30"/>
          <w:szCs w:val="30"/>
        </w:rPr>
        <w:t>Negative Net Working Capital: In several years (FY21, FY23, FY24), current liabilities exceeded current assets. While common in some industrial models, it indicates a tight liquidity position that relies on continuous credit rollover.</w:t>
      </w:r>
    </w:p>
    <w:p w14:paraId="1A79D6BC" w14:textId="77777777" w:rsidR="00CB666C" w:rsidRPr="007D177A" w:rsidRDefault="00CB666C" w:rsidP="00CB666C">
      <w:pPr>
        <w:numPr>
          <w:ilvl w:val="0"/>
          <w:numId w:val="5"/>
        </w:numPr>
        <w:rPr>
          <w:sz w:val="30"/>
          <w:szCs w:val="30"/>
        </w:rPr>
      </w:pPr>
      <w:r w:rsidRPr="007D177A">
        <w:rPr>
          <w:sz w:val="30"/>
          <w:szCs w:val="30"/>
        </w:rPr>
        <w:t>European Drag: The Netherlands and UK operations continue to be lower-margin compared to Indian operations, acting as a "valuation discount" for the overall group.</w:t>
      </w:r>
    </w:p>
    <w:p w14:paraId="4F2FA531" w14:textId="4407FBFA" w:rsidR="00CB666C" w:rsidRPr="007D177A" w:rsidRDefault="00CB666C" w:rsidP="00CB666C">
      <w:pPr>
        <w:rPr>
          <w:sz w:val="30"/>
          <w:szCs w:val="30"/>
        </w:rPr>
      </w:pPr>
    </w:p>
    <w:p w14:paraId="32CDC29A" w14:textId="77777777" w:rsidR="0049373E" w:rsidRPr="007D177A" w:rsidRDefault="0049373E" w:rsidP="00CB666C">
      <w:pPr>
        <w:rPr>
          <w:sz w:val="30"/>
          <w:szCs w:val="30"/>
        </w:rPr>
      </w:pPr>
    </w:p>
    <w:p w14:paraId="71E119CC" w14:textId="372BC029" w:rsidR="00CB666C" w:rsidRPr="007D177A" w:rsidRDefault="00BD7C5C" w:rsidP="00CB666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3.</w:t>
      </w:r>
      <w:r w:rsidR="00CB666C" w:rsidRPr="007D177A">
        <w:rPr>
          <w:b/>
          <w:bCs/>
          <w:sz w:val="30"/>
          <w:szCs w:val="30"/>
        </w:rPr>
        <w:t>Debt, Liquidity, and Capital Structure Risks</w:t>
      </w:r>
    </w:p>
    <w:p w14:paraId="63A78E82" w14:textId="12B64D29" w:rsidR="00CB666C" w:rsidRPr="007D177A" w:rsidRDefault="00CB666C" w:rsidP="00CB666C">
      <w:pPr>
        <w:numPr>
          <w:ilvl w:val="0"/>
          <w:numId w:val="6"/>
        </w:numPr>
        <w:rPr>
          <w:sz w:val="30"/>
          <w:szCs w:val="30"/>
        </w:rPr>
      </w:pPr>
      <w:r w:rsidRPr="007D177A">
        <w:rPr>
          <w:sz w:val="30"/>
          <w:szCs w:val="30"/>
        </w:rPr>
        <w:t>Leverage Risk: Total debt is climbing toward $₹94,801 {</w:t>
      </w:r>
      <w:r w:rsidR="0049373E" w:rsidRPr="007D177A">
        <w:rPr>
          <w:sz w:val="30"/>
          <w:szCs w:val="30"/>
        </w:rPr>
        <w:t>C</w:t>
      </w:r>
      <w:r w:rsidRPr="007D177A">
        <w:rPr>
          <w:sz w:val="30"/>
          <w:szCs w:val="30"/>
        </w:rPr>
        <w:t>r}$. While the company reduced debt in FY22, the need for massive CapEx ($₹10,500 {Cr} - ₹18,000 {Cr}$ annually) is forcing a return to the debt markets.</w:t>
      </w:r>
    </w:p>
    <w:p w14:paraId="2E13048B" w14:textId="76BAC6A7" w:rsidR="00CB666C" w:rsidRPr="007D177A" w:rsidRDefault="00CB666C" w:rsidP="00CB666C">
      <w:pPr>
        <w:numPr>
          <w:ilvl w:val="0"/>
          <w:numId w:val="6"/>
        </w:numPr>
        <w:rPr>
          <w:sz w:val="30"/>
          <w:szCs w:val="30"/>
        </w:rPr>
      </w:pPr>
      <w:r w:rsidRPr="007D177A">
        <w:rPr>
          <w:sz w:val="30"/>
          <w:szCs w:val="30"/>
        </w:rPr>
        <w:t>Interest Rate Sensitivity: The average interest rate is projected at 8.1%. With an annual interest expense of over $₹7,300 {Cr}$, even a 1% rise in global interest rates could wipe out nearly $₹1,000 {Cr}$ from the Net Profit.</w:t>
      </w:r>
    </w:p>
    <w:p w14:paraId="2AA210E1" w14:textId="0B1D8E83" w:rsidR="00CB666C" w:rsidRPr="007D177A" w:rsidRDefault="00CB666C" w:rsidP="00CB666C">
      <w:pPr>
        <w:numPr>
          <w:ilvl w:val="0"/>
          <w:numId w:val="6"/>
        </w:numPr>
        <w:rPr>
          <w:sz w:val="30"/>
          <w:szCs w:val="30"/>
        </w:rPr>
      </w:pPr>
      <w:r w:rsidRPr="007D177A">
        <w:rPr>
          <w:sz w:val="30"/>
          <w:szCs w:val="30"/>
        </w:rPr>
        <w:t>Exceptional Item Volatility: The model shows significant "Exceptional Items" (up to $-₹2,500 {Cr}$). These are often related to asset impairments in Europe or pension liabilities, making the bottom-line profit "noisy" and harder for investors to predict.</w:t>
      </w:r>
    </w:p>
    <w:p w14:paraId="04995A16" w14:textId="0A21B72B" w:rsidR="00BE2DE9" w:rsidRPr="007D177A" w:rsidRDefault="00BE2DE9" w:rsidP="00CB666C">
      <w:pPr>
        <w:rPr>
          <w:sz w:val="30"/>
          <w:szCs w:val="30"/>
        </w:rPr>
      </w:pPr>
    </w:p>
    <w:p w14:paraId="708E9FDF" w14:textId="2127C09C" w:rsidR="00CB666C" w:rsidRPr="007D177A" w:rsidRDefault="00CB666C" w:rsidP="00CB666C">
      <w:pPr>
        <w:rPr>
          <w:b/>
          <w:bCs/>
          <w:sz w:val="30"/>
          <w:szCs w:val="30"/>
        </w:rPr>
      </w:pPr>
      <w:r w:rsidRPr="007D177A">
        <w:rPr>
          <w:sz w:val="30"/>
          <w:szCs w:val="30"/>
        </w:rPr>
        <w:t xml:space="preserve"> </w:t>
      </w:r>
      <w:r w:rsidR="00BD7C5C">
        <w:rPr>
          <w:sz w:val="30"/>
          <w:szCs w:val="30"/>
        </w:rPr>
        <w:t>4.</w:t>
      </w:r>
      <w:r w:rsidRPr="007D177A">
        <w:rPr>
          <w:b/>
          <w:bCs/>
          <w:sz w:val="30"/>
          <w:szCs w:val="30"/>
        </w:rPr>
        <w:t>Risk Mitigation &amp; Outlook</w:t>
      </w:r>
    </w:p>
    <w:p w14:paraId="2A981809" w14:textId="77777777" w:rsidR="00CB666C" w:rsidRPr="007D177A" w:rsidRDefault="00CB666C" w:rsidP="00CB666C">
      <w:pPr>
        <w:numPr>
          <w:ilvl w:val="0"/>
          <w:numId w:val="7"/>
        </w:numPr>
        <w:rPr>
          <w:sz w:val="30"/>
          <w:szCs w:val="30"/>
        </w:rPr>
      </w:pPr>
      <w:r w:rsidRPr="007D177A">
        <w:rPr>
          <w:sz w:val="30"/>
          <w:szCs w:val="30"/>
        </w:rPr>
        <w:t>Macro Risk: A global recession or a slowdown in China (the world's largest steel consumer) could lead to a "dumping" of cheap steel in India, eroding domestic margins.</w:t>
      </w:r>
    </w:p>
    <w:p w14:paraId="27DEEC02" w14:textId="77777777" w:rsidR="00CB666C" w:rsidRPr="007D177A" w:rsidRDefault="00CB666C" w:rsidP="00CB666C">
      <w:pPr>
        <w:numPr>
          <w:ilvl w:val="0"/>
          <w:numId w:val="7"/>
        </w:numPr>
        <w:rPr>
          <w:sz w:val="30"/>
          <w:szCs w:val="30"/>
        </w:rPr>
      </w:pPr>
      <w:r w:rsidRPr="007D177A">
        <w:rPr>
          <w:sz w:val="30"/>
          <w:szCs w:val="30"/>
        </w:rPr>
        <w:t>Sustainability Risk: Carbon taxes (CBAM) in Europe are a major threat. Tata Steel's ability to transition to "Green Steel" is not just an environmental goal but a financial necessity to avoid massive penalties.</w:t>
      </w:r>
    </w:p>
    <w:p w14:paraId="2E10E14B" w14:textId="77777777" w:rsidR="00CB666C" w:rsidRPr="007D177A" w:rsidRDefault="00CB666C" w:rsidP="00CB666C">
      <w:pPr>
        <w:rPr>
          <w:sz w:val="30"/>
          <w:szCs w:val="30"/>
        </w:rPr>
      </w:pPr>
      <w:r w:rsidRPr="007D177A">
        <w:rPr>
          <w:sz w:val="30"/>
          <w:szCs w:val="30"/>
        </w:rPr>
        <w:t>Final Verdict: The model depicts a resilient giant that is successfully shifting its weight to a high-growth market (India) while managing a complex and expensive restructuring in Europe. The main watch-item for the next 24 months is the Debt-to-EBITDA ratio as CapEx spending peaks.</w:t>
      </w:r>
    </w:p>
    <w:p w14:paraId="75696997" w14:textId="77777777" w:rsidR="00DD38FC" w:rsidRPr="007D177A" w:rsidRDefault="00DD38FC">
      <w:pPr>
        <w:rPr>
          <w:sz w:val="30"/>
          <w:szCs w:val="30"/>
        </w:rPr>
      </w:pPr>
    </w:p>
    <w:sectPr w:rsidR="00DD38FC" w:rsidRPr="007D177A" w:rsidSect="00F07604">
      <w:pgSz w:w="11906" w:h="16838" w:code="9"/>
      <w:pgMar w:top="1440" w:right="1440" w:bottom="2160" w:left="179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0FC9"/>
    <w:multiLevelType w:val="multilevel"/>
    <w:tmpl w:val="A3A4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7B41"/>
    <w:multiLevelType w:val="multilevel"/>
    <w:tmpl w:val="9CBA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07EAD"/>
    <w:multiLevelType w:val="multilevel"/>
    <w:tmpl w:val="22F2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10F7C"/>
    <w:multiLevelType w:val="multilevel"/>
    <w:tmpl w:val="63C4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F249D"/>
    <w:multiLevelType w:val="multilevel"/>
    <w:tmpl w:val="BD7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A6B2A"/>
    <w:multiLevelType w:val="multilevel"/>
    <w:tmpl w:val="CDF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27274"/>
    <w:multiLevelType w:val="multilevel"/>
    <w:tmpl w:val="38E2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830B9"/>
    <w:multiLevelType w:val="multilevel"/>
    <w:tmpl w:val="BAE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81D0E"/>
    <w:multiLevelType w:val="multilevel"/>
    <w:tmpl w:val="8FEA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53D6B"/>
    <w:multiLevelType w:val="multilevel"/>
    <w:tmpl w:val="C73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60D4B"/>
    <w:multiLevelType w:val="multilevel"/>
    <w:tmpl w:val="3C7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A4ECF"/>
    <w:multiLevelType w:val="multilevel"/>
    <w:tmpl w:val="1C8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C62AB"/>
    <w:multiLevelType w:val="multilevel"/>
    <w:tmpl w:val="30C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B1DEB"/>
    <w:multiLevelType w:val="multilevel"/>
    <w:tmpl w:val="F3B0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B6A02"/>
    <w:multiLevelType w:val="multilevel"/>
    <w:tmpl w:val="3BE8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D7A8A"/>
    <w:multiLevelType w:val="multilevel"/>
    <w:tmpl w:val="953E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715BE"/>
    <w:multiLevelType w:val="multilevel"/>
    <w:tmpl w:val="ABD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15BB1"/>
    <w:multiLevelType w:val="multilevel"/>
    <w:tmpl w:val="B46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D30B6"/>
    <w:multiLevelType w:val="multilevel"/>
    <w:tmpl w:val="E3E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3047D"/>
    <w:multiLevelType w:val="hybridMultilevel"/>
    <w:tmpl w:val="C5E8D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546955">
    <w:abstractNumId w:val="15"/>
  </w:num>
  <w:num w:numId="2" w16cid:durableId="1779331092">
    <w:abstractNumId w:val="6"/>
  </w:num>
  <w:num w:numId="3" w16cid:durableId="600067844">
    <w:abstractNumId w:val="18"/>
  </w:num>
  <w:num w:numId="4" w16cid:durableId="962535819">
    <w:abstractNumId w:val="2"/>
  </w:num>
  <w:num w:numId="5" w16cid:durableId="446848470">
    <w:abstractNumId w:val="3"/>
  </w:num>
  <w:num w:numId="6" w16cid:durableId="1226064540">
    <w:abstractNumId w:val="7"/>
  </w:num>
  <w:num w:numId="7" w16cid:durableId="1834297195">
    <w:abstractNumId w:val="4"/>
  </w:num>
  <w:num w:numId="8" w16cid:durableId="1935279784">
    <w:abstractNumId w:val="17"/>
  </w:num>
  <w:num w:numId="9" w16cid:durableId="69163938">
    <w:abstractNumId w:val="0"/>
  </w:num>
  <w:num w:numId="10" w16cid:durableId="314720365">
    <w:abstractNumId w:val="5"/>
  </w:num>
  <w:num w:numId="11" w16cid:durableId="1196698360">
    <w:abstractNumId w:val="13"/>
  </w:num>
  <w:num w:numId="12" w16cid:durableId="1067340564">
    <w:abstractNumId w:val="8"/>
  </w:num>
  <w:num w:numId="13" w16cid:durableId="1838224096">
    <w:abstractNumId w:val="16"/>
  </w:num>
  <w:num w:numId="14" w16cid:durableId="1691957213">
    <w:abstractNumId w:val="10"/>
  </w:num>
  <w:num w:numId="15" w16cid:durableId="249823822">
    <w:abstractNumId w:val="14"/>
  </w:num>
  <w:num w:numId="16" w16cid:durableId="1428496968">
    <w:abstractNumId w:val="1"/>
  </w:num>
  <w:num w:numId="17" w16cid:durableId="1214194147">
    <w:abstractNumId w:val="12"/>
  </w:num>
  <w:num w:numId="18" w16cid:durableId="630213461">
    <w:abstractNumId w:val="9"/>
  </w:num>
  <w:num w:numId="19" w16cid:durableId="1378823408">
    <w:abstractNumId w:val="11"/>
  </w:num>
  <w:num w:numId="20" w16cid:durableId="9694375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71"/>
    <w:rsid w:val="00035F85"/>
    <w:rsid w:val="00246313"/>
    <w:rsid w:val="002C6713"/>
    <w:rsid w:val="002E31C7"/>
    <w:rsid w:val="00347D71"/>
    <w:rsid w:val="0049373E"/>
    <w:rsid w:val="00507FAC"/>
    <w:rsid w:val="007A752C"/>
    <w:rsid w:val="007D177A"/>
    <w:rsid w:val="0080754A"/>
    <w:rsid w:val="00853AE1"/>
    <w:rsid w:val="0096763D"/>
    <w:rsid w:val="00B47D24"/>
    <w:rsid w:val="00BD7C5C"/>
    <w:rsid w:val="00BE2DE9"/>
    <w:rsid w:val="00CB666C"/>
    <w:rsid w:val="00D76E3B"/>
    <w:rsid w:val="00DD38FC"/>
    <w:rsid w:val="00E151CE"/>
    <w:rsid w:val="00F0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4A066"/>
  <w15:chartTrackingRefBased/>
  <w15:docId w15:val="{13A8CB80-466C-498C-A373-F777356E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gokul</dc:creator>
  <cp:keywords/>
  <dc:description/>
  <cp:lastModifiedBy>raj gokul</cp:lastModifiedBy>
  <cp:revision>4</cp:revision>
  <dcterms:created xsi:type="dcterms:W3CDTF">2026-02-01T05:51:00Z</dcterms:created>
  <dcterms:modified xsi:type="dcterms:W3CDTF">2026-02-01T05:52:00Z</dcterms:modified>
</cp:coreProperties>
</file>