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Georgia" w:hAnsi="Georgia"/>
          <w:b/>
          <w:color w:val="43224D"/>
          <w:sz w:val="84"/>
        </w:rPr>
        <w:t>Retail360</w:t>
      </w:r>
    </w:p>
    <w:p>
      <w:pPr>
        <w:jc w:val="center"/>
      </w:pPr>
      <w:r>
        <w:rPr>
          <w:rFonts w:ascii="Georgia" w:hAnsi="Georgia"/>
          <w:b/>
          <w:color w:val="43224D"/>
          <w:sz w:val="54"/>
        </w:rPr>
        <w:t>Databricks Platform</w:t>
      </w:r>
    </w:p>
    <w:p>
      <w:pPr>
        <w:jc w:val="center"/>
      </w:pPr>
      <w:r>
        <w:rPr>
          <w:rFonts w:ascii="Tenorite" w:hAnsi="Tenorite"/>
          <w:b/>
          <w:color w:val="E0044E"/>
          <w:sz w:val="32"/>
        </w:rPr>
        <w:t>Top 10 Technical Client Questions And Answers</w:t>
      </w:r>
    </w:p>
    <w:p>
      <w:pPr>
        <w:spacing w:before="800"/>
        <w:jc w:val="center"/>
      </w:pPr>
      <w:r>
        <w:rPr>
          <w:b/>
        </w:rPr>
        <w:t>Lakehouse Architecture and Engineering Review Reference</w:t>
      </w:r>
    </w:p>
    <w:p>
      <w:pPr>
        <w:jc w:val="center"/>
      </w:pPr>
      <w:r>
        <w:t>Operational Database: Retail360_client</w:t>
      </w:r>
    </w:p>
    <w:p>
      <w:pPr>
        <w:jc w:val="center"/>
      </w:pPr>
      <w:r>
        <w:t>Version 1.0 | 8 October 2026 | Internal</w:t>
      </w:r>
    </w:p>
    <w:p>
      <w:pPr>
        <w:spacing w:before="440"/>
        <w:jc w:val="center"/>
      </w:pPr>
      <w:r>
        <w:rPr>
          <w:b/>
        </w:rPr>
        <w:t>COMPANY LOGO PLACEHOLDER</w:t>
      </w:r>
    </w:p>
    <w:p>
      <w:r>
        <w:br w:type="page"/>
      </w:r>
    </w:p>
    <w:p>
      <w:pPr>
        <w:pStyle w:val="Heading1"/>
      </w:pPr>
      <w:r>
        <w:t>1. Purpose</w:t>
      </w:r>
    </w:p>
    <w:p>
      <w:r>
        <w:t>This concise reference contains the ten most important Databricks technical questions likely to be raised by a senior client architect, data engineer, platform engineer, governance lead or technical lead during a Retail360 review. The questions focus on architecture, integration, Delta Lake, compute, pipeline reliability, Unity Catalog, security, monitoring and cost control.</w:t>
      </w:r>
    </w:p>
    <w:tbl>
      <w:tblPr>
        <w:tblW w:type="auto" w:w="0"/>
        <w:jc w:val="center"/>
        <w:tblLayout w:type="fixed"/>
        <w:tblLook w:firstColumn="1" w:firstRow="1" w:lastColumn="0" w:lastRow="0" w:noHBand="0" w:noVBand="1" w:val="04A0"/>
      </w:tblPr>
      <w:tblGrid>
        <w:gridCol w:w="2088"/>
        <w:gridCol w:w="3960"/>
        <w:gridCol w:w="2736"/>
        <w:gridCol w:w="2016"/>
      </w:tblGrid>
      <w:tr>
        <w:tc>
          <w:tcPr>
            <w:tcW w:type="dxa" w:w="2556"/>
            <w:tcMar>
              <w:top w:w="90" w:type="dxa"/>
              <w:start w:w="90" w:type="dxa"/>
              <w:bottom w:w="90" w:type="dxa"/>
              <w:end w:w="90" w:type="dxa"/>
            </w:tcMar>
            <w:vAlign w:val="center"/>
            <w:shd w:fill="43224D"/>
          </w:tcPr>
          <w:p>
            <w:pPr>
              <w:spacing w:after="0" w:line="252" w:lineRule="auto"/>
            </w:pPr>
            <w:r/>
            <w:r>
              <w:rPr>
                <w:rFonts w:ascii="Tenorite" w:hAnsi="Tenorite"/>
                <w:b/>
                <w:color w:val="FFFFFF"/>
                <w:sz w:val="16"/>
              </w:rPr>
              <w:t>Technical Question</w:t>
            </w:r>
          </w:p>
        </w:tc>
        <w:tc>
          <w:tcPr>
            <w:tcW w:type="dxa" w:w="2556"/>
            <w:tcMar>
              <w:top w:w="90" w:type="dxa"/>
              <w:start w:w="90" w:type="dxa"/>
              <w:bottom w:w="90" w:type="dxa"/>
              <w:end w:w="90" w:type="dxa"/>
            </w:tcMar>
            <w:vAlign w:val="center"/>
            <w:shd w:fill="43224D"/>
          </w:tcPr>
          <w:p>
            <w:pPr>
              <w:spacing w:after="0" w:line="252" w:lineRule="auto"/>
            </w:pPr>
            <w:r/>
            <w:r>
              <w:rPr>
                <w:rFonts w:ascii="Tenorite" w:hAnsi="Tenorite"/>
                <w:b/>
                <w:color w:val="FFFFFF"/>
                <w:sz w:val="16"/>
              </w:rPr>
              <w:t>Recommended Technical Answer</w:t>
            </w:r>
          </w:p>
        </w:tc>
        <w:tc>
          <w:tcPr>
            <w:tcW w:type="dxa" w:w="2556"/>
            <w:tcMar>
              <w:top w:w="90" w:type="dxa"/>
              <w:start w:w="90" w:type="dxa"/>
              <w:bottom w:w="90" w:type="dxa"/>
              <w:end w:w="90" w:type="dxa"/>
            </w:tcMar>
            <w:vAlign w:val="center"/>
            <w:shd w:fill="43224D"/>
          </w:tcPr>
          <w:p>
            <w:pPr>
              <w:spacing w:after="0" w:line="252" w:lineRule="auto"/>
            </w:pPr>
            <w:r/>
            <w:r>
              <w:rPr>
                <w:rFonts w:ascii="Tenorite" w:hAnsi="Tenorite"/>
                <w:b/>
                <w:color w:val="FFFFFF"/>
                <w:sz w:val="16"/>
              </w:rPr>
              <w:t>Retail360 Technical Example</w:t>
            </w:r>
          </w:p>
        </w:tc>
        <w:tc>
          <w:tcPr>
            <w:tcW w:type="dxa" w:w="2556"/>
            <w:tcMar>
              <w:top w:w="90" w:type="dxa"/>
              <w:start w:w="90" w:type="dxa"/>
              <w:bottom w:w="90" w:type="dxa"/>
              <w:end w:w="90" w:type="dxa"/>
            </w:tcMar>
            <w:vAlign w:val="center"/>
            <w:shd w:fill="43224D"/>
          </w:tcPr>
          <w:p>
            <w:pPr>
              <w:spacing w:after="0" w:line="252" w:lineRule="auto"/>
            </w:pPr>
            <w:r/>
            <w:r>
              <w:rPr>
                <w:rFonts w:ascii="Tenorite" w:hAnsi="Tenorite"/>
                <w:b/>
                <w:color w:val="FFFFFF"/>
                <w:sz w:val="16"/>
              </w:rPr>
              <w:t>Follow-Up Technical Question</w:t>
            </w:r>
          </w:p>
        </w:tc>
      </w:tr>
      <w:tr>
        <w:tc>
          <w:tcPr>
            <w:tcW w:type="dxa" w:w="2088"/>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1. What is the proposed Retail360 Databricks lakehouse architecture?</w:t>
            </w:r>
          </w:p>
        </w:tc>
        <w:tc>
          <w:tcPr>
            <w:tcW w:type="dxa" w:w="3960"/>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Use a governed source-to-consumption design: approved ingestion from files, APIs, events and Retail360_client; Bronze for source-aligned evidence; Silver for validated and conformed data; Gold for certified products; Unity Catalog for governance; and Workflows, monitoring and audit for operations. The architecture remains conceptual until approved.</w:t>
            </w:r>
          </w:p>
        </w:tc>
        <w:tc>
          <w:tcPr>
            <w:tcW w:type="dxa" w:w="273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Store files and mobile events enter Bronze, sales orders and inventory are standardized in Silver, and Daily Sales and Inventory Availability are published in Gold.</w:t>
            </w:r>
          </w:p>
        </w:tc>
        <w:tc>
          <w:tcPr>
            <w:tcW w:type="dxa" w:w="201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Which cloud, workspace, storage, network and orchestration standards must the design follow?</w:t>
            </w:r>
          </w:p>
        </w:tc>
      </w:tr>
      <w:tr>
        <w:tc>
          <w:tcPr>
            <w:tcW w:type="dxa" w:w="2088"/>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2. How will Databricks integrate with Retail360_client without affecting operational workloads?</w:t>
            </w:r>
          </w:p>
        </w:tc>
        <w:tc>
          <w:tcPr>
            <w:tcW w:type="dxa" w:w="3960"/>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Choose batch extraction, timestamp incrementals, Change Data Capture, object-storage export or limited federation based on latency and source capability. Use read-only identities, indexed extraction keys, controlled windows, watermarks and reconciliation. Direct analytical queries should not degrade the operational database.</w:t>
            </w:r>
          </w:p>
        </w:tc>
        <w:tc>
          <w:tcPr>
            <w:tcW w:type="dxa" w:w="273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Retail360_client order changes are ingested through an approved watermark or CDC pattern and reconciled before Silver publication.</w:t>
            </w:r>
          </w:p>
        </w:tc>
        <w:tc>
          <w:tcPr>
            <w:tcW w:type="dxa" w:w="201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What SQL Server features, extraction windows, source-load limits and CDC capabilities are available?</w:t>
            </w:r>
          </w:p>
        </w:tc>
      </w:tr>
      <w:tr>
        <w:tc>
          <w:tcPr>
            <w:tcW w:type="dxa" w:w="2088"/>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3. How will Bronze, Silver and Gold responsibilities be enforced?</w:t>
            </w:r>
          </w:p>
        </w:tc>
        <w:tc>
          <w:tcPr>
            <w:tcW w:type="dxa" w:w="3960"/>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Define entry and exit criteria for every layer. Bronze preserves raw values and ingestion metadata. Silver enforces schema, deduplication, standardization, references and quality status. Gold contains certified, consumer-oriented products with approved grain, measures, freshness and security.</w:t>
            </w:r>
          </w:p>
        </w:tc>
        <w:tc>
          <w:tcPr>
            <w:tcW w:type="dxa" w:w="273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bronze_store_sales feeds silver_sales_order and then gold_daily_sales only after quality and reconciliation pass.</w:t>
            </w:r>
          </w:p>
        </w:tc>
        <w:tc>
          <w:tcPr>
            <w:tcW w:type="dxa" w:w="201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Which Gold products, freshness targets and certification owners are required first?</w:t>
            </w:r>
          </w:p>
        </w:tc>
      </w:tr>
      <w:tr>
        <w:tc>
          <w:tcPr>
            <w:tcW w:type="dxa" w:w="2088"/>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4. How will Delta Lake transactions, duplicates and schema changes be controlled?</w:t>
            </w:r>
          </w:p>
        </w:tc>
        <w:tc>
          <w:tcPr>
            <w:tcW w:type="dxa" w:w="3960"/>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Use stable source keys, idempotent writes and controlled MERGE for incremental changes. Delta transaction logging supports atomic updates and detects write conflicts. Enforce expected schemas, quarantine invalid records and allow schema evolution only through approved, tested changes.</w:t>
            </w:r>
          </w:p>
        </w:tc>
        <w:tc>
          <w:tcPr>
            <w:tcW w:type="dxa" w:w="273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source_system plus source_record_id prevents duplicate orders, while an invalid quantity type blocks Silver processing.</w:t>
            </w:r>
          </w:p>
        </w:tc>
        <w:tc>
          <w:tcPr>
            <w:tcW w:type="dxa" w:w="201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Which source keys are stable, and who approves compatible and breaking schema changes?</w:t>
            </w:r>
          </w:p>
        </w:tc>
      </w:tr>
      <w:tr>
        <w:tc>
          <w:tcPr>
            <w:tcW w:type="dxa" w:w="2088"/>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5. What compute model and policies will be used for each workload?</w:t>
            </w:r>
          </w:p>
        </w:tc>
        <w:tc>
          <w:tcPr>
            <w:tcW w:type="dxa" w:w="3960"/>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Use policy-controlled interactive compute for development, job compute for scheduled pipelines, SQL warehouses for governed SQL workloads, and specialized compute only when justified. Evaluate serverless separately. Enforce runtime, size, access mode, auto termination, tags and library standards through compute policies.</w:t>
            </w:r>
          </w:p>
        </w:tc>
        <w:tc>
          <w:tcPr>
            <w:tcW w:type="dxa" w:w="273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The nightly Daily Sales workflow uses job compute that terminates after completion; analysts use an approved SQL warehouse for Gold queries.</w:t>
            </w:r>
          </w:p>
        </w:tc>
        <w:tc>
          <w:tcPr>
            <w:tcW w:type="dxa" w:w="201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Which runtimes, node families, serverless capabilities, concurrency and budget limits are approved?</w:t>
            </w:r>
          </w:p>
        </w:tc>
      </w:tr>
      <w:tr>
        <w:tc>
          <w:tcPr>
            <w:tcW w:type="dxa" w:w="2088"/>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6. How will Databricks jobs, dependencies, retries and backfills remain reliable?</w:t>
            </w:r>
          </w:p>
        </w:tc>
        <w:tc>
          <w:tcPr>
            <w:tcW w:type="dxa" w:w="3960"/>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Model explicit task dependencies, parameters, timeouts, concurrency and success criteria. Classify transient, permanent, schema, quality and dependency failures. Retry only idempotent tasks, use checkpoints for streaming, and require approved scope plus reconciliation for backfills.</w:t>
            </w:r>
          </w:p>
        </w:tc>
        <w:tc>
          <w:tcPr>
            <w:tcW w:type="dxa" w:w="273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Gold Daily Sales waits for Silver transformation, quality checks and reconciliation; a failed period is replayed without duplicating orders.</w:t>
            </w:r>
          </w:p>
        </w:tc>
        <w:tc>
          <w:tcPr>
            <w:tcW w:type="dxa" w:w="201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Which orchestrator is authoritative, and what retry, replay and backfill windows are permitted?</w:t>
            </w:r>
          </w:p>
        </w:tc>
      </w:tr>
      <w:tr>
        <w:tc>
          <w:tcPr>
            <w:tcW w:type="dxa" w:w="2088"/>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7. How will Unity Catalog organize and secure Retail360 data?</w:t>
            </w:r>
          </w:p>
        </w:tc>
        <w:tc>
          <w:tcPr>
            <w:tcW w:type="dxa" w:w="3960"/>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Use an approved metastore, catalogs and schemas aligned to environment and governance boundaries. Grant access to groups and service identities at the minimum required scope. Separate workspace permissions, compute permission, Unity Catalog grants, cloud roles and Retail360_client database roles.</w:t>
            </w:r>
          </w:p>
        </w:tc>
        <w:tc>
          <w:tcPr>
            <w:tcW w:type="dxa" w:w="273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A conceptual retail360_prod catalog contains bronze, silver, gold, quality and governance schemas; report users read approved Gold views only.</w:t>
            </w:r>
          </w:p>
        </w:tc>
        <w:tc>
          <w:tcPr>
            <w:tcW w:type="dxa" w:w="201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Is Unity Catalog enabled, and what catalog, workspace-binding, ownership and access-review standards apply?</w:t>
            </w:r>
          </w:p>
        </w:tc>
      </w:tr>
      <w:tr>
        <w:tc>
          <w:tcPr>
            <w:tcW w:type="dxa" w:w="2088"/>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8. How will sensitive data, secrets, lineage and audit evidence be protected?</w:t>
            </w:r>
          </w:p>
        </w:tc>
        <w:tc>
          <w:tcPr>
            <w:tcW w:type="dxa" w:w="3960"/>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Classify assets and apply restricted schemas, approved views, row filters, column masks or dynamic views where appropriate. Prefer managed or federated identity; keep secrets outside notebooks and source control. Route audit logs to protected storage and retain lineage across supported jobs, queries and dashboards.</w:t>
            </w:r>
          </w:p>
        </w:tc>
        <w:tc>
          <w:tcPr>
            <w:tcW w:type="dxa" w:w="273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Customer support receives masked customer data, pipeline identities write production tables, and Daily Sales traces from Gold to Silver, Bronze and the source file.</w:t>
            </w:r>
          </w:p>
        </w:tc>
        <w:tc>
          <w:tcPr>
            <w:tcW w:type="dxa" w:w="201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Which fields require masking, where should audit logs be delivered, and how long must lineage and evidence be retained?</w:t>
            </w:r>
          </w:p>
        </w:tc>
      </w:tr>
      <w:tr>
        <w:tc>
          <w:tcPr>
            <w:tcW w:type="dxa" w:w="2088"/>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9. What monitoring will prove pipeline and data-product health?</w:t>
            </w:r>
          </w:p>
        </w:tc>
        <w:tc>
          <w:tcPr>
            <w:tcW w:type="dxa" w:w="3960"/>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Monitor job and task status, duration, retries, input and output counts, freshness, schema events, failed records, quality, reconciliation, compute startup and utilization, SQL warehouses, streaming backlog, checkpoints, permissions and Retail360_client connectivity. Every important alert requires an owner and runbook.</w:t>
            </w:r>
          </w:p>
        </w:tc>
        <w:tc>
          <w:tcPr>
            <w:tcW w:type="dxa" w:w="273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Operations can distinguish a missing store file, a failed Silver task, a reconciliation variance and a stale Gold table using run and correlation identifiers.</w:t>
            </w:r>
          </w:p>
        </w:tc>
        <w:tc>
          <w:tcPr>
            <w:tcW w:type="dxa" w:w="2016"/>
            <w:tcMar>
              <w:top w:w="90" w:type="dxa"/>
              <w:start w:w="90" w:type="dxa"/>
              <w:bottom w:w="90" w:type="dxa"/>
              <w:end w:w="90" w:type="dxa"/>
            </w:tcMar>
            <w:vAlign w:val="center"/>
            <w:shd w:fill="FFFFFF"/>
          </w:tcPr>
          <w:p>
            <w:pPr>
              <w:spacing w:after="0" w:line="252" w:lineRule="auto"/>
            </w:pPr>
            <w:r/>
            <w:r>
              <w:rPr>
                <w:rFonts w:ascii="Tenorite" w:hAnsi="Tenorite"/>
                <w:b w:val="0"/>
                <w:color w:val="4C4C4D"/>
                <w:sz w:val="16"/>
              </w:rPr>
              <w:t>Which thresholds are warning, high or critical, and who receives each alert?</w:t>
            </w:r>
          </w:p>
        </w:tc>
      </w:tr>
      <w:tr>
        <w:tc>
          <w:tcPr>
            <w:tcW w:type="dxa" w:w="2088"/>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10. How will Databricks cost and production support be governed?</w:t>
            </w:r>
          </w:p>
        </w:tc>
        <w:tc>
          <w:tcPr>
            <w:tcW w:type="dxa" w:w="3960"/>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Control cost through job compute, auto termination, autoscaling, compute policies, rightsizing, tags, limited backfills, query optimization and ownership. Define platform, data engineering, database, source, security and business support responsibilities with escalation and recovery runbooks.</w:t>
            </w:r>
          </w:p>
        </w:tc>
        <w:tc>
          <w:tcPr>
            <w:tcW w:type="dxa" w:w="273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An uncontrolled historical reload requires approval; after failure, support reruns from the checkpoint, validates quality and reconciliation, republishes and records evidence.</w:t>
            </w:r>
          </w:p>
        </w:tc>
        <w:tc>
          <w:tcPr>
            <w:tcW w:type="dxa" w:w="2016"/>
            <w:tcMar>
              <w:top w:w="90" w:type="dxa"/>
              <w:start w:w="90" w:type="dxa"/>
              <w:bottom w:w="90" w:type="dxa"/>
              <w:end w:w="90" w:type="dxa"/>
            </w:tcMar>
            <w:vAlign w:val="center"/>
            <w:shd w:fill="F5F5F5"/>
          </w:tcPr>
          <w:p>
            <w:pPr>
              <w:spacing w:after="0" w:line="252" w:lineRule="auto"/>
            </w:pPr>
            <w:r/>
            <w:r>
              <w:rPr>
                <w:rFonts w:ascii="Tenorite" w:hAnsi="Tenorite"/>
                <w:b w:val="0"/>
                <w:color w:val="4C4C4D"/>
                <w:sz w:val="16"/>
              </w:rPr>
              <w:t>What budget, support hours, cost-review cadence, recovery objectives and escalation contacts apply?</w:t>
            </w:r>
          </w:p>
        </w:tc>
      </w:tr>
    </w:tbl>
    <w:p/>
    <w:p>
      <w:pPr>
        <w:pStyle w:val="Heading1"/>
      </w:pPr>
      <w:r>
        <w:t>2. Technical Review Checklist</w:t>
      </w:r>
    </w:p>
    <w:p>
      <w:pPr>
        <w:pStyle w:val="ListBullet"/>
      </w:pPr>
      <w:r>
        <w:t>Cloud, workspace, storage, network and orchestration architecture confirmed.</w:t>
      </w:r>
    </w:p>
    <w:p>
      <w:pPr>
        <w:pStyle w:val="ListBullet"/>
      </w:pPr>
      <w:r>
        <w:t>Retail360_client extraction, CDC, watermarks and reconciliation approved.</w:t>
      </w:r>
    </w:p>
    <w:p>
      <w:pPr>
        <w:pStyle w:val="ListBullet"/>
      </w:pPr>
      <w:r>
        <w:t>Bronze, Silver and Gold entry and exit criteria approved.</w:t>
      </w:r>
    </w:p>
    <w:p>
      <w:pPr>
        <w:pStyle w:val="ListBullet"/>
      </w:pPr>
      <w:r>
        <w:t>Delta keys, schema controls, compute policies and runtime standards approved.</w:t>
      </w:r>
    </w:p>
    <w:p>
      <w:pPr>
        <w:pStyle w:val="ListBullet"/>
      </w:pPr>
      <w:r>
        <w:t>Unity Catalog, permissions, masking, secrets, lineage and audit controls approved.</w:t>
      </w:r>
    </w:p>
    <w:p>
      <w:pPr>
        <w:pStyle w:val="ListBullet"/>
      </w:pPr>
      <w:r>
        <w:t>Monitoring, support ownership, cost governance and recovery procedures confirmed.</w:t>
      </w:r>
    </w:p>
    <w:tbl>
      <w:tblPr>
        <w:tblW w:type="auto" w:w="0"/>
        <w:tblLook w:firstColumn="1" w:firstRow="1" w:lastColumn="0" w:lastRow="0" w:noHBand="0" w:noVBand="1" w:val="04A0"/>
      </w:tblPr>
      <w:tblGrid>
        <w:gridCol w:w="10224"/>
      </w:tblGrid>
      <w:tr>
        <w:tc>
          <w:tcPr>
            <w:tcW w:type="dxa" w:w="10224"/>
            <w:shd w:fill="F5F5F5"/>
            <w:tcMar>
              <w:top w:w="120" w:type="dxa"/>
              <w:start w:w="120" w:type="dxa"/>
              <w:bottom w:w="120" w:type="dxa"/>
              <w:end w:w="120" w:type="dxa"/>
            </w:tcMar>
          </w:tcPr>
          <w:p>
            <w:r/>
            <w:r>
              <w:rPr>
                <w:rFonts w:ascii="Tenorite" w:hAnsi="Tenorite"/>
                <w:b/>
                <w:color w:val="E0044E"/>
                <w:sz w:val="18"/>
              </w:rPr>
              <w:t>IMPORTANT</w:t>
              <w:br/>
            </w:r>
            <w:r>
              <w:rPr>
                <w:rFonts w:ascii="Tenorite" w:hAnsi="Tenorite"/>
                <w:color w:val="4C4C4D"/>
                <w:sz w:val="20"/>
              </w:rPr>
              <w:t>Cloud region, workspace model, serverless use, runtime versions, compute sizes, thresholds, retention, budget and recovery objectives remain To be confirmed until client approval.</w:t>
            </w:r>
          </w:p>
        </w:tc>
      </w:tr>
    </w:tbl>
    <w:sectPr w:rsidR="00FC693F" w:rsidRPr="0006063C" w:rsidSect="00034616">
      <w:footerReference w:type="default" r:id="rId9"/>
      <w:pgSz w:w="12240" w:h="15840"/>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norite" w:hAnsi="Tenorite"/>
        <w:color w:val="4C4C4D"/>
        <w:sz w:val="16"/>
      </w:rPr>
      <w:t>Retail360 Top 10 Databricks Technical Q&amp;A | Version 1.0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enorite" w:hAnsi="Tenorite"/>
      <w:color w:val="4C4C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432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322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432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7f6b194-73f8-48d3-95d2-0d2530a9bb45}" enabled="1" method="Privileged" siteId="{0483ae51-a627-466e-a7dd-de2ac7e1238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Retail360 Top 10 Databricks Technical Client Questions and Answers</dc:title>
  <dc:subject/>
  <dc:creator>Rajeev Kumar Gupta</dc:creator>
  <keywords/>
  <dc:description>generated by python-docx</dc:description>
  <lastModifiedBy>Rajeev Kumar Gupta</lastModifiedBy>
  <revision>1</revision>
  <dcterms:created xsi:type="dcterms:W3CDTF">2026-10-08T07:21:16.2333280Z</dcterms:created>
  <dcterms:modified xsi:type="dcterms:W3CDTF">2026-10-08T07:21:16.2333280Z</dcterms:modified>
  <category/>
</coreProperties>
</file>