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i w:val="0"/>
          <w:color w:val="17365D"/>
          <w:sz w:val="46"/>
        </w:rPr>
        <w:t>MODEL GOVERNANCE &amp; DESIGN</w:t>
      </w:r>
    </w:p>
    <w:p>
      <w:pPr>
        <w:spacing w:after="320"/>
      </w:pPr>
      <w:r>
        <w:rPr>
          <w:rFonts w:ascii="Calibri" w:hAnsi="Calibri"/>
          <w:b w:val="0"/>
          <w:i w:val="0"/>
          <w:color w:val="5B6573"/>
          <w:sz w:val="30"/>
        </w:rPr>
        <w:t>Commercial Real Estate Expected Loss Framework | SR 26-2 Alignment</w:t>
      </w:r>
    </w:p>
    <w:p>
      <w:pPr>
        <w:spacing w:after="40"/>
      </w:pPr>
      <w:r>
        <w:rPr>
          <w:rFonts w:ascii="Calibri" w:hAnsi="Calibri"/>
          <w:b/>
          <w:i w:val="0"/>
          <w:color w:val="111111"/>
          <w:sz w:val="22"/>
        </w:rPr>
        <w:t xml:space="preserve">Document status: </w:t>
      </w:r>
      <w:r>
        <w:rPr>
          <w:rFonts w:ascii="Calibri" w:hAnsi="Calibri"/>
          <w:b w:val="0"/>
          <w:i w:val="0"/>
          <w:color w:val="111111"/>
          <w:sz w:val="22"/>
        </w:rPr>
        <w:t>Controlled working draft for model risk review</w:t>
      </w:r>
    </w:p>
    <w:p>
      <w:pPr>
        <w:spacing w:after="40"/>
      </w:pPr>
      <w:r>
        <w:rPr>
          <w:rFonts w:ascii="Calibri" w:hAnsi="Calibri"/>
          <w:b/>
          <w:i w:val="0"/>
          <w:color w:val="111111"/>
          <w:sz w:val="22"/>
        </w:rPr>
        <w:t xml:space="preserve">Version: </w:t>
      </w:r>
      <w:r>
        <w:rPr>
          <w:rFonts w:ascii="Calibri" w:hAnsi="Calibri"/>
          <w:b w:val="0"/>
          <w:i w:val="0"/>
          <w:color w:val="111111"/>
          <w:sz w:val="22"/>
        </w:rPr>
        <w:t>1.0 draft</w:t>
      </w:r>
    </w:p>
    <w:p>
      <w:pPr>
        <w:spacing w:after="40"/>
      </w:pPr>
      <w:r>
        <w:rPr>
          <w:rFonts w:ascii="Calibri" w:hAnsi="Calibri"/>
          <w:b/>
          <w:i w:val="0"/>
          <w:color w:val="111111"/>
          <w:sz w:val="22"/>
        </w:rPr>
        <w:t xml:space="preserve">As of date: </w:t>
      </w:r>
      <w:r>
        <w:rPr>
          <w:rFonts w:ascii="Calibri" w:hAnsi="Calibri"/>
          <w:b w:val="0"/>
          <w:i w:val="0"/>
          <w:color w:val="111111"/>
          <w:sz w:val="22"/>
        </w:rPr>
        <w:t>August 31, 2026</w:t>
      </w:r>
    </w:p>
    <w:p>
      <w:pPr>
        <w:spacing w:after="40"/>
      </w:pPr>
      <w:r>
        <w:rPr>
          <w:rFonts w:ascii="Calibri" w:hAnsi="Calibri"/>
          <w:b/>
          <w:i w:val="0"/>
          <w:color w:val="111111"/>
          <w:sz w:val="22"/>
        </w:rPr>
        <w:t xml:space="preserve">Primary purpose: </w:t>
      </w:r>
      <w:r>
        <w:rPr>
          <w:rFonts w:ascii="Calibri" w:hAnsi="Calibri"/>
          <w:b w:val="0"/>
          <w:i w:val="0"/>
          <w:color w:val="111111"/>
          <w:sz w:val="22"/>
        </w:rPr>
        <w:t>Economic expected-loss measurement and scenario analysis</w:t>
      </w:r>
    </w:p>
    <w:p>
      <w:pPr>
        <w:spacing w:after="40"/>
      </w:pPr>
      <w:r>
        <w:rPr>
          <w:rFonts w:ascii="Calibri" w:hAnsi="Calibri"/>
          <w:b/>
          <w:i w:val="0"/>
          <w:color w:val="111111"/>
          <w:sz w:val="22"/>
        </w:rPr>
        <w:t xml:space="preserve">Proposed grain: </w:t>
      </w:r>
      <w:r>
        <w:rPr>
          <w:rFonts w:ascii="Calibri" w:hAnsi="Calibri"/>
          <w:b w:val="0"/>
          <w:i w:val="0"/>
          <w:color w:val="111111"/>
          <w:sz w:val="22"/>
        </w:rPr>
        <w:t>Loan-property-quarter</w:t>
      </w:r>
    </w:p>
    <w:p>
      <w:pPr>
        <w:spacing w:after="40"/>
      </w:pPr>
      <w:r>
        <w:rPr>
          <w:rFonts w:ascii="Calibri" w:hAnsi="Calibri"/>
          <w:b/>
          <w:i w:val="0"/>
          <w:color w:val="111111"/>
          <w:sz w:val="22"/>
        </w:rPr>
        <w:t xml:space="preserve">Implementation: </w:t>
      </w:r>
      <w:r>
        <w:rPr>
          <w:rFonts w:ascii="Calibri" w:hAnsi="Calibri"/>
          <w:b w:val="0"/>
          <w:i w:val="0"/>
          <w:color w:val="111111"/>
          <w:sz w:val="22"/>
        </w:rPr>
        <w:t>Python, Jupyter, DuckDB, and Parquet</w:t>
      </w:r>
    </w:p>
    <w:p>
      <w:pPr>
        <w:spacing w:after="40"/>
      </w:pPr>
      <w:r>
        <w:rPr>
          <w:rFonts w:ascii="Calibri" w:hAnsi="Calibri"/>
          <w:b/>
          <w:i w:val="0"/>
          <w:color w:val="111111"/>
          <w:sz w:val="22"/>
        </w:rPr>
        <w:t xml:space="preserve">Controlling guidance: </w:t>
      </w:r>
      <w:r>
        <w:rPr>
          <w:rFonts w:ascii="Calibri" w:hAnsi="Calibri"/>
          <w:b w:val="0"/>
          <w:i w:val="0"/>
          <w:color w:val="111111"/>
          <w:sz w:val="22"/>
        </w:rPr>
        <w:t>SR 26-2, Revised Guidance on Model Risk Management (April 17, 2026)</w:t>
      </w:r>
    </w:p>
    <w:p>
      <w:pPr>
        <w:spacing w:after="40"/>
      </w:pPr>
      <w:r>
        <w:rPr>
          <w:rFonts w:ascii="Calibri" w:hAnsi="Calibri"/>
          <w:b/>
          <w:i w:val="0"/>
          <w:color w:val="111111"/>
          <w:sz w:val="22"/>
        </w:rPr>
        <w:t xml:space="preserve">Legacy continuity: </w:t>
      </w:r>
      <w:r>
        <w:rPr>
          <w:rFonts w:ascii="Calibri" w:hAnsi="Calibri"/>
          <w:b w:val="0"/>
          <w:i w:val="0"/>
          <w:color w:val="111111"/>
          <w:sz w:val="22"/>
        </w:rPr>
        <w:t>SR 11-7 crosswalk retained; SR 11-7 is superseded</w:t>
      </w:r>
    </w:p>
    <w:p>
      <w:pPr>
        <w:spacing w:before="240" w:after="280"/>
        <w:pBdr>
          <w:bottom w:val="single" w:sz="10" w:space="1" w:color="2E74B5"/>
        </w:pBdr>
      </w:pPr>
    </w:p>
    <w:p>
      <w:pPr>
        <w:spacing w:before="120" w:after="160"/>
        <w:ind w:left="173" w:right="173"/>
        <w:shd w:fill="E8EEF5"/>
        <w:pBdr>
          <w:left w:val="single" w:sz="18" w:space="6" w:color="2E74B5"/>
        </w:pBdr>
      </w:pPr>
      <w:r>
        <w:rPr>
          <w:rFonts w:ascii="Calibri" w:hAnsi="Calibri"/>
          <w:b/>
          <w:i w:val="0"/>
          <w:color w:val="17365D"/>
          <w:sz w:val="22"/>
        </w:rPr>
        <w:t xml:space="preserve">Regulatory posture: </w:t>
      </w:r>
      <w:r>
        <w:rPr>
          <w:rFonts w:ascii="Calibri" w:hAnsi="Calibri"/>
          <w:b w:val="0"/>
          <w:i w:val="0"/>
          <w:color w:val="111111"/>
          <w:sz w:val="22"/>
        </w:rPr>
        <w:t>SR 26-2 superseded and replaced SR 11-7 on April 17, 2026. This document is structured as the model-specific governing record under SR 26-2 while preserving a legacy SR 11-7 crosswalk. It supports alignment but does not, by itself, establish compliance; operating evidence, approvals, effective challenge, monitoring, issue remediation, and audit remain necessary.</w:t>
      </w:r>
    </w:p>
    <w:p>
      <w:pPr>
        <w:pStyle w:val="Heading1"/>
        <w:keepNext/>
      </w:pPr>
      <w:r>
        <w:t>Document control and review</w:t>
      </w:r>
    </w:p>
    <w:tbl>
      <w:tblPr>
        <w:tblStyle w:val="TableGrid"/>
        <w:tblW w:type="dxa" w:w="9360"/>
        <w:jc w:val="left"/>
        <w:tblLayout w:type="fixed"/>
        <w:tblLook w:firstColumn="1" w:firstRow="1" w:lastColumn="0" w:lastRow="0" w:noHBand="0" w:noVBand="1" w:val="04A0"/>
        <w:tblInd w:w="120" w:type="dxa"/>
      </w:tblPr>
      <w:tblGrid>
        <w:gridCol w:w="1700"/>
        <w:gridCol w:w="1300"/>
        <w:gridCol w:w="4560"/>
        <w:gridCol w:w="1800"/>
      </w:tblGrid>
      <w:tr>
        <w:trPr>
          <w:tblHeader/>
        </w:trPr>
        <w:tc>
          <w:tcPr>
            <w:tcW w:type="dxa" w:w="1700"/>
            <w:shd w:fill="F2F4F7"/>
            <w:tcMar>
              <w:top w:w="80" w:type="dxa"/>
              <w:start w:w="120" w:type="dxa"/>
              <w:bottom w:w="80" w:type="dxa"/>
              <w:end w:w="120" w:type="dxa"/>
            </w:tcMar>
            <w:vAlign w:val="center"/>
          </w:tcPr>
          <w:p>
            <w:pPr>
              <w:spacing w:after="0"/>
            </w:pPr>
            <w:r>
              <w:rPr>
                <w:rFonts w:ascii="Calibri" w:hAnsi="Calibri"/>
                <w:b/>
                <w:i w:val="0"/>
                <w:color w:val="17365D"/>
                <w:sz w:val="19"/>
              </w:rPr>
              <w:t>Role</w:t>
            </w:r>
          </w:p>
        </w:tc>
        <w:tc>
          <w:tcPr>
            <w:tcW w:type="dxa" w:w="1300"/>
            <w:shd w:fill="F2F4F7"/>
            <w:tcMar>
              <w:top w:w="80" w:type="dxa"/>
              <w:start w:w="120" w:type="dxa"/>
              <w:bottom w:w="80" w:type="dxa"/>
              <w:end w:w="120" w:type="dxa"/>
            </w:tcMar>
            <w:vAlign w:val="center"/>
          </w:tcPr>
          <w:p>
            <w:pPr>
              <w:spacing w:after="0"/>
            </w:pPr>
            <w:r>
              <w:rPr>
                <w:rFonts w:ascii="Calibri" w:hAnsi="Calibri"/>
                <w:b/>
                <w:i w:val="0"/>
                <w:color w:val="17365D"/>
                <w:sz w:val="19"/>
              </w:rPr>
              <w:t>Name</w:t>
            </w:r>
          </w:p>
        </w:tc>
        <w:tc>
          <w:tcPr>
            <w:tcW w:type="dxa" w:w="4560"/>
            <w:shd w:fill="F2F4F7"/>
            <w:tcMar>
              <w:top w:w="80" w:type="dxa"/>
              <w:start w:w="120" w:type="dxa"/>
              <w:bottom w:w="80" w:type="dxa"/>
              <w:end w:w="120" w:type="dxa"/>
            </w:tcMar>
            <w:vAlign w:val="center"/>
          </w:tcPr>
          <w:p>
            <w:pPr>
              <w:spacing w:after="0"/>
            </w:pPr>
            <w:r>
              <w:rPr>
                <w:rFonts w:ascii="Calibri" w:hAnsi="Calibri"/>
                <w:b/>
                <w:i w:val="0"/>
                <w:color w:val="17365D"/>
                <w:sz w:val="19"/>
              </w:rPr>
              <w:t>Responsibility</w:t>
            </w:r>
          </w:p>
        </w:tc>
        <w:tc>
          <w:tcPr>
            <w:tcW w:type="dxa" w:w="1800"/>
            <w:shd w:fill="F2F4F7"/>
            <w:tcMar>
              <w:top w:w="80" w:type="dxa"/>
              <w:start w:w="120" w:type="dxa"/>
              <w:bottom w:w="80" w:type="dxa"/>
              <w:end w:w="120" w:type="dxa"/>
            </w:tcMar>
            <w:vAlign w:val="center"/>
          </w:tcPr>
          <w:p>
            <w:pPr>
              <w:spacing w:after="0"/>
            </w:pPr>
            <w:r>
              <w:rPr>
                <w:rFonts w:ascii="Calibri" w:hAnsi="Calibri"/>
                <w:b/>
                <w:i w:val="0"/>
                <w:color w:val="17365D"/>
                <w:sz w:val="19"/>
              </w:rPr>
              <w:t>Status</w:t>
            </w:r>
          </w:p>
        </w:tc>
      </w:tr>
      <w:tr>
        <w:tc>
          <w:tcPr>
            <w:tcW w:type="dxa" w:w="1700"/>
            <w:tcMar>
              <w:top w:w="80" w:type="dxa"/>
              <w:start w:w="120" w:type="dxa"/>
              <w:bottom w:w="80" w:type="dxa"/>
              <w:end w:w="120" w:type="dxa"/>
            </w:tcMar>
            <w:vAlign w:val="center"/>
          </w:tcPr>
          <w:p>
            <w:pPr>
              <w:spacing w:after="0"/>
            </w:pPr>
            <w:r>
              <w:rPr>
                <w:rFonts w:ascii="Calibri" w:hAnsi="Calibri"/>
                <w:b w:val="0"/>
                <w:i w:val="0"/>
                <w:color w:val="111111"/>
                <w:sz w:val="19"/>
              </w:rPr>
              <w:t>Model owner</w:t>
            </w:r>
          </w:p>
        </w:tc>
        <w:tc>
          <w:tcPr>
            <w:tcW w:type="dxa" w:w="1300"/>
            <w:tcMar>
              <w:top w:w="80" w:type="dxa"/>
              <w:start w:w="120" w:type="dxa"/>
              <w:bottom w:w="80" w:type="dxa"/>
              <w:end w:w="120" w:type="dxa"/>
            </w:tcMar>
            <w:vAlign w:val="center"/>
          </w:tcPr>
          <w:p>
            <w:pPr>
              <w:spacing w:after="0"/>
            </w:pPr>
            <w:r>
              <w:rPr>
                <w:rFonts w:ascii="Calibri" w:hAnsi="Calibri"/>
                <w:b w:val="0"/>
                <w:i w:val="0"/>
                <w:color w:val="111111"/>
                <w:sz w:val="19"/>
              </w:rPr>
              <w:t>TBD</w:t>
            </w:r>
          </w:p>
        </w:tc>
        <w:tc>
          <w:tcPr>
            <w:tcW w:type="dxa" w:w="4560"/>
            <w:tcMar>
              <w:top w:w="80" w:type="dxa"/>
              <w:start w:w="120" w:type="dxa"/>
              <w:bottom w:w="80" w:type="dxa"/>
              <w:end w:w="120" w:type="dxa"/>
            </w:tcMar>
            <w:vAlign w:val="center"/>
          </w:tcPr>
          <w:p>
            <w:pPr>
              <w:spacing w:after="0"/>
            </w:pPr>
            <w:r>
              <w:rPr>
                <w:rFonts w:ascii="Calibri" w:hAnsi="Calibri"/>
                <w:b w:val="0"/>
                <w:i w:val="0"/>
                <w:color w:val="111111"/>
                <w:sz w:val="19"/>
              </w:rPr>
              <w:t>Purpose, use, assumptions, and ongoing performance</w:t>
            </w:r>
          </w:p>
        </w:tc>
        <w:tc>
          <w:tcPr>
            <w:tcW w:type="dxa" w:w="1800"/>
            <w:tcMar>
              <w:top w:w="80" w:type="dxa"/>
              <w:start w:w="120" w:type="dxa"/>
              <w:bottom w:w="80" w:type="dxa"/>
              <w:end w:w="120" w:type="dxa"/>
            </w:tcMar>
            <w:vAlign w:val="center"/>
          </w:tcPr>
          <w:p>
            <w:pPr>
              <w:spacing w:after="0"/>
            </w:pPr>
            <w:r>
              <w:rPr>
                <w:rFonts w:ascii="Calibri" w:hAnsi="Calibri"/>
                <w:b w:val="0"/>
                <w:i w:val="0"/>
                <w:color w:val="111111"/>
                <w:sz w:val="19"/>
              </w:rPr>
              <w:t>Open</w:t>
            </w:r>
          </w:p>
        </w:tc>
      </w:tr>
      <w:tr>
        <w:tc>
          <w:tcPr>
            <w:tcW w:type="dxa" w:w="1700"/>
            <w:tcMar>
              <w:top w:w="80" w:type="dxa"/>
              <w:start w:w="120" w:type="dxa"/>
              <w:bottom w:w="80" w:type="dxa"/>
              <w:end w:w="120" w:type="dxa"/>
            </w:tcMar>
            <w:vAlign w:val="center"/>
          </w:tcPr>
          <w:p>
            <w:pPr>
              <w:spacing w:after="0"/>
            </w:pPr>
            <w:r>
              <w:rPr>
                <w:rFonts w:ascii="Calibri" w:hAnsi="Calibri"/>
                <w:b w:val="0"/>
                <w:i w:val="0"/>
                <w:color w:val="111111"/>
                <w:sz w:val="19"/>
              </w:rPr>
              <w:t>Model developer</w:t>
            </w:r>
          </w:p>
        </w:tc>
        <w:tc>
          <w:tcPr>
            <w:tcW w:type="dxa" w:w="1300"/>
            <w:tcMar>
              <w:top w:w="80" w:type="dxa"/>
              <w:start w:w="120" w:type="dxa"/>
              <w:bottom w:w="80" w:type="dxa"/>
              <w:end w:w="120" w:type="dxa"/>
            </w:tcMar>
            <w:vAlign w:val="center"/>
          </w:tcPr>
          <w:p>
            <w:pPr>
              <w:spacing w:after="0"/>
            </w:pPr>
            <w:r>
              <w:rPr>
                <w:rFonts w:ascii="Calibri" w:hAnsi="Calibri"/>
                <w:b w:val="0"/>
                <w:i w:val="0"/>
                <w:color w:val="111111"/>
                <w:sz w:val="19"/>
              </w:rPr>
              <w:t>TBD</w:t>
            </w:r>
          </w:p>
        </w:tc>
        <w:tc>
          <w:tcPr>
            <w:tcW w:type="dxa" w:w="4560"/>
            <w:tcMar>
              <w:top w:w="80" w:type="dxa"/>
              <w:start w:w="120" w:type="dxa"/>
              <w:bottom w:w="80" w:type="dxa"/>
              <w:end w:w="120" w:type="dxa"/>
            </w:tcMar>
            <w:vAlign w:val="center"/>
          </w:tcPr>
          <w:p>
            <w:pPr>
              <w:spacing w:after="0"/>
            </w:pPr>
            <w:r>
              <w:rPr>
                <w:rFonts w:ascii="Calibri" w:hAnsi="Calibri"/>
                <w:b w:val="0"/>
                <w:i w:val="0"/>
                <w:color w:val="111111"/>
                <w:sz w:val="19"/>
              </w:rPr>
              <w:t>Data, methodology, code, testing, and documentation</w:t>
            </w:r>
          </w:p>
        </w:tc>
        <w:tc>
          <w:tcPr>
            <w:tcW w:type="dxa" w:w="1800"/>
            <w:tcMar>
              <w:top w:w="80" w:type="dxa"/>
              <w:start w:w="120" w:type="dxa"/>
              <w:bottom w:w="80" w:type="dxa"/>
              <w:end w:w="120" w:type="dxa"/>
            </w:tcMar>
            <w:vAlign w:val="center"/>
          </w:tcPr>
          <w:p>
            <w:pPr>
              <w:spacing w:after="0"/>
            </w:pPr>
            <w:r>
              <w:rPr>
                <w:rFonts w:ascii="Calibri" w:hAnsi="Calibri"/>
                <w:b w:val="0"/>
                <w:i w:val="0"/>
                <w:color w:val="111111"/>
                <w:sz w:val="19"/>
              </w:rPr>
              <w:t>Open</w:t>
            </w:r>
          </w:p>
        </w:tc>
      </w:tr>
      <w:tr>
        <w:tc>
          <w:tcPr>
            <w:tcW w:type="dxa" w:w="1700"/>
            <w:tcMar>
              <w:top w:w="80" w:type="dxa"/>
              <w:start w:w="120" w:type="dxa"/>
              <w:bottom w:w="80" w:type="dxa"/>
              <w:end w:w="120" w:type="dxa"/>
            </w:tcMar>
            <w:vAlign w:val="center"/>
          </w:tcPr>
          <w:p>
            <w:pPr>
              <w:spacing w:after="0"/>
            </w:pPr>
            <w:r>
              <w:rPr>
                <w:rFonts w:ascii="Calibri" w:hAnsi="Calibri"/>
                <w:b w:val="0"/>
                <w:i w:val="0"/>
                <w:color w:val="111111"/>
                <w:sz w:val="19"/>
              </w:rPr>
              <w:t>Independent validator</w:t>
            </w:r>
          </w:p>
        </w:tc>
        <w:tc>
          <w:tcPr>
            <w:tcW w:type="dxa" w:w="1300"/>
            <w:tcMar>
              <w:top w:w="80" w:type="dxa"/>
              <w:start w:w="120" w:type="dxa"/>
              <w:bottom w:w="80" w:type="dxa"/>
              <w:end w:w="120" w:type="dxa"/>
            </w:tcMar>
            <w:vAlign w:val="center"/>
          </w:tcPr>
          <w:p>
            <w:pPr>
              <w:spacing w:after="0"/>
            </w:pPr>
            <w:r>
              <w:rPr>
                <w:rFonts w:ascii="Calibri" w:hAnsi="Calibri"/>
                <w:b w:val="0"/>
                <w:i w:val="0"/>
                <w:color w:val="111111"/>
                <w:sz w:val="19"/>
              </w:rPr>
              <w:t>TBD</w:t>
            </w:r>
          </w:p>
        </w:tc>
        <w:tc>
          <w:tcPr>
            <w:tcW w:type="dxa" w:w="4560"/>
            <w:tcMar>
              <w:top w:w="80" w:type="dxa"/>
              <w:start w:w="120" w:type="dxa"/>
              <w:bottom w:w="80" w:type="dxa"/>
              <w:end w:w="120" w:type="dxa"/>
            </w:tcMar>
            <w:vAlign w:val="center"/>
          </w:tcPr>
          <w:p>
            <w:pPr>
              <w:spacing w:after="0"/>
            </w:pPr>
            <w:r>
              <w:rPr>
                <w:rFonts w:ascii="Calibri" w:hAnsi="Calibri"/>
                <w:b w:val="0"/>
                <w:i w:val="0"/>
                <w:color w:val="111111"/>
                <w:sz w:val="19"/>
              </w:rPr>
              <w:t>Conceptual soundness, outcomes analysis, limitations</w:t>
            </w:r>
          </w:p>
        </w:tc>
        <w:tc>
          <w:tcPr>
            <w:tcW w:type="dxa" w:w="1800"/>
            <w:tcMar>
              <w:top w:w="80" w:type="dxa"/>
              <w:start w:w="120" w:type="dxa"/>
              <w:bottom w:w="80" w:type="dxa"/>
              <w:end w:w="120" w:type="dxa"/>
            </w:tcMar>
            <w:vAlign w:val="center"/>
          </w:tcPr>
          <w:p>
            <w:pPr>
              <w:spacing w:after="0"/>
            </w:pPr>
            <w:r>
              <w:rPr>
                <w:rFonts w:ascii="Calibri" w:hAnsi="Calibri"/>
                <w:b w:val="0"/>
                <w:i w:val="0"/>
                <w:color w:val="111111"/>
                <w:sz w:val="19"/>
              </w:rPr>
              <w:t>Open</w:t>
            </w:r>
          </w:p>
        </w:tc>
      </w:tr>
      <w:tr>
        <w:tc>
          <w:tcPr>
            <w:tcW w:type="dxa" w:w="1700"/>
            <w:tcMar>
              <w:top w:w="80" w:type="dxa"/>
              <w:start w:w="120" w:type="dxa"/>
              <w:bottom w:w="80" w:type="dxa"/>
              <w:end w:w="120" w:type="dxa"/>
            </w:tcMar>
            <w:vAlign w:val="center"/>
          </w:tcPr>
          <w:p>
            <w:pPr>
              <w:spacing w:after="0"/>
            </w:pPr>
            <w:r>
              <w:rPr>
                <w:rFonts w:ascii="Calibri" w:hAnsi="Calibri"/>
                <w:b w:val="0"/>
                <w:i w:val="0"/>
                <w:color w:val="111111"/>
                <w:sz w:val="19"/>
              </w:rPr>
              <w:t>Approver</w:t>
            </w:r>
          </w:p>
        </w:tc>
        <w:tc>
          <w:tcPr>
            <w:tcW w:type="dxa" w:w="1300"/>
            <w:tcMar>
              <w:top w:w="80" w:type="dxa"/>
              <w:start w:w="120" w:type="dxa"/>
              <w:bottom w:w="80" w:type="dxa"/>
              <w:end w:w="120" w:type="dxa"/>
            </w:tcMar>
            <w:vAlign w:val="center"/>
          </w:tcPr>
          <w:p>
            <w:pPr>
              <w:spacing w:after="0"/>
            </w:pPr>
            <w:r>
              <w:rPr>
                <w:rFonts w:ascii="Calibri" w:hAnsi="Calibri"/>
                <w:b w:val="0"/>
                <w:i w:val="0"/>
                <w:color w:val="111111"/>
                <w:sz w:val="19"/>
              </w:rPr>
              <w:t>TBD</w:t>
            </w:r>
          </w:p>
        </w:tc>
        <w:tc>
          <w:tcPr>
            <w:tcW w:type="dxa" w:w="4560"/>
            <w:tcMar>
              <w:top w:w="80" w:type="dxa"/>
              <w:start w:w="120" w:type="dxa"/>
              <w:bottom w:w="80" w:type="dxa"/>
              <w:end w:w="120" w:type="dxa"/>
            </w:tcMar>
            <w:vAlign w:val="center"/>
          </w:tcPr>
          <w:p>
            <w:pPr>
              <w:spacing w:after="0"/>
            </w:pPr>
            <w:r>
              <w:rPr>
                <w:rFonts w:ascii="Calibri" w:hAnsi="Calibri"/>
                <w:b w:val="0"/>
                <w:i w:val="0"/>
                <w:color w:val="111111"/>
                <w:sz w:val="19"/>
              </w:rPr>
              <w:t>Scope, material assumptions, limitations, and permitted use</w:t>
            </w:r>
          </w:p>
        </w:tc>
        <w:tc>
          <w:tcPr>
            <w:tcW w:type="dxa" w:w="1800"/>
            <w:tcMar>
              <w:top w:w="80" w:type="dxa"/>
              <w:start w:w="120" w:type="dxa"/>
              <w:bottom w:w="80" w:type="dxa"/>
              <w:end w:w="120" w:type="dxa"/>
            </w:tcMar>
            <w:vAlign w:val="center"/>
          </w:tcPr>
          <w:p>
            <w:pPr>
              <w:spacing w:after="0"/>
            </w:pPr>
            <w:r>
              <w:rPr>
                <w:rFonts w:ascii="Calibri" w:hAnsi="Calibri"/>
                <w:b w:val="0"/>
                <w:i w:val="0"/>
                <w:color w:val="111111"/>
                <w:sz w:val="19"/>
              </w:rPr>
              <w:t>Open</w:t>
            </w:r>
          </w:p>
        </w:tc>
      </w:tr>
    </w:tbl>
    <w:p>
      <w:pPr>
        <w:sectPr>
          <w:pgSz w:w="12240" w:h="15840"/>
          <w:pgMar w:top="1440" w:right="1440" w:bottom="1440" w:left="1440" w:header="708" w:footer="708" w:gutter="0"/>
          <w:cols w:space="720"/>
          <w:docGrid w:linePitch="360"/>
        </w:sectPr>
      </w:pPr>
    </w:p>
    <w:p>
      <w:pPr>
        <w:pStyle w:val="Heading1"/>
        <w:keepNext/>
      </w:pPr>
      <w:r>
        <w:t>1. Executive summary</w:t>
      </w:r>
    </w:p>
    <w:p>
      <w:r>
        <w:t>This document defines the proposed architecture for a Commercial Real Estate (CRE) expected-loss model built primarily from publicly available data. The model decomposes loss into probability of default (PD), loss given default (LGD), and exposure at default (EAD), applies forward-looking economic scenarios, and aggregates results across loans, properties, time horizons, and portfolio segments.</w:t>
      </w:r>
    </w:p>
    <w:p>
      <w:r>
        <w:t>This is the overarching model-specific document for design, use, controls, validation planning, monitoring, limitations, and governance. It should be read with the institution's enterprise model risk management policy, model inventory, validation reports, approvals, implementation evidence, monitoring reports, issue log, and internal-audit work. Those records are incorporated by reference through the evidence register in Appendix D.</w:t>
      </w:r>
    </w:p>
    <w:p>
      <w:pPr>
        <w:spacing w:before="120" w:after="160"/>
        <w:ind w:left="173" w:right="173"/>
        <w:shd w:fill="FFF4D6"/>
        <w:pBdr>
          <w:left w:val="single" w:sz="18" w:space="6" w:color="2E74B5"/>
        </w:pBdr>
      </w:pPr>
      <w:r>
        <w:rPr>
          <w:rFonts w:ascii="Calibri" w:hAnsi="Calibri"/>
          <w:b/>
          <w:i w:val="0"/>
          <w:color w:val="17365D"/>
          <w:sz w:val="22"/>
        </w:rPr>
        <w:t xml:space="preserve">Use restriction: </w:t>
      </w:r>
      <w:r>
        <w:rPr>
          <w:rFonts w:ascii="Calibri" w:hAnsi="Calibri"/>
          <w:b w:val="0"/>
          <w:i w:val="0"/>
          <w:color w:val="111111"/>
          <w:sz w:val="22"/>
        </w:rPr>
        <w:t>Until the approval record is complete, outputs remain research estimates and may not be used as the sole basis for financial reporting, allowance, capital, underwriting, pricing, foreclosure, or regulatory submissions.</w:t>
      </w:r>
    </w:p>
    <w:p>
      <w:pPr>
        <w:pStyle w:val="Heading2"/>
        <w:keepNext/>
      </w:pPr>
      <w:r>
        <w:t>1.1 Core equation</w:t>
      </w:r>
    </w:p>
    <w:p>
      <w:pPr>
        <w:spacing w:before="160" w:after="200"/>
        <w:jc w:val="center"/>
      </w:pPr>
      <w:r>
        <w:rPr>
          <w:rFonts w:ascii="Calibri" w:hAnsi="Calibri"/>
          <w:b/>
          <w:i w:val="0"/>
          <w:color w:val="17365D"/>
          <w:sz w:val="24"/>
        </w:rPr>
        <w:t>EL(i,t) = sum over h [ marginal PD(i,t,h) x LGD(i,t,h) x EAD(i,t,h) x DF(h) ]</w:t>
      </w:r>
    </w:p>
    <w:p>
      <w:r>
        <w:t>Here, i identifies the exposure, t is the reporting date, h is the forecast interval, and DF is the selected discount factor. Marginal PD is conditional on survival to the start of each interval so that lifetime probabilities are not double-counted.</w:t>
      </w:r>
    </w:p>
    <w:p>
      <w:pPr>
        <w:pStyle w:val="Heading2"/>
        <w:keepNext/>
      </w:pPr>
      <w:r>
        <w:t>1.2 Design principles</w:t>
      </w:r>
    </w:p>
    <w:p>
      <w:pPr>
        <w:pStyle w:val="ListBullet"/>
      </w:pPr>
      <w:r>
        <w:t>Traceability: every reported result can be traced to source data, transformations, configuration, model version, and scenario.</w:t>
      </w:r>
    </w:p>
    <w:p>
      <w:pPr>
        <w:pStyle w:val="ListBullet"/>
      </w:pPr>
      <w:r>
        <w:t>Separation of concerns: ingestion, feature engineering, estimation, scenario application, aggregation, validation, and reporting remain distinct.</w:t>
      </w:r>
    </w:p>
    <w:p>
      <w:pPr>
        <w:pStyle w:val="ListBullet"/>
      </w:pPr>
      <w:r>
        <w:t>Determinism: authoritative loss calculations do not depend on an LLM or autonomous agent.</w:t>
      </w:r>
    </w:p>
    <w:p>
      <w:pPr>
        <w:pStyle w:val="ListBullet"/>
      </w:pPr>
      <w:r>
        <w:t>Transparency before complexity: benchmarks and interpretable specifications precede nonlinear or highly parameterized models.</w:t>
      </w:r>
    </w:p>
    <w:p>
      <w:pPr>
        <w:pStyle w:val="ListBullet"/>
      </w:pPr>
      <w:r>
        <w:t>Time-aware validation: development and testing respect reporting chronology and avoid future-information leakage.</w:t>
      </w:r>
    </w:p>
    <w:p>
      <w:pPr>
        <w:pStyle w:val="ListBullet"/>
      </w:pPr>
      <w:r>
        <w:t>Conservative use of proxies: public-data gaps are disclosed, quantified where possible, and not disguised as observed loan facts.</w:t>
      </w:r>
    </w:p>
    <w:p>
      <w:pPr>
        <w:pStyle w:val="Heading1"/>
        <w:keepNext/>
      </w:pPr>
      <w:r>
        <w:t>2. Purpose, scope, and permitted use</w:t>
      </w:r>
    </w:p>
    <w:p>
      <w:pPr>
        <w:pStyle w:val="Heading2"/>
        <w:keepNext/>
      </w:pPr>
      <w:r>
        <w:t>2.0 Regulatory basis and applicability</w:t>
      </w:r>
    </w:p>
    <w:p>
      <w:r>
        <w:t>SR 26-2 is the controlling interagency supervisory guidance for this document. It emphasizes a risk-based approach tailored to a banking organization's model risk profile and the size and complexity of its operations. It is expected to be most relevant to banking organizations with more than $30 billion in total assets, while potentially remaining relevant to smaller organizations with significant model risk exposure. Applicability to a particular institution must be confirmed by its legal, compliance, and model risk functions.</w:t>
      </w:r>
    </w:p>
    <w:p>
      <w:r>
        <w:t>Under SR 26-2, a model is a complex quantitative method, system, or approach underpinned by statistical, economic, or financial theory that processes input data into quantitative estimates. The PD, LGD, EAD, calibration, and scenario components meet this working classification. Simple arithmetic aggregation and deterministic rule-based software are controlled components but may fall outside the SR 26-2 model definition.</w:t>
      </w:r>
    </w:p>
    <w:p>
      <w:pPr>
        <w:pStyle w:val="Heading2"/>
        <w:keepNext/>
      </w:pPr>
      <w:r>
        <w:t>2.1 Intended uses</w:t>
      </w:r>
    </w:p>
    <w:p>
      <w:pPr>
        <w:pStyle w:val="ListBullet"/>
      </w:pPr>
      <w:r>
        <w:t>Estimate baseline and scenario-conditioned expected loss for CRE portfolios or representative segments.</w:t>
      </w:r>
    </w:p>
    <w:p>
      <w:pPr>
        <w:pStyle w:val="ListBullet"/>
      </w:pPr>
      <w:r>
        <w:t>Compare risk across property types, geographies, vintages, structures, leverage, and refinance profiles.</w:t>
      </w:r>
    </w:p>
    <w:p>
      <w:pPr>
        <w:pStyle w:val="ListBullet"/>
      </w:pPr>
      <w:r>
        <w:t>Evaluate sensitivities to net operating income (NOI), capitalization rates, vacancy, interest rates, and collateral values.</w:t>
      </w:r>
    </w:p>
    <w:p>
      <w:pPr>
        <w:pStyle w:val="ListBullet"/>
      </w:pPr>
      <w:r>
        <w:t>Support research, model-development experiments, monitoring, benchmarking, and management discussion.</w:t>
      </w:r>
    </w:p>
    <w:p>
      <w:pPr>
        <w:pStyle w:val="Heading2"/>
        <w:keepNext/>
      </w:pPr>
      <w:r>
        <w:t>2.2 Out-of-scope uses for version 0.1</w:t>
      </w:r>
    </w:p>
    <w:p>
      <w:pPr>
        <w:pStyle w:val="ListBullet"/>
      </w:pPr>
      <w:r>
        <w:t>Final financial-statement allowance or regulatory submission without a separately approved policy implementation.</w:t>
      </w:r>
    </w:p>
    <w:p>
      <w:pPr>
        <w:pStyle w:val="ListBullet"/>
      </w:pPr>
      <w:r>
        <w:t>Automated credit approval, pricing, appraisal, foreclosure, or servicing action.</w:t>
      </w:r>
    </w:p>
    <w:p>
      <w:pPr>
        <w:pStyle w:val="ListBullet"/>
      </w:pPr>
      <w:r>
        <w:t>Loan-level conclusions where required fields are imputed only from broad public proxies.</w:t>
      </w:r>
    </w:p>
    <w:p>
      <w:pPr>
        <w:pStyle w:val="ListBullet"/>
      </w:pPr>
      <w:r>
        <w:t>Use outside the populations, property types, geographies, or economic regimes supported by development evidence.</w:t>
      </w:r>
    </w:p>
    <w:p>
      <w:pPr>
        <w:spacing w:before="120" w:after="160"/>
        <w:ind w:left="173" w:right="173"/>
        <w:shd w:fill="FFF4D6"/>
        <w:pBdr>
          <w:left w:val="single" w:sz="18" w:space="6" w:color="2E74B5"/>
        </w:pBdr>
      </w:pPr>
      <w:r>
        <w:rPr>
          <w:rFonts w:ascii="Calibri" w:hAnsi="Calibri"/>
          <w:b/>
          <w:i w:val="0"/>
          <w:color w:val="17365D"/>
          <w:sz w:val="22"/>
        </w:rPr>
        <w:t xml:space="preserve">Control boundary: </w:t>
      </w:r>
      <w:r>
        <w:rPr>
          <w:rFonts w:ascii="Calibri" w:hAnsi="Calibri"/>
          <w:b w:val="0"/>
          <w:i w:val="0"/>
          <w:color w:val="111111"/>
          <w:sz w:val="22"/>
        </w:rPr>
        <w:t>Results must be labeled research estimates until model validation, data controls, governance, and permitted-use approvals are complete.</w:t>
      </w:r>
    </w:p>
    <w:p>
      <w:pPr>
        <w:pStyle w:val="Heading1"/>
        <w:keepNext/>
      </w:pPr>
      <w:r>
        <w:t>3. Modeling unit and portfolio segmentation</w:t>
      </w:r>
    </w:p>
    <w:p>
      <w:pPr>
        <w:pStyle w:val="Heading2"/>
        <w:keepNext/>
      </w:pPr>
      <w:r>
        <w:t>3.1 Observation grain</w:t>
      </w:r>
    </w:p>
    <w:p>
      <w:r>
        <w:t>The preferred observation is one loan-property-quarter. A loan secured by multiple properties should be represented through documented allocation rules or retained at loan-quarter grain with collateral-pool features. A property supporting multiple loans should retain lien position and allocated value. Duplicate economic exposure must not be introduced through joins.</w:t>
      </w:r>
    </w:p>
    <w:p>
      <w:pPr>
        <w:pStyle w:val="Heading2"/>
        <w:keepNext/>
      </w:pPr>
      <w:r>
        <w:t>3.2 Minimum keys</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trPr>
        <w:tc>
          <w:tcPr>
            <w:tcW w:type="dxa" w:w="1700"/>
            <w:shd w:fill="F2F4F7"/>
            <w:tcMar>
              <w:top w:w="80" w:type="dxa"/>
              <w:start w:w="120" w:type="dxa"/>
              <w:bottom w:w="80" w:type="dxa"/>
              <w:end w:w="120" w:type="dxa"/>
            </w:tcMar>
            <w:vAlign w:val="center"/>
          </w:tcPr>
          <w:p>
            <w:pPr>
              <w:spacing w:after="0"/>
            </w:pPr>
            <w:r>
              <w:rPr>
                <w:rFonts w:ascii="Calibri" w:hAnsi="Calibri"/>
                <w:b/>
                <w:i w:val="0"/>
                <w:color w:val="17365D"/>
                <w:sz w:val="19"/>
              </w:rPr>
              <w:t>Key</w:t>
            </w:r>
          </w:p>
        </w:tc>
        <w:tc>
          <w:tcPr>
            <w:tcW w:type="dxa" w:w="3000"/>
            <w:shd w:fill="F2F4F7"/>
            <w:tcMar>
              <w:top w:w="80" w:type="dxa"/>
              <w:start w:w="120" w:type="dxa"/>
              <w:bottom w:w="80" w:type="dxa"/>
              <w:end w:w="120" w:type="dxa"/>
            </w:tcMar>
            <w:vAlign w:val="center"/>
          </w:tcPr>
          <w:p>
            <w:pPr>
              <w:spacing w:after="0"/>
            </w:pPr>
            <w:r>
              <w:rPr>
                <w:rFonts w:ascii="Calibri" w:hAnsi="Calibri"/>
                <w:b/>
                <w:i w:val="0"/>
                <w:color w:val="17365D"/>
                <w:sz w:val="19"/>
              </w:rPr>
              <w:t>Purpose</w:t>
            </w:r>
          </w:p>
        </w:tc>
        <w:tc>
          <w:tcPr>
            <w:tcW w:type="dxa" w:w="4660"/>
            <w:shd w:fill="F2F4F7"/>
            <w:tcMar>
              <w:top w:w="80" w:type="dxa"/>
              <w:start w:w="120" w:type="dxa"/>
              <w:bottom w:w="80" w:type="dxa"/>
              <w:end w:w="120" w:type="dxa"/>
            </w:tcMar>
            <w:vAlign w:val="center"/>
          </w:tcPr>
          <w:p>
            <w:pPr>
              <w:spacing w:after="0"/>
            </w:pPr>
            <w:r>
              <w:rPr>
                <w:rFonts w:ascii="Calibri" w:hAnsi="Calibri"/>
                <w:b/>
                <w:i w:val="0"/>
                <w:color w:val="17365D"/>
                <w:sz w:val="19"/>
              </w:rPr>
              <w:t>Required control</w:t>
            </w:r>
          </w:p>
        </w:tc>
      </w:tr>
      <w:tr>
        <w:tc>
          <w:tcPr>
            <w:tcW w:type="dxa" w:w="1700"/>
            <w:tcMar>
              <w:top w:w="80" w:type="dxa"/>
              <w:start w:w="120" w:type="dxa"/>
              <w:bottom w:w="80" w:type="dxa"/>
              <w:end w:w="120" w:type="dxa"/>
            </w:tcMar>
            <w:vAlign w:val="center"/>
          </w:tcPr>
          <w:p>
            <w:pPr>
              <w:spacing w:after="0"/>
            </w:pPr>
            <w:r>
              <w:rPr>
                <w:rFonts w:ascii="Calibri" w:hAnsi="Calibri"/>
                <w:b w:val="0"/>
                <w:i w:val="0"/>
                <w:color w:val="111111"/>
                <w:sz w:val="19"/>
              </w:rPr>
              <w:t>loan_id</w:t>
            </w:r>
          </w:p>
        </w:tc>
        <w:tc>
          <w:tcPr>
            <w:tcW w:type="dxa" w:w="3000"/>
            <w:tcMar>
              <w:top w:w="80" w:type="dxa"/>
              <w:start w:w="120" w:type="dxa"/>
              <w:bottom w:w="80" w:type="dxa"/>
              <w:end w:w="120" w:type="dxa"/>
            </w:tcMar>
            <w:vAlign w:val="center"/>
          </w:tcPr>
          <w:p>
            <w:pPr>
              <w:spacing w:after="0"/>
            </w:pPr>
            <w:r>
              <w:rPr>
                <w:rFonts w:ascii="Calibri" w:hAnsi="Calibri"/>
                <w:b w:val="0"/>
                <w:i w:val="0"/>
                <w:color w:val="111111"/>
                <w:sz w:val="19"/>
              </w:rPr>
              <w:t>Stable exposure identifier</w:t>
            </w:r>
          </w:p>
        </w:tc>
        <w:tc>
          <w:tcPr>
            <w:tcW w:type="dxa" w:w="4660"/>
            <w:tcMar>
              <w:top w:w="80" w:type="dxa"/>
              <w:start w:w="120" w:type="dxa"/>
              <w:bottom w:w="80" w:type="dxa"/>
              <w:end w:w="120" w:type="dxa"/>
            </w:tcMar>
            <w:vAlign w:val="center"/>
          </w:tcPr>
          <w:p>
            <w:pPr>
              <w:spacing w:after="0"/>
            </w:pPr>
            <w:r>
              <w:rPr>
                <w:rFonts w:ascii="Calibri" w:hAnsi="Calibri"/>
                <w:b w:val="0"/>
                <w:i w:val="0"/>
                <w:color w:val="111111"/>
                <w:sz w:val="19"/>
              </w:rPr>
              <w:t>Unique within source and mapped across reporting periods</w:t>
            </w:r>
          </w:p>
        </w:tc>
      </w:tr>
      <w:tr>
        <w:tc>
          <w:tcPr>
            <w:tcW w:type="dxa" w:w="1700"/>
            <w:tcMar>
              <w:top w:w="80" w:type="dxa"/>
              <w:start w:w="120" w:type="dxa"/>
              <w:bottom w:w="80" w:type="dxa"/>
              <w:end w:w="120" w:type="dxa"/>
            </w:tcMar>
            <w:vAlign w:val="center"/>
          </w:tcPr>
          <w:p>
            <w:pPr>
              <w:spacing w:after="0"/>
            </w:pPr>
            <w:r>
              <w:rPr>
                <w:rFonts w:ascii="Calibri" w:hAnsi="Calibri"/>
                <w:b w:val="0"/>
                <w:i w:val="0"/>
                <w:color w:val="111111"/>
                <w:sz w:val="19"/>
              </w:rPr>
              <w:t>property_id</w:t>
            </w:r>
          </w:p>
        </w:tc>
        <w:tc>
          <w:tcPr>
            <w:tcW w:type="dxa" w:w="3000"/>
            <w:tcMar>
              <w:top w:w="80" w:type="dxa"/>
              <w:start w:w="120" w:type="dxa"/>
              <w:bottom w:w="80" w:type="dxa"/>
              <w:end w:w="120" w:type="dxa"/>
            </w:tcMar>
            <w:vAlign w:val="center"/>
          </w:tcPr>
          <w:p>
            <w:pPr>
              <w:spacing w:after="0"/>
            </w:pPr>
            <w:r>
              <w:rPr>
                <w:rFonts w:ascii="Calibri" w:hAnsi="Calibri"/>
                <w:b w:val="0"/>
                <w:i w:val="0"/>
                <w:color w:val="111111"/>
                <w:sz w:val="19"/>
              </w:rPr>
              <w:t>Stable collateral identifier</w:t>
            </w:r>
          </w:p>
        </w:tc>
        <w:tc>
          <w:tcPr>
            <w:tcW w:type="dxa" w:w="4660"/>
            <w:tcMar>
              <w:top w:w="80" w:type="dxa"/>
              <w:start w:w="120" w:type="dxa"/>
              <w:bottom w:w="80" w:type="dxa"/>
              <w:end w:w="120" w:type="dxa"/>
            </w:tcMar>
            <w:vAlign w:val="center"/>
          </w:tcPr>
          <w:p>
            <w:pPr>
              <w:spacing w:after="0"/>
            </w:pPr>
            <w:r>
              <w:rPr>
                <w:rFonts w:ascii="Calibri" w:hAnsi="Calibri"/>
                <w:b w:val="0"/>
                <w:i w:val="0"/>
                <w:color w:val="111111"/>
                <w:sz w:val="19"/>
              </w:rPr>
              <w:t>Supports multi-loan and multi-property relationships</w:t>
            </w:r>
          </w:p>
        </w:tc>
      </w:tr>
      <w:tr>
        <w:tc>
          <w:tcPr>
            <w:tcW w:type="dxa" w:w="1700"/>
            <w:tcMar>
              <w:top w:w="80" w:type="dxa"/>
              <w:start w:w="120" w:type="dxa"/>
              <w:bottom w:w="80" w:type="dxa"/>
              <w:end w:w="120" w:type="dxa"/>
            </w:tcMar>
            <w:vAlign w:val="center"/>
          </w:tcPr>
          <w:p>
            <w:pPr>
              <w:spacing w:after="0"/>
            </w:pPr>
            <w:r>
              <w:rPr>
                <w:rFonts w:ascii="Calibri" w:hAnsi="Calibri"/>
                <w:b w:val="0"/>
                <w:i w:val="0"/>
                <w:color w:val="111111"/>
                <w:sz w:val="19"/>
              </w:rPr>
              <w:t>reporting_date</w:t>
            </w:r>
          </w:p>
        </w:tc>
        <w:tc>
          <w:tcPr>
            <w:tcW w:type="dxa" w:w="3000"/>
            <w:tcMar>
              <w:top w:w="80" w:type="dxa"/>
              <w:start w:w="120" w:type="dxa"/>
              <w:bottom w:w="80" w:type="dxa"/>
              <w:end w:w="120" w:type="dxa"/>
            </w:tcMar>
            <w:vAlign w:val="center"/>
          </w:tcPr>
          <w:p>
            <w:pPr>
              <w:spacing w:after="0"/>
            </w:pPr>
            <w:r>
              <w:rPr>
                <w:rFonts w:ascii="Calibri" w:hAnsi="Calibri"/>
                <w:b w:val="0"/>
                <w:i w:val="0"/>
                <w:color w:val="111111"/>
                <w:sz w:val="19"/>
              </w:rPr>
              <w:t>Observation timestamp</w:t>
            </w:r>
          </w:p>
        </w:tc>
        <w:tc>
          <w:tcPr>
            <w:tcW w:type="dxa" w:w="4660"/>
            <w:tcMar>
              <w:top w:w="80" w:type="dxa"/>
              <w:start w:w="120" w:type="dxa"/>
              <w:bottom w:w="80" w:type="dxa"/>
              <w:end w:w="120" w:type="dxa"/>
            </w:tcMar>
            <w:vAlign w:val="center"/>
          </w:tcPr>
          <w:p>
            <w:pPr>
              <w:spacing w:after="0"/>
            </w:pPr>
            <w:r>
              <w:rPr>
                <w:rFonts w:ascii="Calibri" w:hAnsi="Calibri"/>
                <w:b w:val="0"/>
                <w:i w:val="0"/>
                <w:color w:val="111111"/>
                <w:sz w:val="19"/>
              </w:rPr>
              <w:t>Quarter-end normalization and no future joins</w:t>
            </w:r>
          </w:p>
        </w:tc>
      </w:tr>
      <w:tr>
        <w:tc>
          <w:tcPr>
            <w:tcW w:type="dxa" w:w="1700"/>
            <w:tcMar>
              <w:top w:w="80" w:type="dxa"/>
              <w:start w:w="120" w:type="dxa"/>
              <w:bottom w:w="80" w:type="dxa"/>
              <w:end w:w="120" w:type="dxa"/>
            </w:tcMar>
            <w:vAlign w:val="center"/>
          </w:tcPr>
          <w:p>
            <w:pPr>
              <w:spacing w:after="0"/>
            </w:pPr>
            <w:r>
              <w:rPr>
                <w:rFonts w:ascii="Calibri" w:hAnsi="Calibri"/>
                <w:b w:val="0"/>
                <w:i w:val="0"/>
                <w:color w:val="111111"/>
                <w:sz w:val="19"/>
              </w:rPr>
              <w:t>source_system</w:t>
            </w:r>
          </w:p>
        </w:tc>
        <w:tc>
          <w:tcPr>
            <w:tcW w:type="dxa" w:w="3000"/>
            <w:tcMar>
              <w:top w:w="80" w:type="dxa"/>
              <w:start w:w="120" w:type="dxa"/>
              <w:bottom w:w="80" w:type="dxa"/>
              <w:end w:w="120" w:type="dxa"/>
            </w:tcMar>
            <w:vAlign w:val="center"/>
          </w:tcPr>
          <w:p>
            <w:pPr>
              <w:spacing w:after="0"/>
            </w:pPr>
            <w:r>
              <w:rPr>
                <w:rFonts w:ascii="Calibri" w:hAnsi="Calibri"/>
                <w:b w:val="0"/>
                <w:i w:val="0"/>
                <w:color w:val="111111"/>
                <w:sz w:val="19"/>
              </w:rPr>
              <w:t>Lineage</w:t>
            </w:r>
          </w:p>
        </w:tc>
        <w:tc>
          <w:tcPr>
            <w:tcW w:type="dxa" w:w="4660"/>
            <w:tcMar>
              <w:top w:w="80" w:type="dxa"/>
              <w:start w:w="120" w:type="dxa"/>
              <w:bottom w:w="80" w:type="dxa"/>
              <w:end w:w="120" w:type="dxa"/>
            </w:tcMar>
            <w:vAlign w:val="center"/>
          </w:tcPr>
          <w:p>
            <w:pPr>
              <w:spacing w:after="0"/>
            </w:pPr>
            <w:r>
              <w:rPr>
                <w:rFonts w:ascii="Calibri" w:hAnsi="Calibri"/>
                <w:b w:val="0"/>
                <w:i w:val="0"/>
                <w:color w:val="111111"/>
                <w:sz w:val="19"/>
              </w:rPr>
              <w:t>Preserved from landing through reporting</w:t>
            </w:r>
          </w:p>
        </w:tc>
      </w:tr>
      <w:tr>
        <w:tc>
          <w:tcPr>
            <w:tcW w:type="dxa" w:w="1700"/>
            <w:tcMar>
              <w:top w:w="80" w:type="dxa"/>
              <w:start w:w="120" w:type="dxa"/>
              <w:bottom w:w="80" w:type="dxa"/>
              <w:end w:w="120" w:type="dxa"/>
            </w:tcMar>
            <w:vAlign w:val="center"/>
          </w:tcPr>
          <w:p>
            <w:pPr>
              <w:spacing w:after="0"/>
            </w:pPr>
            <w:r>
              <w:rPr>
                <w:rFonts w:ascii="Calibri" w:hAnsi="Calibri"/>
                <w:b w:val="0"/>
                <w:i w:val="0"/>
                <w:color w:val="111111"/>
                <w:sz w:val="19"/>
              </w:rPr>
              <w:t>record_version</w:t>
            </w:r>
          </w:p>
        </w:tc>
        <w:tc>
          <w:tcPr>
            <w:tcW w:type="dxa" w:w="3000"/>
            <w:tcMar>
              <w:top w:w="80" w:type="dxa"/>
              <w:start w:w="120" w:type="dxa"/>
              <w:bottom w:w="80" w:type="dxa"/>
              <w:end w:w="120" w:type="dxa"/>
            </w:tcMar>
            <w:vAlign w:val="center"/>
          </w:tcPr>
          <w:p>
            <w:pPr>
              <w:spacing w:after="0"/>
            </w:pPr>
            <w:r>
              <w:rPr>
                <w:rFonts w:ascii="Calibri" w:hAnsi="Calibri"/>
                <w:b w:val="0"/>
                <w:i w:val="0"/>
                <w:color w:val="111111"/>
                <w:sz w:val="19"/>
              </w:rPr>
              <w:t>Restatement handling</w:t>
            </w:r>
          </w:p>
        </w:tc>
        <w:tc>
          <w:tcPr>
            <w:tcW w:type="dxa" w:w="4660"/>
            <w:tcMar>
              <w:top w:w="80" w:type="dxa"/>
              <w:start w:w="120" w:type="dxa"/>
              <w:bottom w:w="80" w:type="dxa"/>
              <w:end w:w="120" w:type="dxa"/>
            </w:tcMar>
            <w:vAlign w:val="center"/>
          </w:tcPr>
          <w:p>
            <w:pPr>
              <w:spacing w:after="0"/>
            </w:pPr>
            <w:r>
              <w:rPr>
                <w:rFonts w:ascii="Calibri" w:hAnsi="Calibri"/>
                <w:b w:val="0"/>
                <w:i w:val="0"/>
                <w:color w:val="111111"/>
                <w:sz w:val="19"/>
              </w:rPr>
              <w:t>Latest-valid rule with prior versions retained</w:t>
            </w:r>
          </w:p>
        </w:tc>
      </w:tr>
    </w:tbl>
    <w:p>
      <w:pPr>
        <w:pStyle w:val="Heading2"/>
        <w:keepNext/>
      </w:pPr>
      <w:r>
        <w:t>3.3 Segmentation</w:t>
      </w:r>
    </w:p>
    <w:p>
      <w:r>
        <w:t>Core segmentation should be explicit and stable enough for monitoring:</w:t>
      </w:r>
    </w:p>
    <w:p>
      <w:pPr>
        <w:pStyle w:val="ListBullet"/>
      </w:pPr>
      <w:r>
        <w:t>Property type: office, retail, multifamily, industrial, hotel, healthcare, self-storage, mixed-use, and other.</w:t>
      </w:r>
    </w:p>
    <w:p>
      <w:pPr>
        <w:pStyle w:val="ListBullet"/>
      </w:pPr>
      <w:r>
        <w:t>Geography: metropolitan area where reliable; otherwise state, Census division, or liquidity tier.</w:t>
      </w:r>
    </w:p>
    <w:p>
      <w:pPr>
        <w:pStyle w:val="ListBullet"/>
      </w:pPr>
      <w:r>
        <w:t>Loan structure: fixed/floating, amortizing/interest-only, balloon, recourse, lien position, construction/stabilized.</w:t>
      </w:r>
    </w:p>
    <w:p>
      <w:pPr>
        <w:pStyle w:val="ListBullet"/>
      </w:pPr>
      <w:r>
        <w:t>Risk state: current, watchlist, delinquent, nonaccrual, modified, defaulted, workout, resolved.</w:t>
      </w:r>
    </w:p>
    <w:p>
      <w:pPr>
        <w:pStyle w:val="ListBullet"/>
      </w:pPr>
      <w:r>
        <w:t>Vintage and horizon: origination cohort, remaining term, maturity concentration, and refinance window.</w:t>
      </w:r>
    </w:p>
    <w:p>
      <w:pPr>
        <w:pStyle w:val="Heading1"/>
        <w:keepNext/>
      </w:pPr>
      <w:r>
        <w:t>4. Data architecture</w:t>
      </w:r>
    </w:p>
    <w:p>
      <w:pPr>
        <w:pStyle w:val="Heading2"/>
        <w:keepNext/>
      </w:pPr>
      <w:r>
        <w:t>4.1 Data layers</w:t>
      </w:r>
    </w:p>
    <w:p>
      <w:pPr>
        <w:pStyle w:val="ListNumber"/>
      </w:pPr>
      <w:r>
        <w:t>Raw: immutable source extracts plus retrieval date, URL, license, checksum, and schema snapshot.</w:t>
      </w:r>
    </w:p>
    <w:p>
      <w:pPr>
        <w:pStyle w:val="ListNumber"/>
      </w:pPr>
      <w:r>
        <w:t>Interim: normalized dates, identifiers, units, categories, and source-specific quality flags.</w:t>
      </w:r>
    </w:p>
    <w:p>
      <w:pPr>
        <w:pStyle w:val="ListNumber"/>
      </w:pPr>
      <w:r>
        <w:t>Processed: point-in-time loan-property-quarter model table and separately versioned targets.</w:t>
      </w:r>
    </w:p>
    <w:p>
      <w:pPr>
        <w:pStyle w:val="ListNumber"/>
      </w:pPr>
      <w:r>
        <w:t>Outputs: predictions, scenarios, diagnostics, aggregations, and run manifests.</w:t>
      </w:r>
    </w:p>
    <w:p>
      <w:pPr>
        <w:pStyle w:val="Heading2"/>
        <w:keepNext/>
      </w:pPr>
      <w:r>
        <w:t>4.2 Candidate public-data families</w:t>
      </w:r>
    </w:p>
    <w:tbl>
      <w:tblPr>
        <w:tblStyle w:val="TableGrid"/>
        <w:tblW w:type="dxa" w:w="9360"/>
        <w:jc w:val="left"/>
        <w:tblLayout w:type="fixed"/>
        <w:tblLook w:firstColumn="1" w:firstRow="1" w:lastColumn="0" w:lastRow="0" w:noHBand="0" w:noVBand="1" w:val="04A0"/>
        <w:tblInd w:w="120" w:type="dxa"/>
      </w:tblPr>
      <w:tblGrid>
        <w:gridCol w:w="2100"/>
        <w:gridCol w:w="3400"/>
        <w:gridCol w:w="3860"/>
      </w:tblGrid>
      <w:tr>
        <w:trPr>
          <w:tblHeader/>
        </w:trPr>
        <w:tc>
          <w:tcPr>
            <w:tcW w:type="dxa" w:w="2100"/>
            <w:shd w:fill="F2F4F7"/>
            <w:tcMar>
              <w:top w:w="80" w:type="dxa"/>
              <w:start w:w="120" w:type="dxa"/>
              <w:bottom w:w="80" w:type="dxa"/>
              <w:end w:w="120" w:type="dxa"/>
            </w:tcMar>
            <w:vAlign w:val="center"/>
          </w:tcPr>
          <w:p>
            <w:pPr>
              <w:spacing w:after="0"/>
            </w:pPr>
            <w:r>
              <w:rPr>
                <w:rFonts w:ascii="Calibri" w:hAnsi="Calibri"/>
                <w:b/>
                <w:i w:val="0"/>
                <w:color w:val="17365D"/>
                <w:sz w:val="19"/>
              </w:rPr>
              <w:t>Data family</w:t>
            </w:r>
          </w:p>
        </w:tc>
        <w:tc>
          <w:tcPr>
            <w:tcW w:type="dxa" w:w="3400"/>
            <w:shd w:fill="F2F4F7"/>
            <w:tcMar>
              <w:top w:w="80" w:type="dxa"/>
              <w:start w:w="120" w:type="dxa"/>
              <w:bottom w:w="80" w:type="dxa"/>
              <w:end w:w="120" w:type="dxa"/>
            </w:tcMar>
            <w:vAlign w:val="center"/>
          </w:tcPr>
          <w:p>
            <w:pPr>
              <w:spacing w:after="0"/>
            </w:pPr>
            <w:r>
              <w:rPr>
                <w:rFonts w:ascii="Calibri" w:hAnsi="Calibri"/>
                <w:b/>
                <w:i w:val="0"/>
                <w:color w:val="17365D"/>
                <w:sz w:val="19"/>
              </w:rPr>
              <w:t>Illustrative use</w:t>
            </w:r>
          </w:p>
        </w:tc>
        <w:tc>
          <w:tcPr>
            <w:tcW w:type="dxa" w:w="3860"/>
            <w:shd w:fill="F2F4F7"/>
            <w:tcMar>
              <w:top w:w="80" w:type="dxa"/>
              <w:start w:w="120" w:type="dxa"/>
              <w:bottom w:w="80" w:type="dxa"/>
              <w:end w:w="120" w:type="dxa"/>
            </w:tcMar>
            <w:vAlign w:val="center"/>
          </w:tcPr>
          <w:p>
            <w:pPr>
              <w:spacing w:after="0"/>
            </w:pPr>
            <w:r>
              <w:rPr>
                <w:rFonts w:ascii="Calibri" w:hAnsi="Calibri"/>
                <w:b/>
                <w:i w:val="0"/>
                <w:color w:val="17365D"/>
                <w:sz w:val="19"/>
              </w:rPr>
              <w:t>Primary limitation</w:t>
            </w:r>
          </w:p>
        </w:tc>
      </w:tr>
      <w:tr>
        <w:tc>
          <w:tcPr>
            <w:tcW w:type="dxa" w:w="2100"/>
            <w:tcMar>
              <w:top w:w="80" w:type="dxa"/>
              <w:start w:w="120" w:type="dxa"/>
              <w:bottom w:w="80" w:type="dxa"/>
              <w:end w:w="120" w:type="dxa"/>
            </w:tcMar>
            <w:vAlign w:val="center"/>
          </w:tcPr>
          <w:p>
            <w:pPr>
              <w:spacing w:after="0"/>
            </w:pPr>
            <w:r>
              <w:rPr>
                <w:rFonts w:ascii="Calibri" w:hAnsi="Calibri"/>
                <w:b w:val="0"/>
                <w:i w:val="0"/>
                <w:color w:val="111111"/>
                <w:sz w:val="19"/>
              </w:rPr>
              <w:t>Public CMBS disclosures</w:t>
            </w:r>
          </w:p>
        </w:tc>
        <w:tc>
          <w:tcPr>
            <w:tcW w:type="dxa" w:w="3400"/>
            <w:tcMar>
              <w:top w:w="80" w:type="dxa"/>
              <w:start w:w="120" w:type="dxa"/>
              <w:bottom w:w="80" w:type="dxa"/>
              <w:end w:w="120" w:type="dxa"/>
            </w:tcMar>
            <w:vAlign w:val="center"/>
          </w:tcPr>
          <w:p>
            <w:pPr>
              <w:spacing w:after="0"/>
            </w:pPr>
            <w:r>
              <w:rPr>
                <w:rFonts w:ascii="Calibri" w:hAnsi="Calibri"/>
                <w:b w:val="0"/>
                <w:i w:val="0"/>
                <w:color w:val="111111"/>
                <w:sz w:val="19"/>
              </w:rPr>
              <w:t>Loan, property, performance, maturity, delinquency, and workout evidence</w:t>
            </w:r>
          </w:p>
        </w:tc>
        <w:tc>
          <w:tcPr>
            <w:tcW w:type="dxa" w:w="3860"/>
            <w:tcMar>
              <w:top w:w="80" w:type="dxa"/>
              <w:start w:w="120" w:type="dxa"/>
              <w:bottom w:w="80" w:type="dxa"/>
              <w:end w:w="120" w:type="dxa"/>
            </w:tcMar>
            <w:vAlign w:val="center"/>
          </w:tcPr>
          <w:p>
            <w:pPr>
              <w:spacing w:after="0"/>
            </w:pPr>
            <w:r>
              <w:rPr>
                <w:rFonts w:ascii="Calibri" w:hAnsi="Calibri"/>
                <w:b w:val="0"/>
                <w:i w:val="0"/>
                <w:color w:val="111111"/>
                <w:sz w:val="19"/>
              </w:rPr>
              <w:t>Coverage and field consistency vary by deal and reporting period</w:t>
            </w:r>
          </w:p>
        </w:tc>
      </w:tr>
      <w:tr>
        <w:tc>
          <w:tcPr>
            <w:tcW w:type="dxa" w:w="2100"/>
            <w:tcMar>
              <w:top w:w="80" w:type="dxa"/>
              <w:start w:w="120" w:type="dxa"/>
              <w:bottom w:w="80" w:type="dxa"/>
              <w:end w:w="120" w:type="dxa"/>
            </w:tcMar>
            <w:vAlign w:val="center"/>
          </w:tcPr>
          <w:p>
            <w:pPr>
              <w:spacing w:after="0"/>
            </w:pPr>
            <w:r>
              <w:rPr>
                <w:rFonts w:ascii="Calibri" w:hAnsi="Calibri"/>
                <w:b w:val="0"/>
                <w:i w:val="0"/>
                <w:color w:val="111111"/>
                <w:sz w:val="19"/>
              </w:rPr>
              <w:t>Regulatory bank data</w:t>
            </w:r>
          </w:p>
        </w:tc>
        <w:tc>
          <w:tcPr>
            <w:tcW w:type="dxa" w:w="3400"/>
            <w:tcMar>
              <w:top w:w="80" w:type="dxa"/>
              <w:start w:w="120" w:type="dxa"/>
              <w:bottom w:w="80" w:type="dxa"/>
              <w:end w:w="120" w:type="dxa"/>
            </w:tcMar>
            <w:vAlign w:val="center"/>
          </w:tcPr>
          <w:p>
            <w:pPr>
              <w:spacing w:after="0"/>
            </w:pPr>
            <w:r>
              <w:rPr>
                <w:rFonts w:ascii="Calibri" w:hAnsi="Calibri"/>
                <w:b w:val="0"/>
                <w:i w:val="0"/>
                <w:color w:val="111111"/>
                <w:sz w:val="19"/>
              </w:rPr>
              <w:t>Portfolio benchmarks, charge-offs, delinquency, and concentration context</w:t>
            </w:r>
          </w:p>
        </w:tc>
        <w:tc>
          <w:tcPr>
            <w:tcW w:type="dxa" w:w="3860"/>
            <w:tcMar>
              <w:top w:w="80" w:type="dxa"/>
              <w:start w:w="120" w:type="dxa"/>
              <w:bottom w:w="80" w:type="dxa"/>
              <w:end w:w="120" w:type="dxa"/>
            </w:tcMar>
            <w:vAlign w:val="center"/>
          </w:tcPr>
          <w:p>
            <w:pPr>
              <w:spacing w:after="0"/>
            </w:pPr>
            <w:r>
              <w:rPr>
                <w:rFonts w:ascii="Calibri" w:hAnsi="Calibri"/>
                <w:b w:val="0"/>
                <w:i w:val="0"/>
                <w:color w:val="111111"/>
                <w:sz w:val="19"/>
              </w:rPr>
              <w:t>Usually aggregated rather than loan level</w:t>
            </w:r>
          </w:p>
        </w:tc>
      </w:tr>
      <w:tr>
        <w:tc>
          <w:tcPr>
            <w:tcW w:type="dxa" w:w="2100"/>
            <w:tcMar>
              <w:top w:w="80" w:type="dxa"/>
              <w:start w:w="120" w:type="dxa"/>
              <w:bottom w:w="80" w:type="dxa"/>
              <w:end w:w="120" w:type="dxa"/>
            </w:tcMar>
            <w:vAlign w:val="center"/>
          </w:tcPr>
          <w:p>
            <w:pPr>
              <w:spacing w:after="0"/>
            </w:pPr>
            <w:r>
              <w:rPr>
                <w:rFonts w:ascii="Calibri" w:hAnsi="Calibri"/>
                <w:b w:val="0"/>
                <w:i w:val="0"/>
                <w:color w:val="111111"/>
                <w:sz w:val="19"/>
              </w:rPr>
              <w:t>Macroeconomic series</w:t>
            </w:r>
          </w:p>
        </w:tc>
        <w:tc>
          <w:tcPr>
            <w:tcW w:type="dxa" w:w="3400"/>
            <w:tcMar>
              <w:top w:w="80" w:type="dxa"/>
              <w:start w:w="120" w:type="dxa"/>
              <w:bottom w:w="80" w:type="dxa"/>
              <w:end w:w="120" w:type="dxa"/>
            </w:tcMar>
            <w:vAlign w:val="center"/>
          </w:tcPr>
          <w:p>
            <w:pPr>
              <w:spacing w:after="0"/>
            </w:pPr>
            <w:r>
              <w:rPr>
                <w:rFonts w:ascii="Calibri" w:hAnsi="Calibri"/>
                <w:b w:val="0"/>
                <w:i w:val="0"/>
                <w:color w:val="111111"/>
                <w:sz w:val="19"/>
              </w:rPr>
              <w:t>Rates, unemployment, inflation, output, and scenario drivers</w:t>
            </w:r>
          </w:p>
        </w:tc>
        <w:tc>
          <w:tcPr>
            <w:tcW w:type="dxa" w:w="3860"/>
            <w:tcMar>
              <w:top w:w="80" w:type="dxa"/>
              <w:start w:w="120" w:type="dxa"/>
              <w:bottom w:w="80" w:type="dxa"/>
              <w:end w:w="120" w:type="dxa"/>
            </w:tcMar>
            <w:vAlign w:val="center"/>
          </w:tcPr>
          <w:p>
            <w:pPr>
              <w:spacing w:after="0"/>
            </w:pPr>
            <w:r>
              <w:rPr>
                <w:rFonts w:ascii="Calibri" w:hAnsi="Calibri"/>
                <w:b w:val="0"/>
                <w:i w:val="0"/>
                <w:color w:val="111111"/>
                <w:sz w:val="19"/>
              </w:rPr>
              <w:t>National series may be weak proxies for local CRE conditions</w:t>
            </w:r>
          </w:p>
        </w:tc>
      </w:tr>
      <w:tr>
        <w:tc>
          <w:tcPr>
            <w:tcW w:type="dxa" w:w="2100"/>
            <w:tcMar>
              <w:top w:w="80" w:type="dxa"/>
              <w:start w:w="120" w:type="dxa"/>
              <w:bottom w:w="80" w:type="dxa"/>
              <w:end w:w="120" w:type="dxa"/>
            </w:tcMar>
            <w:vAlign w:val="center"/>
          </w:tcPr>
          <w:p>
            <w:pPr>
              <w:spacing w:after="0"/>
            </w:pPr>
            <w:r>
              <w:rPr>
                <w:rFonts w:ascii="Calibri" w:hAnsi="Calibri"/>
                <w:b w:val="0"/>
                <w:i w:val="0"/>
                <w:color w:val="111111"/>
                <w:sz w:val="19"/>
              </w:rPr>
              <w:t>Property-market series</w:t>
            </w:r>
          </w:p>
        </w:tc>
        <w:tc>
          <w:tcPr>
            <w:tcW w:type="dxa" w:w="3400"/>
            <w:tcMar>
              <w:top w:w="80" w:type="dxa"/>
              <w:start w:w="120" w:type="dxa"/>
              <w:bottom w:w="80" w:type="dxa"/>
              <w:end w:w="120" w:type="dxa"/>
            </w:tcMar>
            <w:vAlign w:val="center"/>
          </w:tcPr>
          <w:p>
            <w:pPr>
              <w:spacing w:after="0"/>
            </w:pPr>
            <w:r>
              <w:rPr>
                <w:rFonts w:ascii="Calibri" w:hAnsi="Calibri"/>
                <w:b w:val="0"/>
                <w:i w:val="0"/>
                <w:color w:val="111111"/>
                <w:sz w:val="19"/>
              </w:rPr>
              <w:t>Rents, vacancy, cap rates, prices, permits, and transaction liquidity</w:t>
            </w:r>
          </w:p>
        </w:tc>
        <w:tc>
          <w:tcPr>
            <w:tcW w:type="dxa" w:w="3860"/>
            <w:tcMar>
              <w:top w:w="80" w:type="dxa"/>
              <w:start w:w="120" w:type="dxa"/>
              <w:bottom w:w="80" w:type="dxa"/>
              <w:end w:w="120" w:type="dxa"/>
            </w:tcMar>
            <w:vAlign w:val="center"/>
          </w:tcPr>
          <w:p>
            <w:pPr>
              <w:spacing w:after="0"/>
            </w:pPr>
            <w:r>
              <w:rPr>
                <w:rFonts w:ascii="Calibri" w:hAnsi="Calibri"/>
                <w:b w:val="0"/>
                <w:i w:val="0"/>
                <w:color w:val="111111"/>
                <w:sz w:val="19"/>
              </w:rPr>
              <w:t>Licensing, coverage, and methodology can differ materially</w:t>
            </w:r>
          </w:p>
        </w:tc>
      </w:tr>
      <w:tr>
        <w:tc>
          <w:tcPr>
            <w:tcW w:type="dxa" w:w="2100"/>
            <w:tcMar>
              <w:top w:w="80" w:type="dxa"/>
              <w:start w:w="120" w:type="dxa"/>
              <w:bottom w:w="80" w:type="dxa"/>
              <w:end w:w="120" w:type="dxa"/>
            </w:tcMar>
            <w:vAlign w:val="center"/>
          </w:tcPr>
          <w:p>
            <w:pPr>
              <w:spacing w:after="0"/>
            </w:pPr>
            <w:r>
              <w:rPr>
                <w:rFonts w:ascii="Calibri" w:hAnsi="Calibri"/>
                <w:b w:val="0"/>
                <w:i w:val="0"/>
                <w:color w:val="111111"/>
                <w:sz w:val="19"/>
              </w:rPr>
              <w:t>Geographic reference data</w:t>
            </w:r>
          </w:p>
        </w:tc>
        <w:tc>
          <w:tcPr>
            <w:tcW w:type="dxa" w:w="3400"/>
            <w:tcMar>
              <w:top w:w="80" w:type="dxa"/>
              <w:start w:w="120" w:type="dxa"/>
              <w:bottom w:w="80" w:type="dxa"/>
              <w:end w:w="120" w:type="dxa"/>
            </w:tcMar>
            <w:vAlign w:val="center"/>
          </w:tcPr>
          <w:p>
            <w:pPr>
              <w:spacing w:after="0"/>
            </w:pPr>
            <w:r>
              <w:rPr>
                <w:rFonts w:ascii="Calibri" w:hAnsi="Calibri"/>
                <w:b w:val="0"/>
                <w:i w:val="0"/>
                <w:color w:val="111111"/>
                <w:sz w:val="19"/>
              </w:rPr>
              <w:t>Metro mapping, local employment, demographics, and disaster exposure</w:t>
            </w:r>
          </w:p>
        </w:tc>
        <w:tc>
          <w:tcPr>
            <w:tcW w:type="dxa" w:w="3860"/>
            <w:tcMar>
              <w:top w:w="80" w:type="dxa"/>
              <w:start w:w="120" w:type="dxa"/>
              <w:bottom w:w="80" w:type="dxa"/>
              <w:end w:w="120" w:type="dxa"/>
            </w:tcMar>
            <w:vAlign w:val="center"/>
          </w:tcPr>
          <w:p>
            <w:pPr>
              <w:spacing w:after="0"/>
            </w:pPr>
            <w:r>
              <w:rPr>
                <w:rFonts w:ascii="Calibri" w:hAnsi="Calibri"/>
                <w:b w:val="0"/>
                <w:i w:val="0"/>
                <w:color w:val="111111"/>
                <w:sz w:val="19"/>
              </w:rPr>
              <w:t>Temporal joins and boundary changes require care</w:t>
            </w:r>
          </w:p>
        </w:tc>
      </w:tr>
    </w:tbl>
    <w:p>
      <w:pPr>
        <w:pStyle w:val="Heading2"/>
        <w:keepNext/>
      </w:pPr>
      <w:r>
        <w:t>4.3 Point-in-time controls</w:t>
      </w:r>
    </w:p>
    <w:p>
      <w:pPr>
        <w:pStyle w:val="ListBullet"/>
      </w:pPr>
      <w:r>
        <w:t>Every feature must carry an availability date distinct from its economic reference date.</w:t>
      </w:r>
    </w:p>
    <w:p>
      <w:pPr>
        <w:pStyle w:val="ListBullet"/>
      </w:pPr>
      <w:r>
        <w:t>Revised macro series must be versioned or replaced by vintage data when the use case requires real-time replication.</w:t>
      </w:r>
    </w:p>
    <w:p>
      <w:pPr>
        <w:pStyle w:val="ListBullet"/>
      </w:pPr>
      <w:r>
        <w:t>Outcomes and workout cash flows must be isolated from the feature snapshot used to predict them.</w:t>
      </w:r>
    </w:p>
    <w:p>
      <w:pPr>
        <w:pStyle w:val="ListBullet"/>
      </w:pPr>
      <w:r>
        <w:t>Train, validation, and test partitions must be based on time, with entity grouping where leakage is possible.</w:t>
      </w:r>
    </w:p>
    <w:p>
      <w:pPr>
        <w:pStyle w:val="Heading1"/>
        <w:keepNext/>
      </w:pPr>
      <w:r>
        <w:t>5. Outcome definitions</w:t>
      </w:r>
    </w:p>
    <w:p>
      <w:pPr>
        <w:pStyle w:val="Heading2"/>
        <w:keepNext/>
      </w:pPr>
      <w:r>
        <w:t>5.1 Default</w:t>
      </w:r>
    </w:p>
    <w:p>
      <w:r>
        <w:t>The proposed default event is the earliest observable occurrence of a material credit failure. Candidate triggers are 90 or more days past due, nonaccrual, foreclosure, transfer to real-estate-owned status, a distressed restructuring with economic concession, or a realized credit loss. Source-specific indicators should map into one canonical event table while retaining the original trigger.</w:t>
      </w:r>
    </w:p>
    <w:p>
      <w:pPr>
        <w:pStyle w:val="Heading2"/>
        <w:keepNext/>
      </w:pPr>
      <w:r>
        <w:t>5.2 Cures and repeated defaults</w:t>
      </w:r>
    </w:p>
    <w:p>
      <w:r>
        <w:t>A cure does not erase the original default event. For first-default PD development, only the first qualifying default is used. Re-default analysis should be developed separately with an explicit cure window and risk-entry date. Technical or reporting-only delinquency reversals should be handled through documented exception rules.</w:t>
      </w:r>
    </w:p>
    <w:p>
      <w:pPr>
        <w:pStyle w:val="Heading2"/>
        <w:keepNext/>
      </w:pPr>
      <w:r>
        <w:t>5.3 LGD outcome</w:t>
      </w:r>
    </w:p>
    <w:p>
      <w:r>
        <w:t>Realized LGD should use discounted net workout cash flows from default through resolution. Recoveries include principal collections, collateral sale proceeds, guarantees, and other credit support. Costs include legal, servicing, preservation, taxes, disposition, and other directly attributable workout expenses.</w:t>
      </w:r>
    </w:p>
    <w:p>
      <w:pPr>
        <w:jc w:val="center"/>
      </w:pPr>
      <w:r>
        <w:rPr>
          <w:rFonts w:ascii="Calibri" w:hAnsi="Calibri"/>
          <w:b/>
          <w:i w:val="0"/>
          <w:color w:val="17365D"/>
          <w:sz w:val="24"/>
        </w:rPr>
        <w:t>LGD = 1 - [ present value of net recoveries / EAD at default ]</w:t>
      </w:r>
    </w:p>
    <w:p>
      <w:r>
        <w:t>Unresolved defaults must not be treated as zero loss. They require censoring-aware methods, a resolution model, or a documented conservative estimate. Recoveries above EAD may be capped or retained for analysis according to approved policy.</w:t>
      </w:r>
    </w:p>
    <w:p>
      <w:pPr>
        <w:pStyle w:val="Heading1"/>
        <w:keepNext/>
      </w:pPr>
      <w:r>
        <w:t>6. Feature framework</w:t>
      </w:r>
    </w:p>
    <w:tbl>
      <w:tblPr>
        <w:tblStyle w:val="TableGrid"/>
        <w:tblW w:type="dxa" w:w="9360"/>
        <w:jc w:val="left"/>
        <w:tblLayout w:type="fixed"/>
        <w:tblLook w:firstColumn="1" w:firstRow="1" w:lastColumn="0" w:lastRow="0" w:noHBand="0" w:noVBand="1" w:val="04A0"/>
        <w:tblInd w:w="120" w:type="dxa"/>
      </w:tblPr>
      <w:tblGrid>
        <w:gridCol w:w="1800"/>
        <w:gridCol w:w="3980"/>
        <w:gridCol w:w="3580"/>
      </w:tblGrid>
      <w:tr>
        <w:trPr>
          <w:tblHeader/>
        </w:trPr>
        <w:tc>
          <w:tcPr>
            <w:tcW w:type="dxa" w:w="1800"/>
            <w:shd w:fill="F2F4F7"/>
            <w:tcMar>
              <w:top w:w="80" w:type="dxa"/>
              <w:start w:w="120" w:type="dxa"/>
              <w:bottom w:w="80" w:type="dxa"/>
              <w:end w:w="120" w:type="dxa"/>
            </w:tcMar>
            <w:vAlign w:val="center"/>
          </w:tcPr>
          <w:p>
            <w:pPr>
              <w:spacing w:after="0"/>
            </w:pPr>
            <w:r>
              <w:rPr>
                <w:rFonts w:ascii="Calibri" w:hAnsi="Calibri"/>
                <w:b/>
                <w:i w:val="0"/>
                <w:color w:val="17365D"/>
                <w:sz w:val="19"/>
              </w:rPr>
              <w:t>Feature family</w:t>
            </w:r>
          </w:p>
        </w:tc>
        <w:tc>
          <w:tcPr>
            <w:tcW w:type="dxa" w:w="3980"/>
            <w:shd w:fill="F2F4F7"/>
            <w:tcMar>
              <w:top w:w="80" w:type="dxa"/>
              <w:start w:w="120" w:type="dxa"/>
              <w:bottom w:w="80" w:type="dxa"/>
              <w:end w:w="120" w:type="dxa"/>
            </w:tcMar>
            <w:vAlign w:val="center"/>
          </w:tcPr>
          <w:p>
            <w:pPr>
              <w:spacing w:after="0"/>
            </w:pPr>
            <w:r>
              <w:rPr>
                <w:rFonts w:ascii="Calibri" w:hAnsi="Calibri"/>
                <w:b/>
                <w:i w:val="0"/>
                <w:color w:val="17365D"/>
                <w:sz w:val="19"/>
              </w:rPr>
              <w:t>Representative variables</w:t>
            </w:r>
          </w:p>
        </w:tc>
        <w:tc>
          <w:tcPr>
            <w:tcW w:type="dxa" w:w="3580"/>
            <w:shd w:fill="F2F4F7"/>
            <w:tcMar>
              <w:top w:w="80" w:type="dxa"/>
              <w:start w:w="120" w:type="dxa"/>
              <w:bottom w:w="80" w:type="dxa"/>
              <w:end w:w="120" w:type="dxa"/>
            </w:tcMar>
            <w:vAlign w:val="center"/>
          </w:tcPr>
          <w:p>
            <w:pPr>
              <w:spacing w:after="0"/>
            </w:pPr>
            <w:r>
              <w:rPr>
                <w:rFonts w:ascii="Calibri" w:hAnsi="Calibri"/>
                <w:b/>
                <w:i w:val="0"/>
                <w:color w:val="17365D"/>
                <w:sz w:val="19"/>
              </w:rPr>
              <w:t>Main risks</w:t>
            </w:r>
          </w:p>
        </w:tc>
      </w:tr>
      <w:tr>
        <w:tc>
          <w:tcPr>
            <w:tcW w:type="dxa" w:w="1800"/>
            <w:tcMar>
              <w:top w:w="80" w:type="dxa"/>
              <w:start w:w="120" w:type="dxa"/>
              <w:bottom w:w="80" w:type="dxa"/>
              <w:end w:w="120" w:type="dxa"/>
            </w:tcMar>
            <w:vAlign w:val="center"/>
          </w:tcPr>
          <w:p>
            <w:pPr>
              <w:spacing w:after="0"/>
            </w:pPr>
            <w:r>
              <w:rPr>
                <w:rFonts w:ascii="Calibri" w:hAnsi="Calibri"/>
                <w:b w:val="0"/>
                <w:i w:val="0"/>
                <w:color w:val="111111"/>
                <w:sz w:val="19"/>
              </w:rPr>
              <w:t>Leverage</w:t>
            </w:r>
          </w:p>
        </w:tc>
        <w:tc>
          <w:tcPr>
            <w:tcW w:type="dxa" w:w="3980"/>
            <w:tcMar>
              <w:top w:w="80" w:type="dxa"/>
              <w:start w:w="120" w:type="dxa"/>
              <w:bottom w:w="80" w:type="dxa"/>
              <w:end w:w="120" w:type="dxa"/>
            </w:tcMar>
            <w:vAlign w:val="center"/>
          </w:tcPr>
          <w:p>
            <w:pPr>
              <w:spacing w:after="0"/>
            </w:pPr>
            <w:r>
              <w:rPr>
                <w:rFonts w:ascii="Calibri" w:hAnsi="Calibri"/>
                <w:b w:val="0"/>
                <w:i w:val="0"/>
                <w:color w:val="111111"/>
                <w:sz w:val="19"/>
              </w:rPr>
              <w:t>Current/origination LTV, stressed LTV, debt yield</w:t>
            </w:r>
          </w:p>
        </w:tc>
        <w:tc>
          <w:tcPr>
            <w:tcW w:type="dxa" w:w="3580"/>
            <w:tcMar>
              <w:top w:w="80" w:type="dxa"/>
              <w:start w:w="120" w:type="dxa"/>
              <w:bottom w:w="80" w:type="dxa"/>
              <w:end w:w="120" w:type="dxa"/>
            </w:tcMar>
            <w:vAlign w:val="center"/>
          </w:tcPr>
          <w:p>
            <w:pPr>
              <w:spacing w:after="0"/>
            </w:pPr>
            <w:r>
              <w:rPr>
                <w:rFonts w:ascii="Calibri" w:hAnsi="Calibri"/>
                <w:b w:val="0"/>
                <w:i w:val="0"/>
                <w:color w:val="111111"/>
                <w:sz w:val="19"/>
              </w:rPr>
              <w:t>Appraisal staleness and valuation circularity</w:t>
            </w:r>
          </w:p>
        </w:tc>
      </w:tr>
      <w:tr>
        <w:tc>
          <w:tcPr>
            <w:tcW w:type="dxa" w:w="1800"/>
            <w:tcMar>
              <w:top w:w="80" w:type="dxa"/>
              <w:start w:w="120" w:type="dxa"/>
              <w:bottom w:w="80" w:type="dxa"/>
              <w:end w:w="120" w:type="dxa"/>
            </w:tcMar>
            <w:vAlign w:val="center"/>
          </w:tcPr>
          <w:p>
            <w:pPr>
              <w:spacing w:after="0"/>
            </w:pPr>
            <w:r>
              <w:rPr>
                <w:rFonts w:ascii="Calibri" w:hAnsi="Calibri"/>
                <w:b w:val="0"/>
                <w:i w:val="0"/>
                <w:color w:val="111111"/>
                <w:sz w:val="19"/>
              </w:rPr>
              <w:t>Cash flow</w:t>
            </w:r>
          </w:p>
        </w:tc>
        <w:tc>
          <w:tcPr>
            <w:tcW w:type="dxa" w:w="3980"/>
            <w:tcMar>
              <w:top w:w="80" w:type="dxa"/>
              <w:start w:w="120" w:type="dxa"/>
              <w:bottom w:w="80" w:type="dxa"/>
              <w:end w:w="120" w:type="dxa"/>
            </w:tcMar>
            <w:vAlign w:val="center"/>
          </w:tcPr>
          <w:p>
            <w:pPr>
              <w:spacing w:after="0"/>
            </w:pPr>
            <w:r>
              <w:rPr>
                <w:rFonts w:ascii="Calibri" w:hAnsi="Calibri"/>
                <w:b w:val="0"/>
                <w:i w:val="0"/>
                <w:color w:val="111111"/>
                <w:sz w:val="19"/>
              </w:rPr>
              <w:t>NOI, DSCR, NOI growth, occupancy, rent rollover</w:t>
            </w:r>
          </w:p>
        </w:tc>
        <w:tc>
          <w:tcPr>
            <w:tcW w:type="dxa" w:w="3580"/>
            <w:tcMar>
              <w:top w:w="80" w:type="dxa"/>
              <w:start w:w="120" w:type="dxa"/>
              <w:bottom w:w="80" w:type="dxa"/>
              <w:end w:w="120" w:type="dxa"/>
            </w:tcMar>
            <w:vAlign w:val="center"/>
          </w:tcPr>
          <w:p>
            <w:pPr>
              <w:spacing w:after="0"/>
            </w:pPr>
            <w:r>
              <w:rPr>
                <w:rFonts w:ascii="Calibri" w:hAnsi="Calibri"/>
                <w:b w:val="0"/>
                <w:i w:val="0"/>
                <w:color w:val="111111"/>
                <w:sz w:val="19"/>
              </w:rPr>
              <w:t>Inconsistent definitions and annualization</w:t>
            </w:r>
          </w:p>
        </w:tc>
      </w:tr>
      <w:tr>
        <w:tc>
          <w:tcPr>
            <w:tcW w:type="dxa" w:w="1800"/>
            <w:tcMar>
              <w:top w:w="80" w:type="dxa"/>
              <w:start w:w="120" w:type="dxa"/>
              <w:bottom w:w="80" w:type="dxa"/>
              <w:end w:w="120" w:type="dxa"/>
            </w:tcMar>
            <w:vAlign w:val="center"/>
          </w:tcPr>
          <w:p>
            <w:pPr>
              <w:spacing w:after="0"/>
            </w:pPr>
            <w:r>
              <w:rPr>
                <w:rFonts w:ascii="Calibri" w:hAnsi="Calibri"/>
                <w:b w:val="0"/>
                <w:i w:val="0"/>
                <w:color w:val="111111"/>
                <w:sz w:val="19"/>
              </w:rPr>
              <w:t>Structure</w:t>
            </w:r>
          </w:p>
        </w:tc>
        <w:tc>
          <w:tcPr>
            <w:tcW w:type="dxa" w:w="3980"/>
            <w:tcMar>
              <w:top w:w="80" w:type="dxa"/>
              <w:start w:w="120" w:type="dxa"/>
              <w:bottom w:w="80" w:type="dxa"/>
              <w:end w:w="120" w:type="dxa"/>
            </w:tcMar>
            <w:vAlign w:val="center"/>
          </w:tcPr>
          <w:p>
            <w:pPr>
              <w:spacing w:after="0"/>
            </w:pPr>
            <w:r>
              <w:rPr>
                <w:rFonts w:ascii="Calibri" w:hAnsi="Calibri"/>
                <w:b w:val="0"/>
                <w:i w:val="0"/>
                <w:color w:val="111111"/>
                <w:sz w:val="19"/>
              </w:rPr>
              <w:t>Rate type, IO period, amortization, lien, recourse</w:t>
            </w:r>
          </w:p>
        </w:tc>
        <w:tc>
          <w:tcPr>
            <w:tcW w:type="dxa" w:w="3580"/>
            <w:tcMar>
              <w:top w:w="80" w:type="dxa"/>
              <w:start w:w="120" w:type="dxa"/>
              <w:bottom w:w="80" w:type="dxa"/>
              <w:end w:w="120" w:type="dxa"/>
            </w:tcMar>
            <w:vAlign w:val="center"/>
          </w:tcPr>
          <w:p>
            <w:pPr>
              <w:spacing w:after="0"/>
            </w:pPr>
            <w:r>
              <w:rPr>
                <w:rFonts w:ascii="Calibri" w:hAnsi="Calibri"/>
                <w:b w:val="0"/>
                <w:i w:val="0"/>
                <w:color w:val="111111"/>
                <w:sz w:val="19"/>
              </w:rPr>
              <w:t>Missing contractual detail</w:t>
            </w:r>
          </w:p>
        </w:tc>
      </w:tr>
      <w:tr>
        <w:tc>
          <w:tcPr>
            <w:tcW w:type="dxa" w:w="1800"/>
            <w:tcMar>
              <w:top w:w="80" w:type="dxa"/>
              <w:start w:w="120" w:type="dxa"/>
              <w:bottom w:w="80" w:type="dxa"/>
              <w:end w:w="120" w:type="dxa"/>
            </w:tcMar>
            <w:vAlign w:val="center"/>
          </w:tcPr>
          <w:p>
            <w:pPr>
              <w:spacing w:after="0"/>
            </w:pPr>
            <w:r>
              <w:rPr>
                <w:rFonts w:ascii="Calibri" w:hAnsi="Calibri"/>
                <w:b w:val="0"/>
                <w:i w:val="0"/>
                <w:color w:val="111111"/>
                <w:sz w:val="19"/>
              </w:rPr>
              <w:t>Refinance</w:t>
            </w:r>
          </w:p>
        </w:tc>
        <w:tc>
          <w:tcPr>
            <w:tcW w:type="dxa" w:w="3980"/>
            <w:tcMar>
              <w:top w:w="80" w:type="dxa"/>
              <w:start w:w="120" w:type="dxa"/>
              <w:bottom w:w="80" w:type="dxa"/>
              <w:end w:w="120" w:type="dxa"/>
            </w:tcMar>
            <w:vAlign w:val="center"/>
          </w:tcPr>
          <w:p>
            <w:pPr>
              <w:spacing w:after="0"/>
            </w:pPr>
            <w:r>
              <w:rPr>
                <w:rFonts w:ascii="Calibri" w:hAnsi="Calibri"/>
                <w:b w:val="0"/>
                <w:i w:val="0"/>
                <w:color w:val="111111"/>
                <w:sz w:val="19"/>
              </w:rPr>
              <w:t>Remaining term, balloon share, rate reset, refinance DSCR</w:t>
            </w:r>
          </w:p>
        </w:tc>
        <w:tc>
          <w:tcPr>
            <w:tcW w:type="dxa" w:w="3580"/>
            <w:tcMar>
              <w:top w:w="80" w:type="dxa"/>
              <w:start w:w="120" w:type="dxa"/>
              <w:bottom w:w="80" w:type="dxa"/>
              <w:end w:w="120" w:type="dxa"/>
            </w:tcMar>
            <w:vAlign w:val="center"/>
          </w:tcPr>
          <w:p>
            <w:pPr>
              <w:spacing w:after="0"/>
            </w:pPr>
            <w:r>
              <w:rPr>
                <w:rFonts w:ascii="Calibri" w:hAnsi="Calibri"/>
                <w:b w:val="0"/>
                <w:i w:val="0"/>
                <w:color w:val="111111"/>
                <w:sz w:val="19"/>
              </w:rPr>
              <w:t>Future-rate and proceeds assumptions</w:t>
            </w:r>
          </w:p>
        </w:tc>
      </w:tr>
      <w:tr>
        <w:tc>
          <w:tcPr>
            <w:tcW w:type="dxa" w:w="1800"/>
            <w:tcMar>
              <w:top w:w="80" w:type="dxa"/>
              <w:start w:w="120" w:type="dxa"/>
              <w:bottom w:w="80" w:type="dxa"/>
              <w:end w:w="120" w:type="dxa"/>
            </w:tcMar>
            <w:vAlign w:val="center"/>
          </w:tcPr>
          <w:p>
            <w:pPr>
              <w:spacing w:after="0"/>
            </w:pPr>
            <w:r>
              <w:rPr>
                <w:rFonts w:ascii="Calibri" w:hAnsi="Calibri"/>
                <w:b w:val="0"/>
                <w:i w:val="0"/>
                <w:color w:val="111111"/>
                <w:sz w:val="19"/>
              </w:rPr>
              <w:t>Market</w:t>
            </w:r>
          </w:p>
        </w:tc>
        <w:tc>
          <w:tcPr>
            <w:tcW w:type="dxa" w:w="3980"/>
            <w:tcMar>
              <w:top w:w="80" w:type="dxa"/>
              <w:start w:w="120" w:type="dxa"/>
              <w:bottom w:w="80" w:type="dxa"/>
              <w:end w:w="120" w:type="dxa"/>
            </w:tcMar>
            <w:vAlign w:val="center"/>
          </w:tcPr>
          <w:p>
            <w:pPr>
              <w:spacing w:after="0"/>
            </w:pPr>
            <w:r>
              <w:rPr>
                <w:rFonts w:ascii="Calibri" w:hAnsi="Calibri"/>
                <w:b w:val="0"/>
                <w:i w:val="0"/>
                <w:color w:val="111111"/>
                <w:sz w:val="19"/>
              </w:rPr>
              <w:t>Vacancy, rent growth, cap rate, price index, liquidity</w:t>
            </w:r>
          </w:p>
        </w:tc>
        <w:tc>
          <w:tcPr>
            <w:tcW w:type="dxa" w:w="3580"/>
            <w:tcMar>
              <w:top w:w="80" w:type="dxa"/>
              <w:start w:w="120" w:type="dxa"/>
              <w:bottom w:w="80" w:type="dxa"/>
              <w:end w:w="120" w:type="dxa"/>
            </w:tcMar>
            <w:vAlign w:val="center"/>
          </w:tcPr>
          <w:p>
            <w:pPr>
              <w:spacing w:after="0"/>
            </w:pPr>
            <w:r>
              <w:rPr>
                <w:rFonts w:ascii="Calibri" w:hAnsi="Calibri"/>
                <w:b w:val="0"/>
                <w:i w:val="0"/>
                <w:color w:val="111111"/>
                <w:sz w:val="19"/>
              </w:rPr>
              <w:t>Proxy geography and licensing constraints</w:t>
            </w:r>
          </w:p>
        </w:tc>
      </w:tr>
      <w:tr>
        <w:tc>
          <w:tcPr>
            <w:tcW w:type="dxa" w:w="1800"/>
            <w:tcMar>
              <w:top w:w="80" w:type="dxa"/>
              <w:start w:w="120" w:type="dxa"/>
              <w:bottom w:w="80" w:type="dxa"/>
              <w:end w:w="120" w:type="dxa"/>
            </w:tcMar>
            <w:vAlign w:val="center"/>
          </w:tcPr>
          <w:p>
            <w:pPr>
              <w:spacing w:after="0"/>
            </w:pPr>
            <w:r>
              <w:rPr>
                <w:rFonts w:ascii="Calibri" w:hAnsi="Calibri"/>
                <w:b w:val="0"/>
                <w:i w:val="0"/>
                <w:color w:val="111111"/>
                <w:sz w:val="19"/>
              </w:rPr>
              <w:t>Behavior</w:t>
            </w:r>
          </w:p>
        </w:tc>
        <w:tc>
          <w:tcPr>
            <w:tcW w:type="dxa" w:w="3980"/>
            <w:tcMar>
              <w:top w:w="80" w:type="dxa"/>
              <w:start w:w="120" w:type="dxa"/>
              <w:bottom w:w="80" w:type="dxa"/>
              <w:end w:w="120" w:type="dxa"/>
            </w:tcMar>
            <w:vAlign w:val="center"/>
          </w:tcPr>
          <w:p>
            <w:pPr>
              <w:spacing w:after="0"/>
            </w:pPr>
            <w:r>
              <w:rPr>
                <w:rFonts w:ascii="Calibri" w:hAnsi="Calibri"/>
                <w:b w:val="0"/>
                <w:i w:val="0"/>
                <w:color w:val="111111"/>
                <w:sz w:val="19"/>
              </w:rPr>
              <w:t>Delinquency transitions, modifications, watchlist, servicer transfer</w:t>
            </w:r>
          </w:p>
        </w:tc>
        <w:tc>
          <w:tcPr>
            <w:tcW w:type="dxa" w:w="3580"/>
            <w:tcMar>
              <w:top w:w="80" w:type="dxa"/>
              <w:start w:w="120" w:type="dxa"/>
              <w:bottom w:w="80" w:type="dxa"/>
              <w:end w:w="120" w:type="dxa"/>
            </w:tcMar>
            <w:vAlign w:val="center"/>
          </w:tcPr>
          <w:p>
            <w:pPr>
              <w:spacing w:after="0"/>
            </w:pPr>
            <w:r>
              <w:rPr>
                <w:rFonts w:ascii="Calibri" w:hAnsi="Calibri"/>
                <w:b w:val="0"/>
                <w:i w:val="0"/>
                <w:color w:val="111111"/>
                <w:sz w:val="19"/>
              </w:rPr>
              <w:t>Potential intervention and reporting bias</w:t>
            </w:r>
          </w:p>
        </w:tc>
      </w:tr>
      <w:tr>
        <w:tc>
          <w:tcPr>
            <w:tcW w:type="dxa" w:w="1800"/>
            <w:tcMar>
              <w:top w:w="80" w:type="dxa"/>
              <w:start w:w="120" w:type="dxa"/>
              <w:bottom w:w="80" w:type="dxa"/>
              <w:end w:w="120" w:type="dxa"/>
            </w:tcMar>
            <w:vAlign w:val="center"/>
          </w:tcPr>
          <w:p>
            <w:pPr>
              <w:spacing w:after="0"/>
            </w:pPr>
            <w:r>
              <w:rPr>
                <w:rFonts w:ascii="Calibri" w:hAnsi="Calibri"/>
                <w:b w:val="0"/>
                <w:i w:val="0"/>
                <w:color w:val="111111"/>
                <w:sz w:val="19"/>
              </w:rPr>
              <w:t>Macro</w:t>
            </w:r>
          </w:p>
        </w:tc>
        <w:tc>
          <w:tcPr>
            <w:tcW w:type="dxa" w:w="3980"/>
            <w:tcMar>
              <w:top w:w="80" w:type="dxa"/>
              <w:start w:w="120" w:type="dxa"/>
              <w:bottom w:w="80" w:type="dxa"/>
              <w:end w:w="120" w:type="dxa"/>
            </w:tcMar>
            <w:vAlign w:val="center"/>
          </w:tcPr>
          <w:p>
            <w:pPr>
              <w:spacing w:after="0"/>
            </w:pPr>
            <w:r>
              <w:rPr>
                <w:rFonts w:ascii="Calibri" w:hAnsi="Calibri"/>
                <w:b w:val="0"/>
                <w:i w:val="0"/>
                <w:color w:val="111111"/>
                <w:sz w:val="19"/>
              </w:rPr>
              <w:t>Rates, unemployment, GDP, inflation, credit spreads</w:t>
            </w:r>
          </w:p>
        </w:tc>
        <w:tc>
          <w:tcPr>
            <w:tcW w:type="dxa" w:w="3580"/>
            <w:tcMar>
              <w:top w:w="80" w:type="dxa"/>
              <w:start w:w="120" w:type="dxa"/>
              <w:bottom w:w="80" w:type="dxa"/>
              <w:end w:w="120" w:type="dxa"/>
            </w:tcMar>
            <w:vAlign w:val="center"/>
          </w:tcPr>
          <w:p>
            <w:pPr>
              <w:spacing w:after="0"/>
            </w:pPr>
            <w:r>
              <w:rPr>
                <w:rFonts w:ascii="Calibri" w:hAnsi="Calibri"/>
                <w:b w:val="0"/>
                <w:i w:val="0"/>
                <w:color w:val="111111"/>
                <w:sz w:val="19"/>
              </w:rPr>
              <w:t>Frequency mismatch and multicollinearity</w:t>
            </w:r>
          </w:p>
        </w:tc>
      </w:tr>
    </w:tbl>
    <w:p>
      <w:pPr>
        <w:pStyle w:val="Heading2"/>
        <w:keepNext/>
      </w:pPr>
      <w:r>
        <w:t>6.1 Feature policies</w:t>
      </w:r>
    </w:p>
    <w:p>
      <w:pPr>
        <w:pStyle w:val="ListBullet"/>
      </w:pPr>
      <w:r>
        <w:t>Transformations are fitted on training data only and versioned with the model.</w:t>
      </w:r>
    </w:p>
    <w:p>
      <w:pPr>
        <w:pStyle w:val="ListBullet"/>
      </w:pPr>
      <w:r>
        <w:t>Missingness indicators are retained when absence may be informative; imputation must be documented by feature and segment.</w:t>
      </w:r>
    </w:p>
    <w:p>
      <w:pPr>
        <w:pStyle w:val="ListBullet"/>
      </w:pPr>
      <w:r>
        <w:t>Winsorization or clipping thresholds are estimated without test-period information.</w:t>
      </w:r>
    </w:p>
    <w:p>
      <w:pPr>
        <w:pStyle w:val="ListBullet"/>
      </w:pPr>
      <w:r>
        <w:t>Property values used in stressed LTV must distinguish observed appraisal, indexed value, and scenario-implied value.</w:t>
      </w:r>
    </w:p>
    <w:p>
      <w:pPr>
        <w:pStyle w:val="ListBullet"/>
      </w:pPr>
      <w:r>
        <w:t>Features with direct post-default information are prohibited from pre-default PD development.</w:t>
      </w:r>
    </w:p>
    <w:p>
      <w:pPr>
        <w:pStyle w:val="Heading1"/>
        <w:keepNext/>
      </w:pPr>
      <w:r>
        <w:t>7. PD methodology</w:t>
      </w:r>
    </w:p>
    <w:p>
      <w:pPr>
        <w:pStyle w:val="Heading2"/>
        <w:keepNext/>
      </w:pPr>
      <w:r>
        <w:t>7.1 Recommended structure</w:t>
      </w:r>
    </w:p>
    <w:p>
      <w:r>
        <w:t>Use a quarterly discrete-time hazard model as the primary PD architecture. Each surviving exposure contributes one row per quarter until default, payoff, maturity, censoring, or the maximum horizon. The model estimates conditional default hazard; marginal PD is hazard multiplied by survival through prior intervals.</w:t>
      </w:r>
    </w:p>
    <w:p>
      <w:pPr>
        <w:pStyle w:val="Heading2"/>
        <w:keepNext/>
      </w:pPr>
      <w:r>
        <w:t>7.2 Development ladder</w:t>
      </w:r>
    </w:p>
    <w:p>
      <w:pPr>
        <w:pStyle w:val="ListNumber"/>
      </w:pPr>
      <w:r>
        <w:t>Portfolio and segment historical-rate benchmarks with credible intervals.</w:t>
      </w:r>
    </w:p>
    <w:p>
      <w:pPr>
        <w:pStyle w:val="ListNumber"/>
      </w:pPr>
      <w:r>
        <w:t>Regularized logistic discrete-time hazard model with interpretable transformations.</w:t>
      </w:r>
    </w:p>
    <w:p>
      <w:pPr>
        <w:pStyle w:val="ListNumber"/>
      </w:pPr>
      <w:r>
        <w:t>Nonlinear challenger, such as gradient boosting, only after leakage, stability, and calibration controls are established.</w:t>
      </w:r>
    </w:p>
    <w:p>
      <w:pPr>
        <w:pStyle w:val="ListNumber"/>
      </w:pPr>
      <w:r>
        <w:t>Calibration by horizon and material segment using out-of-time evidence.</w:t>
      </w:r>
    </w:p>
    <w:p>
      <w:pPr>
        <w:pStyle w:val="Heading2"/>
        <w:keepNext/>
      </w:pPr>
      <w:r>
        <w:t>7.3 Evaluation</w:t>
      </w:r>
    </w:p>
    <w:p>
      <w:pPr>
        <w:pStyle w:val="ListBullet"/>
      </w:pPr>
      <w:r>
        <w:t>Discrimination: ROC AUC, precision-recall AUC, rank ordering, and concentration of defaults.</w:t>
      </w:r>
    </w:p>
    <w:p>
      <w:pPr>
        <w:pStyle w:val="ListBullet"/>
      </w:pPr>
      <w:r>
        <w:t>Calibration: observed-to-expected ratios, reliability curves, Brier score, and calibration slope/intercept.</w:t>
      </w:r>
    </w:p>
    <w:p>
      <w:pPr>
        <w:pStyle w:val="ListBullet"/>
      </w:pPr>
      <w:r>
        <w:t>Stability: feature drift, score drift, segment performance, vintage performance, and economic-regime sensitivity.</w:t>
      </w:r>
    </w:p>
    <w:p>
      <w:pPr>
        <w:pStyle w:val="ListBullet"/>
      </w:pPr>
      <w:r>
        <w:t>Survival consistency: nonnegative hazards, probabilities bounded by one, and cumulative PD monotonic with horizon.</w:t>
      </w:r>
    </w:p>
    <w:p>
      <w:pPr>
        <w:pStyle w:val="Heading1"/>
        <w:keepNext/>
      </w:pPr>
      <w:r>
        <w:t>8. LGD methodology</w:t>
      </w:r>
    </w:p>
    <w:p>
      <w:r>
        <w:t>LGD should combine a workout-based empirical model with a collateral-value benchmark. A two-stage specification is preferred when zero or near-zero loss outcomes are material: first estimate the probability of positive loss, then estimate severity conditional on positive loss. Alternative bounded-loss or fractional-response models may be compared.</w:t>
      </w:r>
    </w:p>
    <w:p>
      <w:pPr>
        <w:pStyle w:val="Heading2"/>
        <w:keepNext/>
      </w:pPr>
      <w:r>
        <w:t>8.1 Principal drivers</w:t>
      </w:r>
    </w:p>
    <w:p>
      <w:pPr>
        <w:pStyle w:val="ListBullet"/>
      </w:pPr>
      <w:r>
        <w:t>LTV and stressed LTV at default; lien position and recourse.</w:t>
      </w:r>
    </w:p>
    <w:p>
      <w:pPr>
        <w:pStyle w:val="ListBullet"/>
      </w:pPr>
      <w:r>
        <w:t>Property type, market liquidity, cap rate, occupancy, NOI trajectory, and transaction conditions.</w:t>
      </w:r>
    </w:p>
    <w:p>
      <w:pPr>
        <w:pStyle w:val="ListBullet"/>
      </w:pPr>
      <w:r>
        <w:t>Time to resolution, workout path, legal environment, and expenses.</w:t>
      </w:r>
    </w:p>
    <w:p>
      <w:pPr>
        <w:pStyle w:val="ListBullet"/>
      </w:pPr>
      <w:r>
        <w:t>Guarantee or credit support, servicer strategy, and collateral complexity.</w:t>
      </w:r>
    </w:p>
    <w:p>
      <w:pPr>
        <w:pStyle w:val="Heading2"/>
        <w:keepNext/>
      </w:pPr>
      <w:r>
        <w:t>8.2 Downturn treatment</w:t>
      </w:r>
    </w:p>
    <w:p>
      <w:r>
        <w:t>Scenario-conditioned LGD should react to both collateral value and workout timing. Avoid applying an arbitrary additive overlay when the same macro shock is already transmitted through NOI, cap rates, liquidity, or resolution duration. Any management overlay must be separately identified, justified, sensitivity-tested, approved, and reversible.</w:t>
      </w:r>
    </w:p>
    <w:p>
      <w:pPr>
        <w:pStyle w:val="Heading1"/>
        <w:keepNext/>
      </w:pPr>
      <w:r>
        <w:t>9. EAD methodology</w:t>
      </w:r>
    </w:p>
    <w:p>
      <w:r>
        <w:t>For fully funded term loans, EAD begins with the contractual balance projected to each horizon using scheduled amortization, prepayment assumptions, modifications, and maturity treatment. For revolving, construction, or future-funding commitments, EAD includes expected additional draws through a calibrated credit conversion factor or utilization model.</w:t>
      </w:r>
    </w:p>
    <w:p>
      <w:pPr>
        <w:pStyle w:val="Heading2"/>
        <w:keepNext/>
      </w:pPr>
      <w:r>
        <w:t>9.1 EAD controls</w:t>
      </w:r>
    </w:p>
    <w:p>
      <w:pPr>
        <w:pStyle w:val="ListBullet"/>
      </w:pPr>
      <w:r>
        <w:t>Reconcile projected balances to contractual schedules and source-system balances.</w:t>
      </w:r>
    </w:p>
    <w:p>
      <w:pPr>
        <w:pStyle w:val="ListBullet"/>
      </w:pPr>
      <w:r>
        <w:t>Prevent negative balances and funding beyond commitment limits.</w:t>
      </w:r>
    </w:p>
    <w:p>
      <w:pPr>
        <w:pStyle w:val="ListBullet"/>
      </w:pPr>
      <w:r>
        <w:t>Separate scheduled maturity from default; define refinance failure behavior explicitly.</w:t>
      </w:r>
    </w:p>
    <w:p>
      <w:pPr>
        <w:pStyle w:val="ListBullet"/>
      </w:pPr>
      <w:r>
        <w:t>Avoid double counting accrued interest, fees, guarantees, or unfunded exposure across EAD and LGD.</w:t>
      </w:r>
    </w:p>
    <w:p>
      <w:pPr>
        <w:pStyle w:val="Heading1"/>
        <w:keepNext/>
      </w:pPr>
      <w:r>
        <w:t>10. Scenario framework</w:t>
      </w:r>
    </w:p>
    <w:p>
      <w:r>
        <w:t>Scenarios should translate coherent macro and property-market paths into loan-level cash flow, value, refinancing, PD, LGD, and EAD effects. Baseline, adverse, and severely adverse labels are descriptive; the actual variable paths and weights require approval for each use case.</w:t>
      </w:r>
    </w:p>
    <w:p>
      <w:pPr>
        <w:pStyle w:val="Heading2"/>
        <w:keepNext/>
      </w:pPr>
      <w:r>
        <w:t>10.1 Transmission chain</w:t>
      </w:r>
    </w:p>
    <w:p>
      <w:pPr>
        <w:jc w:val="center"/>
      </w:pPr>
      <w:r>
        <w:rPr>
          <w:rFonts w:ascii="Calibri" w:hAnsi="Calibri"/>
          <w:b/>
          <w:i w:val="0"/>
          <w:color w:val="17365D"/>
          <w:sz w:val="23"/>
        </w:rPr>
        <w:t>Macro path -&gt; rent / vacancy / NOI -&gt; value and refinance capacity -&gt; PD, LGD, EAD -&gt; expected loss</w:t>
      </w:r>
    </w:p>
    <w:p>
      <w:pPr>
        <w:pStyle w:val="Heading2"/>
        <w:keepNext/>
      </w:pPr>
      <w:r>
        <w:t>10.2 Scenario mechanics</w:t>
      </w:r>
    </w:p>
    <w:p>
      <w:pPr>
        <w:pStyle w:val="ListBullet"/>
      </w:pPr>
      <w:r>
        <w:t>Property type and geography determine sensitivity, not just portfolio-average shocks.</w:t>
      </w:r>
    </w:p>
    <w:p>
      <w:pPr>
        <w:pStyle w:val="ListBullet"/>
      </w:pPr>
      <w:r>
        <w:t>Cap-rate shocks and NOI shocks jointly determine scenario-implied collateral value.</w:t>
      </w:r>
    </w:p>
    <w:p>
      <w:pPr>
        <w:pStyle w:val="ListBullet"/>
      </w:pPr>
      <w:r>
        <w:t>Floating-rate debt service and refinance coupons follow scenario rate paths with contractual lags and floors.</w:t>
      </w:r>
    </w:p>
    <w:p>
      <w:pPr>
        <w:pStyle w:val="ListBullet"/>
      </w:pPr>
      <w:r>
        <w:t>Scenario weights sum to one and are stored with effective date, rationale, owner, and approval.</w:t>
      </w:r>
    </w:p>
    <w:p>
      <w:pPr>
        <w:pStyle w:val="ListBullet"/>
      </w:pPr>
      <w:r>
        <w:t>Weighted results retain each scenario separately so aggregation can be reproduced.</w:t>
      </w:r>
    </w:p>
    <w:p>
      <w:pPr>
        <w:pStyle w:val="Heading1"/>
        <w:keepNext/>
      </w:pPr>
      <w:r>
        <w:t>11. Expected-loss aggregation</w:t>
      </w:r>
    </w:p>
    <w:p>
      <w:r>
        <w:t>The calculation engine consumes horizon-level marginal PD, LGD, EAD, and discount factors. It produces loan-horizon expected loss before aggregation. Scenario-weighted loss is calculated only after scenario-specific results are preserved.</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trPr>
        <w:tc>
          <w:tcPr>
            <w:tcW w:type="dxa" w:w="2300"/>
            <w:shd w:fill="F2F4F7"/>
            <w:tcMar>
              <w:top w:w="80" w:type="dxa"/>
              <w:start w:w="120" w:type="dxa"/>
              <w:bottom w:w="80" w:type="dxa"/>
              <w:end w:w="120" w:type="dxa"/>
            </w:tcMar>
            <w:vAlign w:val="center"/>
          </w:tcPr>
          <w:p>
            <w:pPr>
              <w:spacing w:after="0"/>
            </w:pPr>
            <w:r>
              <w:rPr>
                <w:rFonts w:ascii="Calibri" w:hAnsi="Calibri"/>
                <w:b/>
                <w:i w:val="0"/>
                <w:color w:val="17365D"/>
                <w:sz w:val="19"/>
              </w:rPr>
              <w:t>Control</w:t>
            </w:r>
          </w:p>
        </w:tc>
        <w:tc>
          <w:tcPr>
            <w:tcW w:type="dxa" w:w="7060"/>
            <w:shd w:fill="F2F4F7"/>
            <w:tcMar>
              <w:top w:w="80" w:type="dxa"/>
              <w:start w:w="120" w:type="dxa"/>
              <w:bottom w:w="80" w:type="dxa"/>
              <w:end w:w="120" w:type="dxa"/>
            </w:tcMar>
            <w:vAlign w:val="center"/>
          </w:tcPr>
          <w:p>
            <w:pPr>
              <w:spacing w:after="0"/>
            </w:pPr>
            <w:r>
              <w:rPr>
                <w:rFonts w:ascii="Calibri" w:hAnsi="Calibri"/>
                <w:b/>
                <w:i w:val="0"/>
                <w:color w:val="17365D"/>
                <w:sz w:val="19"/>
              </w:rPr>
              <w:t>Requirement</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111"/>
                <w:sz w:val="19"/>
              </w:rPr>
              <w:t>Probability</w:t>
            </w:r>
          </w:p>
        </w:tc>
        <w:tc>
          <w:tcPr>
            <w:tcW w:type="dxa" w:w="7060"/>
            <w:tcMar>
              <w:top w:w="80" w:type="dxa"/>
              <w:start w:w="120" w:type="dxa"/>
              <w:bottom w:w="80" w:type="dxa"/>
              <w:end w:w="120" w:type="dxa"/>
            </w:tcMar>
            <w:vAlign w:val="center"/>
          </w:tcPr>
          <w:p>
            <w:pPr>
              <w:spacing w:after="0"/>
            </w:pPr>
            <w:r>
              <w:rPr>
                <w:rFonts w:ascii="Calibri" w:hAnsi="Calibri"/>
                <w:b w:val="0"/>
                <w:i w:val="0"/>
                <w:color w:val="111111"/>
                <w:sz w:val="19"/>
              </w:rPr>
              <w:t>PD and LGD lie within approved bounds; cumulative PD does not decline with horizon</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111"/>
                <w:sz w:val="19"/>
              </w:rPr>
              <w:t>Exposure</w:t>
            </w:r>
          </w:p>
        </w:tc>
        <w:tc>
          <w:tcPr>
            <w:tcW w:type="dxa" w:w="7060"/>
            <w:tcMar>
              <w:top w:w="80" w:type="dxa"/>
              <w:start w:w="120" w:type="dxa"/>
              <w:bottom w:w="80" w:type="dxa"/>
              <w:end w:w="120" w:type="dxa"/>
            </w:tcMar>
            <w:vAlign w:val="center"/>
          </w:tcPr>
          <w:p>
            <w:pPr>
              <w:spacing w:after="0"/>
            </w:pPr>
            <w:r>
              <w:rPr>
                <w:rFonts w:ascii="Calibri" w:hAnsi="Calibri"/>
                <w:b w:val="0"/>
                <w:i w:val="0"/>
                <w:color w:val="111111"/>
                <w:sz w:val="19"/>
              </w:rPr>
              <w:t>EAD is finite, nonnegative, and reconciled to balances plus permissible commitments</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111"/>
                <w:sz w:val="19"/>
              </w:rPr>
              <w:t>Discounting</w:t>
            </w:r>
          </w:p>
        </w:tc>
        <w:tc>
          <w:tcPr>
            <w:tcW w:type="dxa" w:w="7060"/>
            <w:tcMar>
              <w:top w:w="80" w:type="dxa"/>
              <w:start w:w="120" w:type="dxa"/>
              <w:bottom w:w="80" w:type="dxa"/>
              <w:end w:w="120" w:type="dxa"/>
            </w:tcMar>
            <w:vAlign w:val="center"/>
          </w:tcPr>
          <w:p>
            <w:pPr>
              <w:spacing w:after="0"/>
            </w:pPr>
            <w:r>
              <w:rPr>
                <w:rFonts w:ascii="Calibri" w:hAnsi="Calibri"/>
                <w:b w:val="0"/>
                <w:i w:val="0"/>
                <w:color w:val="111111"/>
                <w:sz w:val="19"/>
              </w:rPr>
              <w:t>Rate basis, timing convention, and compounding match the selected framework</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111"/>
                <w:sz w:val="19"/>
              </w:rPr>
              <w:t>Scenario weights</w:t>
            </w:r>
          </w:p>
        </w:tc>
        <w:tc>
          <w:tcPr>
            <w:tcW w:type="dxa" w:w="7060"/>
            <w:tcMar>
              <w:top w:w="80" w:type="dxa"/>
              <w:start w:w="120" w:type="dxa"/>
              <w:bottom w:w="80" w:type="dxa"/>
              <w:end w:w="120" w:type="dxa"/>
            </w:tcMar>
            <w:vAlign w:val="center"/>
          </w:tcPr>
          <w:p>
            <w:pPr>
              <w:spacing w:after="0"/>
            </w:pPr>
            <w:r>
              <w:rPr>
                <w:rFonts w:ascii="Calibri" w:hAnsi="Calibri"/>
                <w:b w:val="0"/>
                <w:i w:val="0"/>
                <w:color w:val="111111"/>
                <w:sz w:val="19"/>
              </w:rPr>
              <w:t>Weights are nonnegative, sum to one, and match the run manifest</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111"/>
                <w:sz w:val="19"/>
              </w:rPr>
              <w:t>Reconciliation</w:t>
            </w:r>
          </w:p>
        </w:tc>
        <w:tc>
          <w:tcPr>
            <w:tcW w:type="dxa" w:w="7060"/>
            <w:tcMar>
              <w:top w:w="80" w:type="dxa"/>
              <w:start w:w="120" w:type="dxa"/>
              <w:bottom w:w="80" w:type="dxa"/>
              <w:end w:w="120" w:type="dxa"/>
            </w:tcMar>
            <w:vAlign w:val="center"/>
          </w:tcPr>
          <w:p>
            <w:pPr>
              <w:spacing w:after="0"/>
            </w:pPr>
            <w:r>
              <w:rPr>
                <w:rFonts w:ascii="Calibri" w:hAnsi="Calibri"/>
                <w:b w:val="0"/>
                <w:i w:val="0"/>
                <w:color w:val="111111"/>
                <w:sz w:val="19"/>
              </w:rPr>
              <w:t>Loan-horizon results sum exactly to scenario, segment, and portfolio totals</w:t>
            </w:r>
          </w:p>
        </w:tc>
      </w:tr>
    </w:tbl>
    <w:p>
      <w:pPr>
        <w:pStyle w:val="Heading1"/>
        <w:keepNext/>
      </w:pPr>
      <w:r>
        <w:t>12. Validation framework</w:t>
      </w:r>
    </w:p>
    <w:p>
      <w:r>
        <w:t>Validation rigor, timing, nature, and frequency are risk-based and must align with model approach, use, materiality, methodology, change frequency, and data limitations. Validation ordinarily occurs before first use. Any temporary pre-validation use requires documented urgency, communicated limitations, compensating controls, restricted use, enhanced monitoring, an accountable approver, and a dated completion plan.</w:t>
      </w:r>
    </w:p>
    <w:p>
      <w:pPr>
        <w:pStyle w:val="Heading2"/>
        <w:keepNext/>
      </w:pPr>
      <w:r>
        <w:t>12.1 Conceptual soundness</w:t>
      </w:r>
    </w:p>
    <w:p>
      <w:pPr>
        <w:pStyle w:val="ListBullet"/>
      </w:pPr>
      <w:r>
        <w:t>Assess outcome definitions, segmentation, feature rationale, assumptions, estimator choice, calibration, and scenario transmission.</w:t>
      </w:r>
    </w:p>
    <w:p>
      <w:pPr>
        <w:pStyle w:val="ListBullet"/>
      </w:pPr>
      <w:r>
        <w:t>Compare primary models with simple benchmarks and credible alternative specifications.</w:t>
      </w:r>
    </w:p>
    <w:p>
      <w:pPr>
        <w:pStyle w:val="ListBullet"/>
      </w:pPr>
      <w:r>
        <w:t>Evaluate data representativeness and the effect of public-data limitations on intended use.</w:t>
      </w:r>
    </w:p>
    <w:p>
      <w:pPr>
        <w:pStyle w:val="Heading2"/>
        <w:keepNext/>
      </w:pPr>
      <w:r>
        <w:t>12.2 Implementation and process verification</w:t>
      </w:r>
    </w:p>
    <w:p>
      <w:r>
        <w:t>SR 26-2 does not retain process verification as a separately named validation component, but implementation verification remains an essential internal control and a source of evidence supporting reliability. It is retained here as an explicit requirement.</w:t>
      </w:r>
    </w:p>
    <w:p>
      <w:pPr>
        <w:pStyle w:val="ListBullet"/>
      </w:pPr>
      <w:r>
        <w:t>Independent code review and unit tests for formulas, joins, time alignment, scenario weighting, and aggregation.</w:t>
      </w:r>
    </w:p>
    <w:p>
      <w:pPr>
        <w:pStyle w:val="ListBullet"/>
      </w:pPr>
      <w:r>
        <w:t>Reproducible runs from immutable inputs, configuration, dependency lock, and source-control commit.</w:t>
      </w:r>
    </w:p>
    <w:p>
      <w:pPr>
        <w:pStyle w:val="ListBullet"/>
      </w:pPr>
      <w:r>
        <w:t>Boundary, missing-value, duplicate-key, and adversarial data tests.</w:t>
      </w:r>
    </w:p>
    <w:p>
      <w:pPr>
        <w:pStyle w:val="Heading2"/>
        <w:keepNext/>
      </w:pPr>
      <w:r>
        <w:t>12.3 Outcomes analysis</w:t>
      </w:r>
    </w:p>
    <w:p>
      <w:pPr>
        <w:pStyle w:val="ListBullet"/>
      </w:pPr>
      <w:r>
        <w:t>Out-of-time and, where possible, out-of-segment performance.</w:t>
      </w:r>
    </w:p>
    <w:p>
      <w:pPr>
        <w:pStyle w:val="ListBullet"/>
      </w:pPr>
      <w:r>
        <w:t>Backtesting by property type, geography, vintage, risk state, and forecast horizon.</w:t>
      </w:r>
    </w:p>
    <w:p>
      <w:pPr>
        <w:pStyle w:val="ListBullet"/>
      </w:pPr>
      <w:r>
        <w:t>Sensitivity and stress testing, including correlated shocks and missing-data alternatives.</w:t>
      </w:r>
    </w:p>
    <w:p>
      <w:pPr>
        <w:pStyle w:val="ListBullet"/>
      </w:pPr>
      <w:r>
        <w:t>Benchmark comparison, override analysis, and stability monitoring with thresholds and escalation.</w:t>
      </w:r>
    </w:p>
    <w:p>
      <w:pPr>
        <w:pStyle w:val="Heading1"/>
        <w:keepNext/>
      </w:pPr>
      <w:r>
        <w:t>13. Model risk, limitations, and safeguards</w:t>
      </w:r>
    </w:p>
    <w:tbl>
      <w:tblPr>
        <w:tblStyle w:val="TableGrid"/>
        <w:tblW w:type="dxa" w:w="9360"/>
        <w:jc w:val="left"/>
        <w:tblLayout w:type="fixed"/>
        <w:tblLook w:firstColumn="1" w:firstRow="1" w:lastColumn="0" w:lastRow="0" w:noHBand="0" w:noVBand="1" w:val="04A0"/>
        <w:tblInd w:w="120" w:type="dxa"/>
      </w:tblPr>
      <w:tblGrid>
        <w:gridCol w:w="1900"/>
        <w:gridCol w:w="3100"/>
        <w:gridCol w:w="4360"/>
      </w:tblGrid>
      <w:tr>
        <w:trPr>
          <w:tblHeader/>
        </w:trPr>
        <w:tc>
          <w:tcPr>
            <w:tcW w:type="dxa" w:w="1900"/>
            <w:shd w:fill="F2F4F7"/>
            <w:tcMar>
              <w:top w:w="80" w:type="dxa"/>
              <w:start w:w="120" w:type="dxa"/>
              <w:bottom w:w="80" w:type="dxa"/>
              <w:end w:w="120" w:type="dxa"/>
            </w:tcMar>
            <w:vAlign w:val="center"/>
          </w:tcPr>
          <w:p>
            <w:pPr>
              <w:spacing w:after="0"/>
            </w:pPr>
            <w:r>
              <w:rPr>
                <w:rFonts w:ascii="Calibri" w:hAnsi="Calibri"/>
                <w:b/>
                <w:i w:val="0"/>
                <w:color w:val="17365D"/>
                <w:sz w:val="19"/>
              </w:rPr>
              <w:t>Risk</w:t>
            </w:r>
          </w:p>
        </w:tc>
        <w:tc>
          <w:tcPr>
            <w:tcW w:type="dxa" w:w="3100"/>
            <w:shd w:fill="F2F4F7"/>
            <w:tcMar>
              <w:top w:w="80" w:type="dxa"/>
              <w:start w:w="120" w:type="dxa"/>
              <w:bottom w:w="80" w:type="dxa"/>
              <w:end w:w="120" w:type="dxa"/>
            </w:tcMar>
            <w:vAlign w:val="center"/>
          </w:tcPr>
          <w:p>
            <w:pPr>
              <w:spacing w:after="0"/>
            </w:pPr>
            <w:r>
              <w:rPr>
                <w:rFonts w:ascii="Calibri" w:hAnsi="Calibri"/>
                <w:b/>
                <w:i w:val="0"/>
                <w:color w:val="17365D"/>
                <w:sz w:val="19"/>
              </w:rPr>
              <w:t>Potential effect</w:t>
            </w:r>
          </w:p>
        </w:tc>
        <w:tc>
          <w:tcPr>
            <w:tcW w:type="dxa" w:w="4360"/>
            <w:shd w:fill="F2F4F7"/>
            <w:tcMar>
              <w:top w:w="80" w:type="dxa"/>
              <w:start w:w="120" w:type="dxa"/>
              <w:bottom w:w="80" w:type="dxa"/>
              <w:end w:w="120" w:type="dxa"/>
            </w:tcMar>
            <w:vAlign w:val="center"/>
          </w:tcPr>
          <w:p>
            <w:pPr>
              <w:spacing w:after="0"/>
            </w:pPr>
            <w:r>
              <w:rPr>
                <w:rFonts w:ascii="Calibri" w:hAnsi="Calibri"/>
                <w:b/>
                <w:i w:val="0"/>
                <w:color w:val="17365D"/>
                <w:sz w:val="19"/>
              </w:rPr>
              <w:t>Safeguard</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Public-data selection bias</w:t>
            </w:r>
          </w:p>
        </w:tc>
        <w:tc>
          <w:tcPr>
            <w:tcW w:type="dxa" w:w="3100"/>
            <w:tcMar>
              <w:top w:w="80" w:type="dxa"/>
              <w:start w:w="120" w:type="dxa"/>
              <w:bottom w:w="80" w:type="dxa"/>
              <w:end w:w="120" w:type="dxa"/>
            </w:tcMar>
            <w:vAlign w:val="center"/>
          </w:tcPr>
          <w:p>
            <w:pPr>
              <w:spacing w:after="0"/>
            </w:pPr>
            <w:r>
              <w:rPr>
                <w:rFonts w:ascii="Calibri" w:hAnsi="Calibri"/>
                <w:b w:val="0"/>
                <w:i w:val="0"/>
                <w:color w:val="111111"/>
                <w:sz w:val="19"/>
              </w:rPr>
              <w:t>CMBS or disclosed loans may not represent bank-held CRE</w:t>
            </w:r>
          </w:p>
        </w:tc>
        <w:tc>
          <w:tcPr>
            <w:tcW w:type="dxa" w:w="4360"/>
            <w:tcMar>
              <w:top w:w="80" w:type="dxa"/>
              <w:start w:w="120" w:type="dxa"/>
              <w:bottom w:w="80" w:type="dxa"/>
              <w:end w:w="120" w:type="dxa"/>
            </w:tcMar>
            <w:vAlign w:val="center"/>
          </w:tcPr>
          <w:p>
            <w:pPr>
              <w:spacing w:after="0"/>
            </w:pPr>
            <w:r>
              <w:rPr>
                <w:rFonts w:ascii="Calibri" w:hAnsi="Calibri"/>
                <w:b w:val="0"/>
                <w:i w:val="0"/>
                <w:color w:val="111111"/>
                <w:sz w:val="19"/>
              </w:rPr>
              <w:t>Population comparison, segmentation, reweighting tests, and explicit scope limits</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Sparse defaults</w:t>
            </w:r>
          </w:p>
        </w:tc>
        <w:tc>
          <w:tcPr>
            <w:tcW w:type="dxa" w:w="3100"/>
            <w:tcMar>
              <w:top w:w="80" w:type="dxa"/>
              <w:start w:w="120" w:type="dxa"/>
              <w:bottom w:w="80" w:type="dxa"/>
              <w:end w:w="120" w:type="dxa"/>
            </w:tcMar>
            <w:vAlign w:val="center"/>
          </w:tcPr>
          <w:p>
            <w:pPr>
              <w:spacing w:after="0"/>
            </w:pPr>
            <w:r>
              <w:rPr>
                <w:rFonts w:ascii="Calibri" w:hAnsi="Calibri"/>
                <w:b w:val="0"/>
                <w:i w:val="0"/>
                <w:color w:val="111111"/>
                <w:sz w:val="19"/>
              </w:rPr>
              <w:t>Unstable parameters and misleading segment estimates</w:t>
            </w:r>
          </w:p>
        </w:tc>
        <w:tc>
          <w:tcPr>
            <w:tcW w:type="dxa" w:w="4360"/>
            <w:tcMar>
              <w:top w:w="80" w:type="dxa"/>
              <w:start w:w="120" w:type="dxa"/>
              <w:bottom w:w="80" w:type="dxa"/>
              <w:end w:w="120" w:type="dxa"/>
            </w:tcMar>
            <w:vAlign w:val="center"/>
          </w:tcPr>
          <w:p>
            <w:pPr>
              <w:spacing w:after="0"/>
            </w:pPr>
            <w:r>
              <w:rPr>
                <w:rFonts w:ascii="Calibri" w:hAnsi="Calibri"/>
                <w:b w:val="0"/>
                <w:i w:val="0"/>
                <w:color w:val="111111"/>
                <w:sz w:val="19"/>
              </w:rPr>
              <w:t>Pooling, regularization, shrinkage, benchmarks, and uncertainty intervals</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Stale collateral values</w:t>
            </w:r>
          </w:p>
        </w:tc>
        <w:tc>
          <w:tcPr>
            <w:tcW w:type="dxa" w:w="3100"/>
            <w:tcMar>
              <w:top w:w="80" w:type="dxa"/>
              <w:start w:w="120" w:type="dxa"/>
              <w:bottom w:w="80" w:type="dxa"/>
              <w:end w:w="120" w:type="dxa"/>
            </w:tcMar>
            <w:vAlign w:val="center"/>
          </w:tcPr>
          <w:p>
            <w:pPr>
              <w:spacing w:after="0"/>
            </w:pPr>
            <w:r>
              <w:rPr>
                <w:rFonts w:ascii="Calibri" w:hAnsi="Calibri"/>
                <w:b w:val="0"/>
                <w:i w:val="0"/>
                <w:color w:val="111111"/>
                <w:sz w:val="19"/>
              </w:rPr>
              <w:t>Understated leverage and LGD</w:t>
            </w:r>
          </w:p>
        </w:tc>
        <w:tc>
          <w:tcPr>
            <w:tcW w:type="dxa" w:w="4360"/>
            <w:tcMar>
              <w:top w:w="80" w:type="dxa"/>
              <w:start w:w="120" w:type="dxa"/>
              <w:bottom w:w="80" w:type="dxa"/>
              <w:end w:w="120" w:type="dxa"/>
            </w:tcMar>
            <w:vAlign w:val="center"/>
          </w:tcPr>
          <w:p>
            <w:pPr>
              <w:spacing w:after="0"/>
            </w:pPr>
            <w:r>
              <w:rPr>
                <w:rFonts w:ascii="Calibri" w:hAnsi="Calibri"/>
                <w:b w:val="0"/>
                <w:i w:val="0"/>
                <w:color w:val="111111"/>
                <w:sz w:val="19"/>
              </w:rPr>
              <w:t>Value timestamp controls, indexed and scenario-implied alternatives</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Economic regime change</w:t>
            </w:r>
          </w:p>
        </w:tc>
        <w:tc>
          <w:tcPr>
            <w:tcW w:type="dxa" w:w="3100"/>
            <w:tcMar>
              <w:top w:w="80" w:type="dxa"/>
              <w:start w:w="120" w:type="dxa"/>
              <w:bottom w:w="80" w:type="dxa"/>
              <w:end w:w="120" w:type="dxa"/>
            </w:tcMar>
            <w:vAlign w:val="center"/>
          </w:tcPr>
          <w:p>
            <w:pPr>
              <w:spacing w:after="0"/>
            </w:pPr>
            <w:r>
              <w:rPr>
                <w:rFonts w:ascii="Calibri" w:hAnsi="Calibri"/>
                <w:b w:val="0"/>
                <w:i w:val="0"/>
                <w:color w:val="111111"/>
                <w:sz w:val="19"/>
              </w:rPr>
              <w:t>Historical relationships may not persist</w:t>
            </w:r>
          </w:p>
        </w:tc>
        <w:tc>
          <w:tcPr>
            <w:tcW w:type="dxa" w:w="4360"/>
            <w:tcMar>
              <w:top w:w="80" w:type="dxa"/>
              <w:start w:w="120" w:type="dxa"/>
              <w:bottom w:w="80" w:type="dxa"/>
              <w:end w:w="120" w:type="dxa"/>
            </w:tcMar>
            <w:vAlign w:val="center"/>
          </w:tcPr>
          <w:p>
            <w:pPr>
              <w:spacing w:after="0"/>
            </w:pPr>
            <w:r>
              <w:rPr>
                <w:rFonts w:ascii="Calibri" w:hAnsi="Calibri"/>
                <w:b w:val="0"/>
                <w:i w:val="0"/>
                <w:color w:val="111111"/>
                <w:sz w:val="19"/>
              </w:rPr>
              <w:t>Rolling monitoring, stress tests, recalibration triggers, and expert challenge</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Outcome censoring</w:t>
            </w:r>
          </w:p>
        </w:tc>
        <w:tc>
          <w:tcPr>
            <w:tcW w:type="dxa" w:w="3100"/>
            <w:tcMar>
              <w:top w:w="80" w:type="dxa"/>
              <w:start w:w="120" w:type="dxa"/>
              <w:bottom w:w="80" w:type="dxa"/>
              <w:end w:w="120" w:type="dxa"/>
            </w:tcMar>
            <w:vAlign w:val="center"/>
          </w:tcPr>
          <w:p>
            <w:pPr>
              <w:spacing w:after="0"/>
            </w:pPr>
            <w:r>
              <w:rPr>
                <w:rFonts w:ascii="Calibri" w:hAnsi="Calibri"/>
                <w:b w:val="0"/>
                <w:i w:val="0"/>
                <w:color w:val="111111"/>
                <w:sz w:val="19"/>
              </w:rPr>
              <w:t>Unresolved workouts bias LGD downward</w:t>
            </w:r>
          </w:p>
        </w:tc>
        <w:tc>
          <w:tcPr>
            <w:tcW w:type="dxa" w:w="4360"/>
            <w:tcMar>
              <w:top w:w="80" w:type="dxa"/>
              <w:start w:w="120" w:type="dxa"/>
              <w:bottom w:w="80" w:type="dxa"/>
              <w:end w:w="120" w:type="dxa"/>
            </w:tcMar>
            <w:vAlign w:val="center"/>
          </w:tcPr>
          <w:p>
            <w:pPr>
              <w:spacing w:after="0"/>
            </w:pPr>
            <w:r>
              <w:rPr>
                <w:rFonts w:ascii="Calibri" w:hAnsi="Calibri"/>
                <w:b w:val="0"/>
                <w:i w:val="0"/>
                <w:color w:val="111111"/>
                <w:sz w:val="19"/>
              </w:rPr>
              <w:t>Censoring-aware treatment and maturity/resolution diagnostics</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Automation overreach</w:t>
            </w:r>
          </w:p>
        </w:tc>
        <w:tc>
          <w:tcPr>
            <w:tcW w:type="dxa" w:w="3100"/>
            <w:tcMar>
              <w:top w:w="80" w:type="dxa"/>
              <w:start w:w="120" w:type="dxa"/>
              <w:bottom w:w="80" w:type="dxa"/>
              <w:end w:w="120" w:type="dxa"/>
            </w:tcMar>
            <w:vAlign w:val="center"/>
          </w:tcPr>
          <w:p>
            <w:pPr>
              <w:spacing w:after="0"/>
            </w:pPr>
            <w:r>
              <w:rPr>
                <w:rFonts w:ascii="Calibri" w:hAnsi="Calibri"/>
                <w:b w:val="0"/>
                <w:i w:val="0"/>
                <w:color w:val="111111"/>
                <w:sz w:val="19"/>
              </w:rPr>
              <w:t>Unreviewed outputs influence decisions</w:t>
            </w:r>
          </w:p>
        </w:tc>
        <w:tc>
          <w:tcPr>
            <w:tcW w:type="dxa" w:w="4360"/>
            <w:tcMar>
              <w:top w:w="80" w:type="dxa"/>
              <w:start w:w="120" w:type="dxa"/>
              <w:bottom w:w="80" w:type="dxa"/>
              <w:end w:w="120" w:type="dxa"/>
            </w:tcMar>
            <w:vAlign w:val="center"/>
          </w:tcPr>
          <w:p>
            <w:pPr>
              <w:spacing w:after="0"/>
            </w:pPr>
            <w:r>
              <w:rPr>
                <w:rFonts w:ascii="Calibri" w:hAnsi="Calibri"/>
                <w:b w:val="0"/>
                <w:i w:val="0"/>
                <w:color w:val="111111"/>
                <w:sz w:val="19"/>
              </w:rPr>
              <w:t>Permitted-use controls, human approval, logs, and deterministic calculations</w:t>
            </w:r>
          </w:p>
        </w:tc>
      </w:tr>
    </w:tbl>
    <w:p>
      <w:pPr>
        <w:pStyle w:val="Heading1"/>
        <w:keepNext/>
      </w:pPr>
      <w:r>
        <w:t>14. Technology and implementation architecture</w:t>
      </w:r>
    </w:p>
    <w:p>
      <w:pPr>
        <w:pStyle w:val="Heading2"/>
        <w:keepNext/>
      </w:pPr>
      <w:r>
        <w:t>14.1 Core stack</w:t>
      </w:r>
    </w:p>
    <w:p>
      <w:pPr>
        <w:pStyle w:val="ListBullet"/>
      </w:pPr>
      <w:r>
        <w:t>Python modules for transformations, estimation, scoring, validation, and reporting.</w:t>
      </w:r>
    </w:p>
    <w:p>
      <w:pPr>
        <w:pStyle w:val="ListBullet"/>
      </w:pPr>
      <w:r>
        <w:t>Jupyter notebooks for exploration, development evidence, and reviewable analysis.</w:t>
      </w:r>
    </w:p>
    <w:p>
      <w:pPr>
        <w:pStyle w:val="ListBullet"/>
      </w:pPr>
      <w:r>
        <w:t>DuckDB for local analytical queries and controlled dataset materialization.</w:t>
      </w:r>
    </w:p>
    <w:p>
      <w:pPr>
        <w:pStyle w:val="ListBullet"/>
      </w:pPr>
      <w:r>
        <w:t>Parquet for typed, compressed, columnar interchange between layers.</w:t>
      </w:r>
    </w:p>
    <w:p>
      <w:pPr>
        <w:pStyle w:val="ListBullet"/>
      </w:pPr>
      <w:r>
        <w:t>YAML configuration for paths, definitions, horizons, thresholds, scenarios, and approved parameters.</w:t>
      </w:r>
    </w:p>
    <w:p>
      <w:pPr>
        <w:pStyle w:val="ListBullet"/>
      </w:pPr>
      <w:r>
        <w:t>Git for source code and documentation; large datasets remain outside ordinary source control.</w:t>
      </w:r>
    </w:p>
    <w:p>
      <w:pPr>
        <w:pStyle w:val="Heading2"/>
        <w:keepNext/>
      </w:pPr>
      <w:r>
        <w:t>14.2 Optional application layers</w:t>
      </w:r>
    </w:p>
    <w:p>
      <w:r>
        <w:t>A web interface may later be implemented with Flask or another framework. LangGraph or CrewAI may orchestrate review, research, or narrative workflows, but they should not replace deterministic calculations or governance controls. SR 26-2 states that generative and agentic AI models are outside its scope; nevertheless, institutional risk-management and governance practices should determine controls for such tools. Agent-generated commentary must be labeled, sourced, reviewable, and separable from model output.</w:t>
      </w:r>
    </w:p>
    <w:p>
      <w:pPr>
        <w:pStyle w:val="Heading2"/>
        <w:keepNext/>
      </w:pPr>
      <w:r>
        <w:t>14.3 Proposed run manifest</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trPr>
        <w:tc>
          <w:tcPr>
            <w:tcW w:type="dxa" w:w="2500"/>
            <w:shd w:fill="F2F4F7"/>
            <w:tcMar>
              <w:top w:w="80" w:type="dxa"/>
              <w:start w:w="120" w:type="dxa"/>
              <w:bottom w:w="80" w:type="dxa"/>
              <w:end w:w="120" w:type="dxa"/>
            </w:tcMar>
            <w:vAlign w:val="center"/>
          </w:tcPr>
          <w:p>
            <w:pPr>
              <w:spacing w:after="0"/>
            </w:pPr>
            <w:r>
              <w:rPr>
                <w:rFonts w:ascii="Calibri" w:hAnsi="Calibri"/>
                <w:b/>
                <w:i w:val="0"/>
                <w:color w:val="17365D"/>
                <w:sz w:val="19"/>
              </w:rPr>
              <w:t>Field</w:t>
            </w:r>
          </w:p>
        </w:tc>
        <w:tc>
          <w:tcPr>
            <w:tcW w:type="dxa" w:w="6860"/>
            <w:shd w:fill="F2F4F7"/>
            <w:tcMar>
              <w:top w:w="80" w:type="dxa"/>
              <w:start w:w="120" w:type="dxa"/>
              <w:bottom w:w="80" w:type="dxa"/>
              <w:end w:w="120" w:type="dxa"/>
            </w:tcMar>
            <w:vAlign w:val="center"/>
          </w:tcPr>
          <w:p>
            <w:pPr>
              <w:spacing w:after="0"/>
            </w:pPr>
            <w:r>
              <w:rPr>
                <w:rFonts w:ascii="Calibri" w:hAnsi="Calibri"/>
                <w:b/>
                <w:i w:val="0"/>
                <w:color w:val="17365D"/>
                <w:sz w:val="19"/>
              </w:rPr>
              <w:t>Example content</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run_id</w:t>
            </w:r>
          </w:p>
        </w:tc>
        <w:tc>
          <w:tcPr>
            <w:tcW w:type="dxa" w:w="6860"/>
            <w:tcMar>
              <w:top w:w="80" w:type="dxa"/>
              <w:start w:w="120" w:type="dxa"/>
              <w:bottom w:w="80" w:type="dxa"/>
              <w:end w:w="120" w:type="dxa"/>
            </w:tcMar>
            <w:vAlign w:val="center"/>
          </w:tcPr>
          <w:p>
            <w:pPr>
              <w:spacing w:after="0"/>
            </w:pPr>
            <w:r>
              <w:rPr>
                <w:rFonts w:ascii="Calibri" w:hAnsi="Calibri"/>
                <w:b w:val="0"/>
                <w:i w:val="0"/>
                <w:color w:val="111111"/>
                <w:sz w:val="19"/>
              </w:rPr>
              <w:t>Unique immutable identifier</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as_of_date</w:t>
            </w:r>
          </w:p>
        </w:tc>
        <w:tc>
          <w:tcPr>
            <w:tcW w:type="dxa" w:w="6860"/>
            <w:tcMar>
              <w:top w:w="80" w:type="dxa"/>
              <w:start w:w="120" w:type="dxa"/>
              <w:bottom w:w="80" w:type="dxa"/>
              <w:end w:w="120" w:type="dxa"/>
            </w:tcMar>
            <w:vAlign w:val="center"/>
          </w:tcPr>
          <w:p>
            <w:pPr>
              <w:spacing w:after="0"/>
            </w:pPr>
            <w:r>
              <w:rPr>
                <w:rFonts w:ascii="Calibri" w:hAnsi="Calibri"/>
                <w:b w:val="0"/>
                <w:i w:val="0"/>
                <w:color w:val="111111"/>
                <w:sz w:val="19"/>
              </w:rPr>
              <w:t>Portfolio reporting date</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input_versions</w:t>
            </w:r>
          </w:p>
        </w:tc>
        <w:tc>
          <w:tcPr>
            <w:tcW w:type="dxa" w:w="6860"/>
            <w:tcMar>
              <w:top w:w="80" w:type="dxa"/>
              <w:start w:w="120" w:type="dxa"/>
              <w:bottom w:w="80" w:type="dxa"/>
              <w:end w:w="120" w:type="dxa"/>
            </w:tcMar>
            <w:vAlign w:val="center"/>
          </w:tcPr>
          <w:p>
            <w:pPr>
              <w:spacing w:after="0"/>
            </w:pPr>
            <w:r>
              <w:rPr>
                <w:rFonts w:ascii="Calibri" w:hAnsi="Calibri"/>
                <w:b w:val="0"/>
                <w:i w:val="0"/>
                <w:color w:val="111111"/>
                <w:sz w:val="19"/>
              </w:rPr>
              <w:t>Checksums or dataset snapshot identifiers</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code_version</w:t>
            </w:r>
          </w:p>
        </w:tc>
        <w:tc>
          <w:tcPr>
            <w:tcW w:type="dxa" w:w="6860"/>
            <w:tcMar>
              <w:top w:w="80" w:type="dxa"/>
              <w:start w:w="120" w:type="dxa"/>
              <w:bottom w:w="80" w:type="dxa"/>
              <w:end w:w="120" w:type="dxa"/>
            </w:tcMar>
            <w:vAlign w:val="center"/>
          </w:tcPr>
          <w:p>
            <w:pPr>
              <w:spacing w:after="0"/>
            </w:pPr>
            <w:r>
              <w:rPr>
                <w:rFonts w:ascii="Calibri" w:hAnsi="Calibri"/>
                <w:b w:val="0"/>
                <w:i w:val="0"/>
                <w:color w:val="111111"/>
                <w:sz w:val="19"/>
              </w:rPr>
              <w:t>Git commit hash</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model_versions</w:t>
            </w:r>
          </w:p>
        </w:tc>
        <w:tc>
          <w:tcPr>
            <w:tcW w:type="dxa" w:w="6860"/>
            <w:tcMar>
              <w:top w:w="80" w:type="dxa"/>
              <w:start w:w="120" w:type="dxa"/>
              <w:bottom w:w="80" w:type="dxa"/>
              <w:end w:w="120" w:type="dxa"/>
            </w:tcMar>
            <w:vAlign w:val="center"/>
          </w:tcPr>
          <w:p>
            <w:pPr>
              <w:spacing w:after="0"/>
            </w:pPr>
            <w:r>
              <w:rPr>
                <w:rFonts w:ascii="Calibri" w:hAnsi="Calibri"/>
                <w:b w:val="0"/>
                <w:i w:val="0"/>
                <w:color w:val="111111"/>
                <w:sz w:val="19"/>
              </w:rPr>
              <w:t>PD, LGD, EAD, calibration, and scenario versions</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configuration</w:t>
            </w:r>
          </w:p>
        </w:tc>
        <w:tc>
          <w:tcPr>
            <w:tcW w:type="dxa" w:w="6860"/>
            <w:tcMar>
              <w:top w:w="80" w:type="dxa"/>
              <w:start w:w="120" w:type="dxa"/>
              <w:bottom w:w="80" w:type="dxa"/>
              <w:end w:w="120" w:type="dxa"/>
            </w:tcMar>
            <w:vAlign w:val="center"/>
          </w:tcPr>
          <w:p>
            <w:pPr>
              <w:spacing w:after="0"/>
            </w:pPr>
            <w:r>
              <w:rPr>
                <w:rFonts w:ascii="Calibri" w:hAnsi="Calibri"/>
                <w:b w:val="0"/>
                <w:i w:val="0"/>
                <w:color w:val="111111"/>
                <w:sz w:val="19"/>
              </w:rPr>
              <w:t>Resolved configuration hash</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execution</w:t>
            </w:r>
          </w:p>
        </w:tc>
        <w:tc>
          <w:tcPr>
            <w:tcW w:type="dxa" w:w="6860"/>
            <w:tcMar>
              <w:top w:w="80" w:type="dxa"/>
              <w:start w:w="120" w:type="dxa"/>
              <w:bottom w:w="80" w:type="dxa"/>
              <w:end w:w="120" w:type="dxa"/>
            </w:tcMar>
            <w:vAlign w:val="center"/>
          </w:tcPr>
          <w:p>
            <w:pPr>
              <w:spacing w:after="0"/>
            </w:pPr>
            <w:r>
              <w:rPr>
                <w:rFonts w:ascii="Calibri" w:hAnsi="Calibri"/>
                <w:b w:val="0"/>
                <w:i w:val="0"/>
                <w:color w:val="111111"/>
                <w:sz w:val="19"/>
              </w:rPr>
              <w:t>Start/end time, environment, warnings, and status</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approvals</w:t>
            </w:r>
          </w:p>
        </w:tc>
        <w:tc>
          <w:tcPr>
            <w:tcW w:type="dxa" w:w="6860"/>
            <w:tcMar>
              <w:top w:w="80" w:type="dxa"/>
              <w:start w:w="120" w:type="dxa"/>
              <w:bottom w:w="80" w:type="dxa"/>
              <w:end w:w="120" w:type="dxa"/>
            </w:tcMar>
            <w:vAlign w:val="center"/>
          </w:tcPr>
          <w:p>
            <w:pPr>
              <w:spacing w:after="0"/>
            </w:pPr>
            <w:r>
              <w:rPr>
                <w:rFonts w:ascii="Calibri" w:hAnsi="Calibri"/>
                <w:b w:val="0"/>
                <w:i w:val="0"/>
                <w:color w:val="111111"/>
                <w:sz w:val="19"/>
              </w:rPr>
              <w:t>Reviewer, date, decision, and limitations</w:t>
            </w:r>
          </w:p>
        </w:tc>
      </w:tr>
    </w:tbl>
    <w:p>
      <w:pPr>
        <w:pStyle w:val="Heading1"/>
        <w:keepNext/>
      </w:pPr>
      <w:r>
        <w:t>15. Governance and change management</w:t>
      </w:r>
    </w:p>
    <w:p>
      <w:pPr>
        <w:pStyle w:val="ListBullet"/>
      </w:pPr>
      <w:r>
        <w:t>Material changes include outcome definitions, population, horizon, methodology, scenario transmission, calibration, overlays, or permitted use.</w:t>
      </w:r>
    </w:p>
    <w:p>
      <w:pPr>
        <w:pStyle w:val="ListBullet"/>
      </w:pPr>
      <w:r>
        <w:t>Each material change requires documented rationale, impact analysis, testing, independent challenge, approval, and version increment.</w:t>
      </w:r>
    </w:p>
    <w:p>
      <w:pPr>
        <w:pStyle w:val="ListBullet"/>
      </w:pPr>
      <w:r>
        <w:t>Emergency overrides must be time-limited, separately reported, approved, and subject to retrospective review.</w:t>
      </w:r>
    </w:p>
    <w:p>
      <w:pPr>
        <w:pStyle w:val="ListBullet"/>
      </w:pPr>
      <w:r>
        <w:t>Monitoring thresholds must specify warning, breach, escalation owner, remediation deadline, and use restriction where appropriate.</w:t>
      </w:r>
    </w:p>
    <w:p>
      <w:pPr>
        <w:pStyle w:val="ListBullet"/>
      </w:pPr>
      <w:r>
        <w:t>Model artifacts must include development evidence, validation findings, implementation tests, limitations, user guidance, and change history.</w:t>
      </w:r>
    </w:p>
    <w:p>
      <w:pPr>
        <w:pStyle w:val="Heading1"/>
        <w:keepNext/>
      </w:pPr>
      <w:r>
        <w:t>16. Open design decisions</w:t>
      </w:r>
    </w:p>
    <w:p>
      <w:r>
        <w:t>The following decisions should be resolved before version 1.0 implementation is considered complete.</w:t>
      </w:r>
    </w:p>
    <w:tbl>
      <w:tblPr>
        <w:tblStyle w:val="TableGrid"/>
        <w:tblW w:type="dxa" w:w="9360"/>
        <w:jc w:val="left"/>
        <w:tblLayout w:type="fixed"/>
        <w:tblLook w:firstColumn="1" w:firstRow="1" w:lastColumn="0" w:lastRow="0" w:noHBand="0" w:noVBand="1" w:val="04A0"/>
        <w:tblInd w:w="120" w:type="dxa"/>
      </w:tblPr>
      <w:tblGrid>
        <w:gridCol w:w="2500"/>
        <w:gridCol w:w="4060"/>
        <w:gridCol w:w="2800"/>
      </w:tblGrid>
      <w:tr>
        <w:trPr>
          <w:tblHeader/>
        </w:trPr>
        <w:tc>
          <w:tcPr>
            <w:tcW w:type="dxa" w:w="2500"/>
            <w:shd w:fill="F2F4F7"/>
            <w:tcMar>
              <w:top w:w="80" w:type="dxa"/>
              <w:start w:w="120" w:type="dxa"/>
              <w:bottom w:w="80" w:type="dxa"/>
              <w:end w:w="120" w:type="dxa"/>
            </w:tcMar>
            <w:vAlign w:val="center"/>
          </w:tcPr>
          <w:p>
            <w:pPr>
              <w:spacing w:after="0"/>
            </w:pPr>
            <w:r>
              <w:rPr>
                <w:rFonts w:ascii="Calibri" w:hAnsi="Calibri"/>
                <w:b/>
                <w:i w:val="0"/>
                <w:color w:val="17365D"/>
                <w:sz w:val="19"/>
              </w:rPr>
              <w:t>Decision</w:t>
            </w:r>
          </w:p>
        </w:tc>
        <w:tc>
          <w:tcPr>
            <w:tcW w:type="dxa" w:w="4060"/>
            <w:shd w:fill="F2F4F7"/>
            <w:tcMar>
              <w:top w:w="80" w:type="dxa"/>
              <w:start w:w="120" w:type="dxa"/>
              <w:bottom w:w="80" w:type="dxa"/>
              <w:end w:w="120" w:type="dxa"/>
            </w:tcMar>
            <w:vAlign w:val="center"/>
          </w:tcPr>
          <w:p>
            <w:pPr>
              <w:spacing w:after="0"/>
            </w:pPr>
            <w:r>
              <w:rPr>
                <w:rFonts w:ascii="Calibri" w:hAnsi="Calibri"/>
                <w:b/>
                <w:i w:val="0"/>
                <w:color w:val="17365D"/>
                <w:sz w:val="19"/>
              </w:rPr>
              <w:t>Recommended starting position</w:t>
            </w:r>
          </w:p>
        </w:tc>
        <w:tc>
          <w:tcPr>
            <w:tcW w:type="dxa" w:w="2800"/>
            <w:shd w:fill="F2F4F7"/>
            <w:tcMar>
              <w:top w:w="80" w:type="dxa"/>
              <w:start w:w="120" w:type="dxa"/>
              <w:bottom w:w="80" w:type="dxa"/>
              <w:end w:w="120" w:type="dxa"/>
            </w:tcMar>
            <w:vAlign w:val="center"/>
          </w:tcPr>
          <w:p>
            <w:pPr>
              <w:spacing w:after="0"/>
            </w:pPr>
            <w:r>
              <w:rPr>
                <w:rFonts w:ascii="Calibri" w:hAnsi="Calibri"/>
                <w:b/>
                <w:i w:val="0"/>
                <w:color w:val="17365D"/>
                <w:sz w:val="19"/>
              </w:rPr>
              <w:t>Approval needed</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Authoritative framework</w:t>
            </w:r>
          </w:p>
        </w:tc>
        <w:tc>
          <w:tcPr>
            <w:tcW w:type="dxa" w:w="4060"/>
            <w:tcMar>
              <w:top w:w="80" w:type="dxa"/>
              <w:start w:w="120" w:type="dxa"/>
              <w:bottom w:w="80" w:type="dxa"/>
              <w:end w:w="120" w:type="dxa"/>
            </w:tcMar>
            <w:vAlign w:val="center"/>
          </w:tcPr>
          <w:p>
            <w:pPr>
              <w:spacing w:after="0"/>
            </w:pPr>
            <w:r>
              <w:rPr>
                <w:rFonts w:ascii="Calibri" w:hAnsi="Calibri"/>
                <w:b w:val="0"/>
                <w:i w:val="0"/>
                <w:color w:val="111111"/>
                <w:sz w:val="19"/>
              </w:rPr>
              <w:t>Economic expected loss first; map CECL/IFRS 9 later</w:t>
            </w:r>
          </w:p>
        </w:tc>
        <w:tc>
          <w:tcPr>
            <w:tcW w:type="dxa" w:w="2800"/>
            <w:tcMar>
              <w:top w:w="80" w:type="dxa"/>
              <w:start w:w="120" w:type="dxa"/>
              <w:bottom w:w="80" w:type="dxa"/>
              <w:end w:w="120" w:type="dxa"/>
            </w:tcMar>
            <w:vAlign w:val="center"/>
          </w:tcPr>
          <w:p>
            <w:pPr>
              <w:spacing w:after="0"/>
            </w:pPr>
            <w:r>
              <w:rPr>
                <w:rFonts w:ascii="Calibri" w:hAnsi="Calibri"/>
                <w:b w:val="0"/>
                <w:i w:val="0"/>
                <w:color w:val="111111"/>
                <w:sz w:val="19"/>
              </w:rPr>
              <w:t>Model owner and accounting/risk policy</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Forecast horizon</w:t>
            </w:r>
          </w:p>
        </w:tc>
        <w:tc>
          <w:tcPr>
            <w:tcW w:type="dxa" w:w="4060"/>
            <w:tcMar>
              <w:top w:w="80" w:type="dxa"/>
              <w:start w:w="120" w:type="dxa"/>
              <w:bottom w:w="80" w:type="dxa"/>
              <w:end w:w="120" w:type="dxa"/>
            </w:tcMar>
            <w:vAlign w:val="center"/>
          </w:tcPr>
          <w:p>
            <w:pPr>
              <w:spacing w:after="0"/>
            </w:pPr>
            <w:r>
              <w:rPr>
                <w:rFonts w:ascii="Calibri" w:hAnsi="Calibri"/>
                <w:b w:val="0"/>
                <w:i w:val="0"/>
                <w:color w:val="111111"/>
                <w:sz w:val="19"/>
              </w:rPr>
              <w:t>Quarterly through contractual maturity with configurable cap</w:t>
            </w:r>
          </w:p>
        </w:tc>
        <w:tc>
          <w:tcPr>
            <w:tcW w:type="dxa" w:w="2800"/>
            <w:tcMar>
              <w:top w:w="80" w:type="dxa"/>
              <w:start w:w="120" w:type="dxa"/>
              <w:bottom w:w="80" w:type="dxa"/>
              <w:end w:w="120" w:type="dxa"/>
            </w:tcMar>
            <w:vAlign w:val="center"/>
          </w:tcPr>
          <w:p>
            <w:pPr>
              <w:spacing w:after="0"/>
            </w:pPr>
            <w:r>
              <w:rPr>
                <w:rFonts w:ascii="Calibri" w:hAnsi="Calibri"/>
                <w:b w:val="0"/>
                <w:i w:val="0"/>
                <w:color w:val="111111"/>
                <w:sz w:val="19"/>
              </w:rPr>
              <w:t>Model owner</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Default definition</w:t>
            </w:r>
          </w:p>
        </w:tc>
        <w:tc>
          <w:tcPr>
            <w:tcW w:type="dxa" w:w="4060"/>
            <w:tcMar>
              <w:top w:w="80" w:type="dxa"/>
              <w:start w:w="120" w:type="dxa"/>
              <w:bottom w:w="80" w:type="dxa"/>
              <w:end w:w="120" w:type="dxa"/>
            </w:tcMar>
            <w:vAlign w:val="center"/>
          </w:tcPr>
          <w:p>
            <w:pPr>
              <w:spacing w:after="0"/>
            </w:pPr>
            <w:r>
              <w:rPr>
                <w:rFonts w:ascii="Calibri" w:hAnsi="Calibri"/>
                <w:b w:val="0"/>
                <w:i w:val="0"/>
                <w:color w:val="111111"/>
                <w:sz w:val="19"/>
              </w:rPr>
              <w:t>Earliest material failure using canonical trigger hierarchy</w:t>
            </w:r>
          </w:p>
        </w:tc>
        <w:tc>
          <w:tcPr>
            <w:tcW w:type="dxa" w:w="2800"/>
            <w:tcMar>
              <w:top w:w="80" w:type="dxa"/>
              <w:start w:w="120" w:type="dxa"/>
              <w:bottom w:w="80" w:type="dxa"/>
              <w:end w:w="120" w:type="dxa"/>
            </w:tcMar>
            <w:vAlign w:val="center"/>
          </w:tcPr>
          <w:p>
            <w:pPr>
              <w:spacing w:after="0"/>
            </w:pPr>
            <w:r>
              <w:rPr>
                <w:rFonts w:ascii="Calibri" w:hAnsi="Calibri"/>
                <w:b w:val="0"/>
                <w:i w:val="0"/>
                <w:color w:val="111111"/>
                <w:sz w:val="19"/>
              </w:rPr>
              <w:t>Credit policy and validation</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Discount rate</w:t>
            </w:r>
          </w:p>
        </w:tc>
        <w:tc>
          <w:tcPr>
            <w:tcW w:type="dxa" w:w="4060"/>
            <w:tcMar>
              <w:top w:w="80" w:type="dxa"/>
              <w:start w:w="120" w:type="dxa"/>
              <w:bottom w:w="80" w:type="dxa"/>
              <w:end w:w="120" w:type="dxa"/>
            </w:tcMar>
            <w:vAlign w:val="center"/>
          </w:tcPr>
          <w:p>
            <w:pPr>
              <w:spacing w:after="0"/>
            </w:pPr>
            <w:r>
              <w:rPr>
                <w:rFonts w:ascii="Calibri" w:hAnsi="Calibri"/>
                <w:b w:val="0"/>
                <w:i w:val="0"/>
                <w:color w:val="111111"/>
                <w:sz w:val="19"/>
              </w:rPr>
              <w:t>Effective-rate or economic-rate convention selected by use case</w:t>
            </w:r>
          </w:p>
        </w:tc>
        <w:tc>
          <w:tcPr>
            <w:tcW w:type="dxa" w:w="2800"/>
            <w:tcMar>
              <w:top w:w="80" w:type="dxa"/>
              <w:start w:w="120" w:type="dxa"/>
              <w:bottom w:w="80" w:type="dxa"/>
              <w:end w:w="120" w:type="dxa"/>
            </w:tcMar>
            <w:vAlign w:val="center"/>
          </w:tcPr>
          <w:p>
            <w:pPr>
              <w:spacing w:after="0"/>
            </w:pPr>
            <w:r>
              <w:rPr>
                <w:rFonts w:ascii="Calibri" w:hAnsi="Calibri"/>
                <w:b w:val="0"/>
                <w:i w:val="0"/>
                <w:color w:val="111111"/>
                <w:sz w:val="19"/>
              </w:rPr>
              <w:t>Accounting/risk policy</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Prepayment and maturity</w:t>
            </w:r>
          </w:p>
        </w:tc>
        <w:tc>
          <w:tcPr>
            <w:tcW w:type="dxa" w:w="4060"/>
            <w:tcMar>
              <w:top w:w="80" w:type="dxa"/>
              <w:start w:w="120" w:type="dxa"/>
              <w:bottom w:w="80" w:type="dxa"/>
              <w:end w:w="120" w:type="dxa"/>
            </w:tcMar>
            <w:vAlign w:val="center"/>
          </w:tcPr>
          <w:p>
            <w:pPr>
              <w:spacing w:after="0"/>
            </w:pPr>
            <w:r>
              <w:rPr>
                <w:rFonts w:ascii="Calibri" w:hAnsi="Calibri"/>
                <w:b w:val="0"/>
                <w:i w:val="0"/>
                <w:color w:val="111111"/>
                <w:sz w:val="19"/>
              </w:rPr>
              <w:t>Separate competing exits and explicit refinance treatment</w:t>
            </w:r>
          </w:p>
        </w:tc>
        <w:tc>
          <w:tcPr>
            <w:tcW w:type="dxa" w:w="2800"/>
            <w:tcMar>
              <w:top w:w="80" w:type="dxa"/>
              <w:start w:w="120" w:type="dxa"/>
              <w:bottom w:w="80" w:type="dxa"/>
              <w:end w:w="120" w:type="dxa"/>
            </w:tcMar>
            <w:vAlign w:val="center"/>
          </w:tcPr>
          <w:p>
            <w:pPr>
              <w:spacing w:after="0"/>
            </w:pPr>
            <w:r>
              <w:rPr>
                <w:rFonts w:ascii="Calibri" w:hAnsi="Calibri"/>
                <w:b w:val="0"/>
                <w:i w:val="0"/>
                <w:color w:val="111111"/>
                <w:sz w:val="19"/>
              </w:rPr>
              <w:t>Model owner and treasury/credit</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Scenario set and weights</w:t>
            </w:r>
          </w:p>
        </w:tc>
        <w:tc>
          <w:tcPr>
            <w:tcW w:type="dxa" w:w="4060"/>
            <w:tcMar>
              <w:top w:w="80" w:type="dxa"/>
              <w:start w:w="120" w:type="dxa"/>
              <w:bottom w:w="80" w:type="dxa"/>
              <w:end w:w="120" w:type="dxa"/>
            </w:tcMar>
            <w:vAlign w:val="center"/>
          </w:tcPr>
          <w:p>
            <w:pPr>
              <w:spacing w:after="0"/>
            </w:pPr>
            <w:r>
              <w:rPr>
                <w:rFonts w:ascii="Calibri" w:hAnsi="Calibri"/>
                <w:b w:val="0"/>
                <w:i w:val="0"/>
                <w:color w:val="111111"/>
                <w:sz w:val="19"/>
              </w:rPr>
              <w:t>Three coherent scenarios with documented effective dates</w:t>
            </w:r>
          </w:p>
        </w:tc>
        <w:tc>
          <w:tcPr>
            <w:tcW w:type="dxa" w:w="2800"/>
            <w:tcMar>
              <w:top w:w="80" w:type="dxa"/>
              <w:start w:w="120" w:type="dxa"/>
              <w:bottom w:w="80" w:type="dxa"/>
              <w:end w:w="120" w:type="dxa"/>
            </w:tcMar>
            <w:vAlign w:val="center"/>
          </w:tcPr>
          <w:p>
            <w:pPr>
              <w:spacing w:after="0"/>
            </w:pPr>
            <w:r>
              <w:rPr>
                <w:rFonts w:ascii="Calibri" w:hAnsi="Calibri"/>
                <w:b w:val="0"/>
                <w:i w:val="0"/>
                <w:color w:val="111111"/>
                <w:sz w:val="19"/>
              </w:rPr>
              <w:t>Governance committee</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Unresolved LGD cases</w:t>
            </w:r>
          </w:p>
        </w:tc>
        <w:tc>
          <w:tcPr>
            <w:tcW w:type="dxa" w:w="4060"/>
            <w:tcMar>
              <w:top w:w="80" w:type="dxa"/>
              <w:start w:w="120" w:type="dxa"/>
              <w:bottom w:w="80" w:type="dxa"/>
              <w:end w:w="120" w:type="dxa"/>
            </w:tcMar>
            <w:vAlign w:val="center"/>
          </w:tcPr>
          <w:p>
            <w:pPr>
              <w:spacing w:after="0"/>
            </w:pPr>
            <w:r>
              <w:rPr>
                <w:rFonts w:ascii="Calibri" w:hAnsi="Calibri"/>
                <w:b w:val="0"/>
                <w:i w:val="0"/>
                <w:color w:val="111111"/>
                <w:sz w:val="19"/>
              </w:rPr>
              <w:t>Censoring-aware treatment plus conservative benchmark</w:t>
            </w:r>
          </w:p>
        </w:tc>
        <w:tc>
          <w:tcPr>
            <w:tcW w:type="dxa" w:w="2800"/>
            <w:tcMar>
              <w:top w:w="80" w:type="dxa"/>
              <w:start w:w="120" w:type="dxa"/>
              <w:bottom w:w="80" w:type="dxa"/>
              <w:end w:w="120" w:type="dxa"/>
            </w:tcMar>
            <w:vAlign w:val="center"/>
          </w:tcPr>
          <w:p>
            <w:pPr>
              <w:spacing w:after="0"/>
            </w:pPr>
            <w:r>
              <w:rPr>
                <w:rFonts w:ascii="Calibri" w:hAnsi="Calibri"/>
                <w:b w:val="0"/>
                <w:i w:val="0"/>
                <w:color w:val="111111"/>
                <w:sz w:val="19"/>
              </w:rPr>
              <w:t>Model owner and validation</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Public-data suitability</w:t>
            </w:r>
          </w:p>
        </w:tc>
        <w:tc>
          <w:tcPr>
            <w:tcW w:type="dxa" w:w="4060"/>
            <w:tcMar>
              <w:top w:w="80" w:type="dxa"/>
              <w:start w:w="120" w:type="dxa"/>
              <w:bottom w:w="80" w:type="dxa"/>
              <w:end w:w="120" w:type="dxa"/>
            </w:tcMar>
            <w:vAlign w:val="center"/>
          </w:tcPr>
          <w:p>
            <w:pPr>
              <w:spacing w:after="0"/>
            </w:pPr>
            <w:r>
              <w:rPr>
                <w:rFonts w:ascii="Calibri" w:hAnsi="Calibri"/>
                <w:b w:val="0"/>
                <w:i w:val="0"/>
                <w:color w:val="111111"/>
                <w:sz w:val="19"/>
              </w:rPr>
              <w:t>Permit segment analytics; restrict unsupported loan-level claims</w:t>
            </w:r>
          </w:p>
        </w:tc>
        <w:tc>
          <w:tcPr>
            <w:tcW w:type="dxa" w:w="2800"/>
            <w:tcMar>
              <w:top w:w="80" w:type="dxa"/>
              <w:start w:w="120" w:type="dxa"/>
              <w:bottom w:w="80" w:type="dxa"/>
              <w:end w:w="120" w:type="dxa"/>
            </w:tcMar>
            <w:vAlign w:val="center"/>
          </w:tcPr>
          <w:p>
            <w:pPr>
              <w:spacing w:after="0"/>
            </w:pPr>
            <w:r>
              <w:rPr>
                <w:rFonts w:ascii="Calibri" w:hAnsi="Calibri"/>
                <w:b w:val="0"/>
                <w:i w:val="0"/>
                <w:color w:val="111111"/>
                <w:sz w:val="19"/>
              </w:rPr>
              <w:t>Model risk and business owner</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Production threshold</w:t>
            </w:r>
          </w:p>
        </w:tc>
        <w:tc>
          <w:tcPr>
            <w:tcW w:type="dxa" w:w="4060"/>
            <w:tcMar>
              <w:top w:w="80" w:type="dxa"/>
              <w:start w:w="120" w:type="dxa"/>
              <w:bottom w:w="80" w:type="dxa"/>
              <w:end w:w="120" w:type="dxa"/>
            </w:tcMar>
            <w:vAlign w:val="center"/>
          </w:tcPr>
          <w:p>
            <w:pPr>
              <w:spacing w:after="0"/>
            </w:pPr>
            <w:r>
              <w:rPr>
                <w:rFonts w:ascii="Calibri" w:hAnsi="Calibri"/>
                <w:b w:val="0"/>
                <w:i w:val="0"/>
                <w:color w:val="111111"/>
                <w:sz w:val="19"/>
              </w:rPr>
              <w:t>Validation, controls, monitoring, and approvals completed</w:t>
            </w:r>
          </w:p>
        </w:tc>
        <w:tc>
          <w:tcPr>
            <w:tcW w:type="dxa" w:w="2800"/>
            <w:tcMar>
              <w:top w:w="80" w:type="dxa"/>
              <w:start w:w="120" w:type="dxa"/>
              <w:bottom w:w="80" w:type="dxa"/>
              <w:end w:w="120" w:type="dxa"/>
            </w:tcMar>
            <w:vAlign w:val="center"/>
          </w:tcPr>
          <w:p>
            <w:pPr>
              <w:spacing w:after="0"/>
            </w:pPr>
            <w:r>
              <w:rPr>
                <w:rFonts w:ascii="Calibri" w:hAnsi="Calibri"/>
                <w:b w:val="0"/>
                <w:i w:val="0"/>
                <w:color w:val="111111"/>
                <w:sz w:val="19"/>
              </w:rPr>
              <w:t>Governance committee</w:t>
            </w:r>
          </w:p>
        </w:tc>
      </w:tr>
    </w:tbl>
    <w:p>
      <w:pPr>
        <w:pStyle w:val="Heading1"/>
        <w:keepNext/>
      </w:pPr>
      <w:r>
        <w:t>17. Phased delivery plan</w:t>
      </w:r>
    </w:p>
    <w:p>
      <w:pPr>
        <w:pStyle w:val="ListNumber"/>
      </w:pPr>
      <w:r>
        <w:t>Foundation: approve purpose, data contract, default/LGD definitions, lineage, and benchmark calculations.</w:t>
      </w:r>
    </w:p>
    <w:p>
      <w:pPr>
        <w:pStyle w:val="ListNumber"/>
      </w:pPr>
      <w:r>
        <w:t>PD development: build hazard dataset, baseline model, challenger, calibration, and out-of-time evaluation.</w:t>
      </w:r>
    </w:p>
    <w:p>
      <w:pPr>
        <w:pStyle w:val="ListNumber"/>
      </w:pPr>
      <w:r>
        <w:t>LGD/EAD development: construct workout and balance histories, benchmarks, models, and uncertainty treatment.</w:t>
      </w:r>
    </w:p>
    <w:p>
      <w:pPr>
        <w:pStyle w:val="ListNumber"/>
      </w:pPr>
      <w:r>
        <w:t>Scenario integration: specify paths, transmission equations, weights, sensitivities, and reconciliation controls.</w:t>
      </w:r>
    </w:p>
    <w:p>
      <w:pPr>
        <w:pStyle w:val="ListNumber"/>
      </w:pPr>
      <w:r>
        <w:t>Validation and governance: independent review, remediation, documentation, monitoring, and permitted-use approval.</w:t>
      </w:r>
    </w:p>
    <w:p>
      <w:pPr>
        <w:pStyle w:val="ListNumber"/>
      </w:pPr>
      <w:r>
        <w:t>Application layer: only after stable calculations, add UI, automation, access controls, and deployment monitoring.</w:t>
      </w:r>
    </w:p>
    <w:p>
      <w:pPr>
        <w:pStyle w:val="Heading1"/>
        <w:keepNext/>
      </w:pPr>
      <w:r>
        <w:t>18. Model classification and risk assessment</w:t>
      </w:r>
    </w:p>
    <w:p>
      <w:r>
        <w:t>SR 26-2 frames overall model risk through inherent risk and materiality. Materiality reflects model exposure and purpose. The assessment is performed at least at initial classification, before first use, after material change, when use expands, and when monitoring indicates a change in risk.</w:t>
      </w:r>
    </w:p>
    <w:tbl>
      <w:tblPr>
        <w:tblStyle w:val="TableGrid"/>
        <w:tblW w:type="dxa" w:w="9360"/>
        <w:jc w:val="left"/>
        <w:tblLayout w:type="fixed"/>
        <w:tblLook w:firstColumn="1" w:firstRow="1" w:lastColumn="0" w:lastRow="0" w:noHBand="0" w:noVBand="1" w:val="04A0"/>
        <w:tblInd w:w="120" w:type="dxa"/>
      </w:tblPr>
      <w:tblGrid>
        <w:gridCol w:w="1900"/>
        <w:gridCol w:w="4320"/>
        <w:gridCol w:w="3140"/>
      </w:tblGrid>
      <w:tr>
        <w:trPr>
          <w:tblHeader/>
        </w:trPr>
        <w:tc>
          <w:tcPr>
            <w:tcW w:type="dxa" w:w="1900"/>
            <w:shd w:fill="F2F4F7"/>
            <w:tcMar>
              <w:top w:w="80" w:type="dxa"/>
              <w:start w:w="120" w:type="dxa"/>
              <w:bottom w:w="80" w:type="dxa"/>
              <w:end w:w="120" w:type="dxa"/>
            </w:tcMar>
            <w:vAlign w:val="center"/>
          </w:tcPr>
          <w:p>
            <w:pPr>
              <w:spacing w:after="0"/>
            </w:pPr>
            <w:r>
              <w:rPr>
                <w:rFonts w:ascii="Calibri" w:hAnsi="Calibri"/>
                <w:b/>
                <w:i w:val="0"/>
                <w:color w:val="17365D"/>
                <w:sz w:val="19"/>
              </w:rPr>
              <w:t>Dimension</w:t>
            </w:r>
          </w:p>
        </w:tc>
        <w:tc>
          <w:tcPr>
            <w:tcW w:type="dxa" w:w="4320"/>
            <w:shd w:fill="F2F4F7"/>
            <w:tcMar>
              <w:top w:w="80" w:type="dxa"/>
              <w:start w:w="120" w:type="dxa"/>
              <w:bottom w:w="80" w:type="dxa"/>
              <w:end w:w="120" w:type="dxa"/>
            </w:tcMar>
            <w:vAlign w:val="center"/>
          </w:tcPr>
          <w:p>
            <w:pPr>
              <w:spacing w:after="0"/>
            </w:pPr>
            <w:r>
              <w:rPr>
                <w:rFonts w:ascii="Calibri" w:hAnsi="Calibri"/>
                <w:b/>
                <w:i w:val="0"/>
                <w:color w:val="17365D"/>
                <w:sz w:val="19"/>
              </w:rPr>
              <w:t>Assessment for this model</w:t>
            </w:r>
          </w:p>
        </w:tc>
        <w:tc>
          <w:tcPr>
            <w:tcW w:type="dxa" w:w="3140"/>
            <w:shd w:fill="F2F4F7"/>
            <w:tcMar>
              <w:top w:w="80" w:type="dxa"/>
              <w:start w:w="120" w:type="dxa"/>
              <w:bottom w:w="80" w:type="dxa"/>
              <w:end w:w="120" w:type="dxa"/>
            </w:tcMar>
            <w:vAlign w:val="center"/>
          </w:tcPr>
          <w:p>
            <w:pPr>
              <w:spacing w:after="0"/>
            </w:pPr>
            <w:r>
              <w:rPr>
                <w:rFonts w:ascii="Calibri" w:hAnsi="Calibri"/>
                <w:b/>
                <w:i w:val="0"/>
                <w:color w:val="17365D"/>
                <w:sz w:val="19"/>
              </w:rPr>
              <w:t>Evidence / action</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Model status</w:t>
            </w:r>
          </w:p>
        </w:tc>
        <w:tc>
          <w:tcPr>
            <w:tcW w:type="dxa" w:w="4320"/>
            <w:tcMar>
              <w:top w:w="80" w:type="dxa"/>
              <w:start w:w="120" w:type="dxa"/>
              <w:bottom w:w="80" w:type="dxa"/>
              <w:end w:w="120" w:type="dxa"/>
            </w:tcMar>
            <w:vAlign w:val="center"/>
          </w:tcPr>
          <w:p>
            <w:pPr>
              <w:spacing w:after="0"/>
            </w:pPr>
            <w:r>
              <w:rPr>
                <w:rFonts w:ascii="Calibri" w:hAnsi="Calibri"/>
                <w:b w:val="0"/>
                <w:i w:val="0"/>
                <w:color w:val="111111"/>
                <w:sz w:val="19"/>
              </w:rPr>
              <w:t>Model: PD, LGD, EAD, calibration, and statistical scenario relationships</w:t>
            </w:r>
          </w:p>
        </w:tc>
        <w:tc>
          <w:tcPr>
            <w:tcW w:type="dxa" w:w="3140"/>
            <w:tcMar>
              <w:top w:w="80" w:type="dxa"/>
              <w:start w:w="120" w:type="dxa"/>
              <w:bottom w:w="80" w:type="dxa"/>
              <w:end w:w="120" w:type="dxa"/>
            </w:tcMar>
            <w:vAlign w:val="center"/>
          </w:tcPr>
          <w:p>
            <w:pPr>
              <w:spacing w:after="0"/>
            </w:pPr>
            <w:r>
              <w:rPr>
                <w:rFonts w:ascii="Calibri" w:hAnsi="Calibri"/>
                <w:b w:val="0"/>
                <w:i w:val="0"/>
                <w:color w:val="111111"/>
                <w:sz w:val="19"/>
              </w:rPr>
              <w:t>Inventory entry and component map required</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Inherent risk</w:t>
            </w:r>
          </w:p>
        </w:tc>
        <w:tc>
          <w:tcPr>
            <w:tcW w:type="dxa" w:w="4320"/>
            <w:tcMar>
              <w:top w:w="80" w:type="dxa"/>
              <w:start w:w="120" w:type="dxa"/>
              <w:bottom w:w="80" w:type="dxa"/>
              <w:end w:w="120" w:type="dxa"/>
            </w:tcMar>
            <w:vAlign w:val="center"/>
          </w:tcPr>
          <w:p>
            <w:pPr>
              <w:spacing w:after="0"/>
            </w:pPr>
            <w:r>
              <w:rPr>
                <w:rFonts w:ascii="Calibri" w:hAnsi="Calibri"/>
                <w:b w:val="0"/>
                <w:i w:val="0"/>
                <w:color w:val="111111"/>
                <w:sz w:val="19"/>
              </w:rPr>
              <w:t>Provisionally high due to multiple components, assumptions, public-data constraints, and scenario dependence</w:t>
            </w:r>
          </w:p>
        </w:tc>
        <w:tc>
          <w:tcPr>
            <w:tcW w:type="dxa" w:w="3140"/>
            <w:tcMar>
              <w:top w:w="80" w:type="dxa"/>
              <w:start w:w="120" w:type="dxa"/>
              <w:bottom w:w="80" w:type="dxa"/>
              <w:end w:w="120" w:type="dxa"/>
            </w:tcMar>
            <w:vAlign w:val="center"/>
          </w:tcPr>
          <w:p>
            <w:pPr>
              <w:spacing w:after="0"/>
            </w:pPr>
            <w:r>
              <w:rPr>
                <w:rFonts w:ascii="Calibri" w:hAnsi="Calibri"/>
                <w:b w:val="0"/>
                <w:i w:val="0"/>
                <w:color w:val="111111"/>
                <w:sz w:val="19"/>
              </w:rPr>
              <w:t>Complete scored inherent-risk assessment</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Exposure</w:t>
            </w:r>
          </w:p>
        </w:tc>
        <w:tc>
          <w:tcPr>
            <w:tcW w:type="dxa" w:w="4320"/>
            <w:tcMar>
              <w:top w:w="80" w:type="dxa"/>
              <w:start w:w="120" w:type="dxa"/>
              <w:bottom w:w="80" w:type="dxa"/>
              <w:end w:w="120" w:type="dxa"/>
            </w:tcMar>
            <w:vAlign w:val="center"/>
          </w:tcPr>
          <w:p>
            <w:pPr>
              <w:spacing w:after="0"/>
            </w:pPr>
            <w:r>
              <w:rPr>
                <w:rFonts w:ascii="Calibri" w:hAnsi="Calibri"/>
                <w:b w:val="0"/>
                <w:i w:val="0"/>
                <w:color w:val="111111"/>
                <w:sz w:val="19"/>
              </w:rPr>
              <w:t>TBD; quantify portfolio balance, allowance/capital influence, users, frequency, and downstream consumers</w:t>
            </w:r>
          </w:p>
        </w:tc>
        <w:tc>
          <w:tcPr>
            <w:tcW w:type="dxa" w:w="3140"/>
            <w:tcMar>
              <w:top w:w="80" w:type="dxa"/>
              <w:start w:w="120" w:type="dxa"/>
              <w:bottom w:w="80" w:type="dxa"/>
              <w:end w:w="120" w:type="dxa"/>
            </w:tcMar>
            <w:vAlign w:val="center"/>
          </w:tcPr>
          <w:p>
            <w:pPr>
              <w:spacing w:after="0"/>
            </w:pPr>
            <w:r>
              <w:rPr>
                <w:rFonts w:ascii="Calibri" w:hAnsi="Calibri"/>
                <w:b w:val="0"/>
                <w:i w:val="0"/>
                <w:color w:val="111111"/>
                <w:sz w:val="19"/>
              </w:rPr>
              <w:t>Exposure inventory and dependency map</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Purpose</w:t>
            </w:r>
          </w:p>
        </w:tc>
        <w:tc>
          <w:tcPr>
            <w:tcW w:type="dxa" w:w="4320"/>
            <w:tcMar>
              <w:top w:w="80" w:type="dxa"/>
              <w:start w:w="120" w:type="dxa"/>
              <w:bottom w:w="80" w:type="dxa"/>
              <w:end w:w="120" w:type="dxa"/>
            </w:tcMar>
            <w:vAlign w:val="center"/>
          </w:tcPr>
          <w:p>
            <w:pPr>
              <w:spacing w:after="0"/>
            </w:pPr>
            <w:r>
              <w:rPr>
                <w:rFonts w:ascii="Calibri" w:hAnsi="Calibri"/>
                <w:b w:val="0"/>
                <w:i w:val="0"/>
                <w:color w:val="111111"/>
                <w:sz w:val="19"/>
              </w:rPr>
              <w:t>Potential financial-risk management and possibly financial/regulatory reporting</w:t>
            </w:r>
          </w:p>
        </w:tc>
        <w:tc>
          <w:tcPr>
            <w:tcW w:type="dxa" w:w="3140"/>
            <w:tcMar>
              <w:top w:w="80" w:type="dxa"/>
              <w:start w:w="120" w:type="dxa"/>
              <w:bottom w:w="80" w:type="dxa"/>
              <w:end w:w="120" w:type="dxa"/>
            </w:tcMar>
            <w:vAlign w:val="center"/>
          </w:tcPr>
          <w:p>
            <w:pPr>
              <w:spacing w:after="0"/>
            </w:pPr>
            <w:r>
              <w:rPr>
                <w:rFonts w:ascii="Calibri" w:hAnsi="Calibri"/>
                <w:b w:val="0"/>
                <w:i w:val="0"/>
                <w:color w:val="111111"/>
                <w:sz w:val="19"/>
              </w:rPr>
              <w:t>Approve intended and prohibited uses</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Materiality</w:t>
            </w:r>
          </w:p>
        </w:tc>
        <w:tc>
          <w:tcPr>
            <w:tcW w:type="dxa" w:w="4320"/>
            <w:tcMar>
              <w:top w:w="80" w:type="dxa"/>
              <w:start w:w="120" w:type="dxa"/>
              <w:bottom w:w="80" w:type="dxa"/>
              <w:end w:w="120" w:type="dxa"/>
            </w:tcMar>
            <w:vAlign w:val="center"/>
          </w:tcPr>
          <w:p>
            <w:pPr>
              <w:spacing w:after="0"/>
            </w:pPr>
            <w:r>
              <w:rPr>
                <w:rFonts w:ascii="Calibri" w:hAnsi="Calibri"/>
                <w:b w:val="0"/>
                <w:i w:val="0"/>
                <w:color w:val="111111"/>
                <w:sz w:val="19"/>
              </w:rPr>
              <w:t>Provisionally high if used for allowance, capital, stress testing, or material portfolio decisions</w:t>
            </w:r>
          </w:p>
        </w:tc>
        <w:tc>
          <w:tcPr>
            <w:tcW w:type="dxa" w:w="3140"/>
            <w:tcMar>
              <w:top w:w="80" w:type="dxa"/>
              <w:start w:w="120" w:type="dxa"/>
              <w:bottom w:w="80" w:type="dxa"/>
              <w:end w:w="120" w:type="dxa"/>
            </w:tcMar>
            <w:vAlign w:val="center"/>
          </w:tcPr>
          <w:p>
            <w:pPr>
              <w:spacing w:after="0"/>
            </w:pPr>
            <w:r>
              <w:rPr>
                <w:rFonts w:ascii="Calibri" w:hAnsi="Calibri"/>
                <w:b w:val="0"/>
                <w:i w:val="0"/>
                <w:color w:val="111111"/>
                <w:sz w:val="19"/>
              </w:rPr>
              <w:t>MRM approval of tier and rationale</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Aggregate risk</w:t>
            </w:r>
          </w:p>
        </w:tc>
        <w:tc>
          <w:tcPr>
            <w:tcW w:type="dxa" w:w="4320"/>
            <w:tcMar>
              <w:top w:w="80" w:type="dxa"/>
              <w:start w:w="120" w:type="dxa"/>
              <w:bottom w:w="80" w:type="dxa"/>
              <w:end w:w="120" w:type="dxa"/>
            </w:tcMar>
            <w:vAlign w:val="center"/>
          </w:tcPr>
          <w:p>
            <w:pPr>
              <w:spacing w:after="0"/>
            </w:pPr>
            <w:r>
              <w:rPr>
                <w:rFonts w:ascii="Calibri" w:hAnsi="Calibri"/>
                <w:b w:val="0"/>
                <w:i w:val="0"/>
                <w:color w:val="111111"/>
                <w:sz w:val="19"/>
              </w:rPr>
              <w:t>Shared data, assumptions, scenarios, and downstream reports can create correlated error</w:t>
            </w:r>
          </w:p>
        </w:tc>
        <w:tc>
          <w:tcPr>
            <w:tcW w:type="dxa" w:w="3140"/>
            <w:tcMar>
              <w:top w:w="80" w:type="dxa"/>
              <w:start w:w="120" w:type="dxa"/>
              <w:bottom w:w="80" w:type="dxa"/>
              <w:end w:w="120" w:type="dxa"/>
            </w:tcMar>
            <w:vAlign w:val="center"/>
          </w:tcPr>
          <w:p>
            <w:pPr>
              <w:spacing w:after="0"/>
            </w:pPr>
            <w:r>
              <w:rPr>
                <w:rFonts w:ascii="Calibri" w:hAnsi="Calibri"/>
                <w:b w:val="0"/>
                <w:i w:val="0"/>
                <w:color w:val="111111"/>
                <w:sz w:val="19"/>
              </w:rPr>
              <w:t>Enterprise dependency and concentration assessment</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Overall rating</w:t>
            </w:r>
          </w:p>
        </w:tc>
        <w:tc>
          <w:tcPr>
            <w:tcW w:type="dxa" w:w="4320"/>
            <w:tcMar>
              <w:top w:w="80" w:type="dxa"/>
              <w:start w:w="120" w:type="dxa"/>
              <w:bottom w:w="80" w:type="dxa"/>
              <w:end w:w="120" w:type="dxa"/>
            </w:tcMar>
            <w:vAlign w:val="center"/>
          </w:tcPr>
          <w:p>
            <w:pPr>
              <w:spacing w:after="0"/>
            </w:pPr>
            <w:r>
              <w:rPr>
                <w:rFonts w:ascii="Calibri" w:hAnsi="Calibri"/>
                <w:b w:val="0"/>
                <w:i w:val="0"/>
                <w:color w:val="111111"/>
                <w:sz w:val="19"/>
              </w:rPr>
              <w:t>Provisional High pending institutional methodology</w:t>
            </w:r>
          </w:p>
        </w:tc>
        <w:tc>
          <w:tcPr>
            <w:tcW w:type="dxa" w:w="3140"/>
            <w:tcMar>
              <w:top w:w="80" w:type="dxa"/>
              <w:start w:w="120" w:type="dxa"/>
              <w:bottom w:w="80" w:type="dxa"/>
              <w:end w:w="120" w:type="dxa"/>
            </w:tcMar>
            <w:vAlign w:val="center"/>
          </w:tcPr>
          <w:p>
            <w:pPr>
              <w:spacing w:after="0"/>
            </w:pPr>
            <w:r>
              <w:rPr>
                <w:rFonts w:ascii="Calibri" w:hAnsi="Calibri"/>
                <w:b w:val="0"/>
                <w:i w:val="0"/>
                <w:color w:val="111111"/>
                <w:sz w:val="19"/>
              </w:rPr>
              <w:t>Final classification by Model Risk Management</w:t>
            </w:r>
          </w:p>
        </w:tc>
      </w:tr>
    </w:tbl>
    <w:p>
      <w:pPr>
        <w:spacing w:before="120" w:after="160"/>
        <w:ind w:left="173" w:right="173"/>
        <w:shd w:fill="FFF4D6"/>
        <w:pBdr>
          <w:left w:val="single" w:sz="18" w:space="6" w:color="2E74B5"/>
        </w:pBdr>
      </w:pPr>
      <w:r>
        <w:rPr>
          <w:rFonts w:ascii="Calibri" w:hAnsi="Calibri"/>
          <w:b/>
          <w:i w:val="0"/>
          <w:color w:val="17365D"/>
          <w:sz w:val="22"/>
        </w:rPr>
        <w:t xml:space="preserve">Provisional classification: </w:t>
      </w:r>
      <w:r>
        <w:rPr>
          <w:rFonts w:ascii="Calibri" w:hAnsi="Calibri"/>
          <w:b w:val="0"/>
          <w:i w:val="0"/>
          <w:color w:val="111111"/>
          <w:sz w:val="22"/>
        </w:rPr>
        <w:t>Apply the institution's approved rating methodology. Until exposure and purpose are approved, manage the model at the higher provisional tier rather than using this document's narrative as the final rating.</w:t>
      </w:r>
    </w:p>
    <w:p>
      <w:pPr>
        <w:pStyle w:val="Heading1"/>
        <w:keepNext/>
      </w:pPr>
      <w:r>
        <w:t>19. Lifecycle governance and accountability</w:t>
      </w:r>
    </w:p>
    <w:p>
      <w:pPr>
        <w:pStyle w:val="Heading2"/>
        <w:keepNext/>
      </w:pPr>
      <w:r>
        <w:t>19.1 Lifecycle gates</w:t>
      </w:r>
    </w:p>
    <w:p>
      <w:pPr>
        <w:pStyle w:val="ListNumber"/>
      </w:pPr>
      <w:r>
        <w:t>Concept approval: intended use, model definition, provisional risk rating, data feasibility, and accountable owner.</w:t>
      </w:r>
    </w:p>
    <w:p>
      <w:pPr>
        <w:pStyle w:val="ListNumber"/>
      </w:pPr>
      <w:r>
        <w:t>Development completion: theory, data, assumptions, testing, limitations, code review, documentation, and owner attestation.</w:t>
      </w:r>
    </w:p>
    <w:p>
      <w:pPr>
        <w:pStyle w:val="ListNumber"/>
      </w:pPr>
      <w:r>
        <w:t>Validation completion: conceptual soundness, outcomes analysis, monitoring design, implementation verification, findings, and use recommendation.</w:t>
      </w:r>
    </w:p>
    <w:p>
      <w:pPr>
        <w:pStyle w:val="ListNumber"/>
      </w:pPr>
      <w:r>
        <w:t>Use approval: model-risk decision, business acceptance, conditions, limitations, monitoring thresholds, and effective date.</w:t>
      </w:r>
    </w:p>
    <w:p>
      <w:pPr>
        <w:pStyle w:val="ListNumber"/>
      </w:pPr>
      <w:r>
        <w:t>Ongoing use: scheduled monitoring, outcome comparison, limitation review, issue remediation, and periodic relevance assessment.</w:t>
      </w:r>
    </w:p>
    <w:p>
      <w:pPr>
        <w:pStyle w:val="ListNumber"/>
      </w:pPr>
      <w:r>
        <w:t>Change or retirement: impact assessment, revalidation decision, controlled implementation, archival, and downstream transition.</w:t>
      </w:r>
    </w:p>
    <w:p>
      <w:pPr>
        <w:pStyle w:val="Heading2"/>
        <w:keepNext/>
      </w:pPr>
      <w:r>
        <w:t>19.2 Responsibilities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trPr>
        <w:tc>
          <w:tcPr>
            <w:tcW w:type="dxa" w:w="2500"/>
            <w:shd w:fill="F2F4F7"/>
            <w:tcMar>
              <w:top w:w="80" w:type="dxa"/>
              <w:start w:w="120" w:type="dxa"/>
              <w:bottom w:w="80" w:type="dxa"/>
              <w:end w:w="120" w:type="dxa"/>
            </w:tcMar>
            <w:vAlign w:val="center"/>
          </w:tcPr>
          <w:p>
            <w:pPr>
              <w:spacing w:after="0"/>
            </w:pPr>
            <w:r>
              <w:rPr>
                <w:rFonts w:ascii="Calibri" w:hAnsi="Calibri"/>
                <w:b/>
                <w:i w:val="0"/>
                <w:color w:val="17365D"/>
                <w:sz w:val="19"/>
              </w:rPr>
              <w:t>Role</w:t>
            </w:r>
          </w:p>
        </w:tc>
        <w:tc>
          <w:tcPr>
            <w:tcW w:type="dxa" w:w="6860"/>
            <w:shd w:fill="F2F4F7"/>
            <w:tcMar>
              <w:top w:w="80" w:type="dxa"/>
              <w:start w:w="120" w:type="dxa"/>
              <w:bottom w:w="80" w:type="dxa"/>
              <w:end w:w="120" w:type="dxa"/>
            </w:tcMar>
            <w:vAlign w:val="center"/>
          </w:tcPr>
          <w:p>
            <w:pPr>
              <w:spacing w:after="0"/>
            </w:pPr>
            <w:r>
              <w:rPr>
                <w:rFonts w:ascii="Calibri" w:hAnsi="Calibri"/>
                <w:b/>
                <w:i w:val="0"/>
                <w:color w:val="17365D"/>
                <w:sz w:val="19"/>
              </w:rPr>
              <w:t>Accountability</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Board / delegated committee</w:t>
            </w:r>
          </w:p>
        </w:tc>
        <w:tc>
          <w:tcPr>
            <w:tcW w:type="dxa" w:w="6860"/>
            <w:tcMar>
              <w:top w:w="80" w:type="dxa"/>
              <w:start w:w="120" w:type="dxa"/>
              <w:bottom w:w="80" w:type="dxa"/>
              <w:end w:w="120" w:type="dxa"/>
            </w:tcMar>
            <w:vAlign w:val="center"/>
          </w:tcPr>
          <w:p>
            <w:pPr>
              <w:spacing w:after="0"/>
            </w:pPr>
            <w:r>
              <w:rPr>
                <w:rFonts w:ascii="Calibri" w:hAnsi="Calibri"/>
                <w:b w:val="0"/>
                <w:i w:val="0"/>
                <w:color w:val="111111"/>
                <w:sz w:val="19"/>
              </w:rPr>
              <w:t>Oversees aggregate model risk within risk appetite and receives material risk reporting as defined by enterprise policy</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Senior management</w:t>
            </w:r>
          </w:p>
        </w:tc>
        <w:tc>
          <w:tcPr>
            <w:tcW w:type="dxa" w:w="6860"/>
            <w:tcMar>
              <w:top w:w="80" w:type="dxa"/>
              <w:start w:w="120" w:type="dxa"/>
              <w:bottom w:w="80" w:type="dxa"/>
              <w:end w:w="120" w:type="dxa"/>
            </w:tcMar>
            <w:vAlign w:val="center"/>
          </w:tcPr>
          <w:p>
            <w:pPr>
              <w:spacing w:after="0"/>
            </w:pPr>
            <w:r>
              <w:rPr>
                <w:rFonts w:ascii="Calibri" w:hAnsi="Calibri"/>
                <w:b w:val="0"/>
                <w:i w:val="0"/>
                <w:color w:val="111111"/>
                <w:sz w:val="19"/>
              </w:rPr>
              <w:t>Provides resources, enforces policy, reviews material limitations/findings, and directs remediation</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Model owner</w:t>
            </w:r>
          </w:p>
        </w:tc>
        <w:tc>
          <w:tcPr>
            <w:tcW w:type="dxa" w:w="6860"/>
            <w:tcMar>
              <w:top w:w="80" w:type="dxa"/>
              <w:start w:w="120" w:type="dxa"/>
              <w:bottom w:w="80" w:type="dxa"/>
              <w:end w:w="120" w:type="dxa"/>
            </w:tcMar>
            <w:vAlign w:val="center"/>
          </w:tcPr>
          <w:p>
            <w:pPr>
              <w:spacing w:after="0"/>
            </w:pPr>
            <w:r>
              <w:rPr>
                <w:rFonts w:ascii="Calibri" w:hAnsi="Calibri"/>
                <w:b w:val="0"/>
                <w:i w:val="0"/>
                <w:color w:val="111111"/>
                <w:sz w:val="19"/>
              </w:rPr>
              <w:t>Accountable for intended use, performance, inventory accuracy, monitoring, limitations, issues, and user communication</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Developer</w:t>
            </w:r>
          </w:p>
        </w:tc>
        <w:tc>
          <w:tcPr>
            <w:tcW w:type="dxa" w:w="6860"/>
            <w:tcMar>
              <w:top w:w="80" w:type="dxa"/>
              <w:start w:w="120" w:type="dxa"/>
              <w:bottom w:w="80" w:type="dxa"/>
              <w:end w:w="120" w:type="dxa"/>
            </w:tcMar>
            <w:vAlign w:val="center"/>
          </w:tcPr>
          <w:p>
            <w:pPr>
              <w:spacing w:after="0"/>
            </w:pPr>
            <w:r>
              <w:rPr>
                <w:rFonts w:ascii="Calibri" w:hAnsi="Calibri"/>
                <w:b w:val="0"/>
                <w:i w:val="0"/>
                <w:color w:val="111111"/>
                <w:sz w:val="19"/>
              </w:rPr>
              <w:t>Documents design, data, assumptions, testing, code, reproducibility, and changes; responds to effective challenge</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Model user</w:t>
            </w:r>
          </w:p>
        </w:tc>
        <w:tc>
          <w:tcPr>
            <w:tcW w:type="dxa" w:w="6860"/>
            <w:tcMar>
              <w:top w:w="80" w:type="dxa"/>
              <w:start w:w="120" w:type="dxa"/>
              <w:bottom w:w="80" w:type="dxa"/>
              <w:end w:w="120" w:type="dxa"/>
            </w:tcMar>
            <w:vAlign w:val="center"/>
          </w:tcPr>
          <w:p>
            <w:pPr>
              <w:spacing w:after="0"/>
            </w:pPr>
            <w:r>
              <w:rPr>
                <w:rFonts w:ascii="Calibri" w:hAnsi="Calibri"/>
                <w:b w:val="0"/>
                <w:i w:val="0"/>
                <w:color w:val="111111"/>
                <w:sz w:val="19"/>
              </w:rPr>
              <w:t>Uses only for approved purposes, understands limitations, reports unexpected behavior, and preserves decision evidence</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Model Risk Management / validator</w:t>
            </w:r>
          </w:p>
        </w:tc>
        <w:tc>
          <w:tcPr>
            <w:tcW w:type="dxa" w:w="6860"/>
            <w:tcMar>
              <w:top w:w="80" w:type="dxa"/>
              <w:start w:w="120" w:type="dxa"/>
              <w:bottom w:w="80" w:type="dxa"/>
              <w:end w:w="120" w:type="dxa"/>
            </w:tcMar>
            <w:vAlign w:val="center"/>
          </w:tcPr>
          <w:p>
            <w:pPr>
              <w:spacing w:after="0"/>
            </w:pPr>
            <w:r>
              <w:rPr>
                <w:rFonts w:ascii="Calibri" w:hAnsi="Calibri"/>
                <w:b w:val="0"/>
                <w:i w:val="0"/>
                <w:color w:val="111111"/>
                <w:sz w:val="19"/>
              </w:rPr>
              <w:t>Provides objective, technically competent challenge with sufficient independence and influence; recommends approval conditions</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Technology / data owner</w:t>
            </w:r>
          </w:p>
        </w:tc>
        <w:tc>
          <w:tcPr>
            <w:tcW w:type="dxa" w:w="6860"/>
            <w:tcMar>
              <w:top w:w="80" w:type="dxa"/>
              <w:start w:w="120" w:type="dxa"/>
              <w:bottom w:w="80" w:type="dxa"/>
              <w:end w:w="120" w:type="dxa"/>
            </w:tcMar>
            <w:vAlign w:val="center"/>
          </w:tcPr>
          <w:p>
            <w:pPr>
              <w:spacing w:after="0"/>
            </w:pPr>
            <w:r>
              <w:rPr>
                <w:rFonts w:ascii="Calibri" w:hAnsi="Calibri"/>
                <w:b w:val="0"/>
                <w:i w:val="0"/>
                <w:color w:val="111111"/>
                <w:sz w:val="19"/>
              </w:rPr>
              <w:t>Maintains controlled implementation, access, lineage, change deployment, resilience, and production evidence</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Internal audit</w:t>
            </w:r>
          </w:p>
        </w:tc>
        <w:tc>
          <w:tcPr>
            <w:tcW w:type="dxa" w:w="6860"/>
            <w:tcMar>
              <w:top w:w="80" w:type="dxa"/>
              <w:start w:w="120" w:type="dxa"/>
              <w:bottom w:w="80" w:type="dxa"/>
              <w:end w:w="120" w:type="dxa"/>
            </w:tcMar>
            <w:vAlign w:val="center"/>
          </w:tcPr>
          <w:p>
            <w:pPr>
              <w:spacing w:after="0"/>
            </w:pPr>
            <w:r>
              <w:rPr>
                <w:rFonts w:ascii="Calibri" w:hAnsi="Calibri"/>
                <w:b w:val="0"/>
                <w:i w:val="0"/>
                <w:color w:val="111111"/>
                <w:sz w:val="19"/>
              </w:rPr>
              <w:t>Evaluates whether the model-risk framework and related policies are rigorous, effective, and implemented; does not duplicate development or validation</w:t>
            </w:r>
          </w:p>
        </w:tc>
      </w:tr>
    </w:tbl>
    <w:p>
      <w:pPr>
        <w:pStyle w:val="Heading1"/>
        <w:keepNext/>
      </w:pPr>
      <w:r>
        <w:t>20. Approval, conditions, and use control</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trPr>
        <w:tc>
          <w:tcPr>
            <w:tcW w:type="dxa" w:w="2600"/>
            <w:shd w:fill="F2F4F7"/>
            <w:tcMar>
              <w:top w:w="80" w:type="dxa"/>
              <w:start w:w="120" w:type="dxa"/>
              <w:bottom w:w="80" w:type="dxa"/>
              <w:end w:w="120" w:type="dxa"/>
            </w:tcMar>
            <w:vAlign w:val="center"/>
          </w:tcPr>
          <w:p>
            <w:pPr>
              <w:spacing w:after="0"/>
            </w:pPr>
            <w:r>
              <w:rPr>
                <w:rFonts w:ascii="Calibri" w:hAnsi="Calibri"/>
                <w:b/>
                <w:i w:val="0"/>
                <w:color w:val="17365D"/>
                <w:sz w:val="19"/>
              </w:rPr>
              <w:t>Approval field</w:t>
            </w:r>
          </w:p>
        </w:tc>
        <w:tc>
          <w:tcPr>
            <w:tcW w:type="dxa" w:w="6760"/>
            <w:shd w:fill="F2F4F7"/>
            <w:tcMar>
              <w:top w:w="80" w:type="dxa"/>
              <w:start w:w="120" w:type="dxa"/>
              <w:bottom w:w="80" w:type="dxa"/>
              <w:end w:w="120" w:type="dxa"/>
            </w:tcMar>
            <w:vAlign w:val="center"/>
          </w:tcPr>
          <w:p>
            <w:pPr>
              <w:spacing w:after="0"/>
            </w:pPr>
            <w:r>
              <w:rPr>
                <w:rFonts w:ascii="Calibri" w:hAnsi="Calibri"/>
                <w:b/>
                <w:i w:val="0"/>
                <w:color w:val="17365D"/>
                <w:sz w:val="19"/>
              </w:rPr>
              <w:t>Required record</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111"/>
                <w:sz w:val="19"/>
              </w:rPr>
              <w:t>Model identifier / version</w:t>
            </w:r>
          </w:p>
        </w:tc>
        <w:tc>
          <w:tcPr>
            <w:tcW w:type="dxa" w:w="6760"/>
            <w:tcMar>
              <w:top w:w="80" w:type="dxa"/>
              <w:start w:w="120" w:type="dxa"/>
              <w:bottom w:w="80" w:type="dxa"/>
              <w:end w:w="120" w:type="dxa"/>
            </w:tcMar>
            <w:vAlign w:val="center"/>
          </w:tcPr>
          <w:p>
            <w:pPr>
              <w:spacing w:after="0"/>
            </w:pPr>
            <w:r>
              <w:rPr>
                <w:rFonts w:ascii="Calibri" w:hAnsi="Calibri"/>
                <w:b w:val="0"/>
                <w:i w:val="0"/>
                <w:color w:val="111111"/>
                <w:sz w:val="19"/>
              </w:rPr>
              <w:t>TBD - match the authoritative model inventory</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111"/>
                <w:sz w:val="19"/>
              </w:rPr>
              <w:t>Risk rating / tier</w:t>
            </w:r>
          </w:p>
        </w:tc>
        <w:tc>
          <w:tcPr>
            <w:tcW w:type="dxa" w:w="6760"/>
            <w:tcMar>
              <w:top w:w="80" w:type="dxa"/>
              <w:start w:w="120" w:type="dxa"/>
              <w:bottom w:w="80" w:type="dxa"/>
              <w:end w:w="120" w:type="dxa"/>
            </w:tcMar>
            <w:vAlign w:val="center"/>
          </w:tcPr>
          <w:p>
            <w:pPr>
              <w:spacing w:after="0"/>
            </w:pPr>
            <w:r>
              <w:rPr>
                <w:rFonts w:ascii="Calibri" w:hAnsi="Calibri"/>
                <w:b w:val="0"/>
                <w:i w:val="0"/>
                <w:color w:val="111111"/>
                <w:sz w:val="19"/>
              </w:rPr>
              <w:t>TBD - approved under institutional methodology</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111"/>
                <w:sz w:val="19"/>
              </w:rPr>
              <w:t>Approved uses</w:t>
            </w:r>
          </w:p>
        </w:tc>
        <w:tc>
          <w:tcPr>
            <w:tcW w:type="dxa" w:w="6760"/>
            <w:tcMar>
              <w:top w:w="80" w:type="dxa"/>
              <w:start w:w="120" w:type="dxa"/>
              <w:bottom w:w="80" w:type="dxa"/>
              <w:end w:w="120" w:type="dxa"/>
            </w:tcMar>
            <w:vAlign w:val="center"/>
          </w:tcPr>
          <w:p>
            <w:pPr>
              <w:spacing w:after="0"/>
            </w:pPr>
            <w:r>
              <w:rPr>
                <w:rFonts w:ascii="Calibri" w:hAnsi="Calibri"/>
                <w:b w:val="0"/>
                <w:i w:val="0"/>
                <w:color w:val="111111"/>
                <w:sz w:val="19"/>
              </w:rPr>
              <w:t>TBD - enumerate by process, portfolio, legal entity, geography, and reporting purpose</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111"/>
                <w:sz w:val="19"/>
              </w:rPr>
              <w:t>Prohibited uses</w:t>
            </w:r>
          </w:p>
        </w:tc>
        <w:tc>
          <w:tcPr>
            <w:tcW w:type="dxa" w:w="6760"/>
            <w:tcMar>
              <w:top w:w="80" w:type="dxa"/>
              <w:start w:w="120" w:type="dxa"/>
              <w:bottom w:w="80" w:type="dxa"/>
              <w:end w:w="120" w:type="dxa"/>
            </w:tcMar>
            <w:vAlign w:val="center"/>
          </w:tcPr>
          <w:p>
            <w:pPr>
              <w:spacing w:after="0"/>
            </w:pPr>
            <w:r>
              <w:rPr>
                <w:rFonts w:ascii="Calibri" w:hAnsi="Calibri"/>
                <w:b w:val="0"/>
                <w:i w:val="0"/>
                <w:color w:val="111111"/>
                <w:sz w:val="19"/>
              </w:rPr>
              <w:t>Sole-decision automation; unsupported populations; unapproved accounting, capital, underwriting, or regulatory use</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111"/>
                <w:sz w:val="19"/>
              </w:rPr>
              <w:t>Approval conditions</w:t>
            </w:r>
          </w:p>
        </w:tc>
        <w:tc>
          <w:tcPr>
            <w:tcW w:type="dxa" w:w="6760"/>
            <w:tcMar>
              <w:top w:w="80" w:type="dxa"/>
              <w:start w:w="120" w:type="dxa"/>
              <w:bottom w:w="80" w:type="dxa"/>
              <w:end w:w="120" w:type="dxa"/>
            </w:tcMar>
            <w:vAlign w:val="center"/>
          </w:tcPr>
          <w:p>
            <w:pPr>
              <w:spacing w:after="0"/>
            </w:pPr>
            <w:r>
              <w:rPr>
                <w:rFonts w:ascii="Calibri" w:hAnsi="Calibri"/>
                <w:b w:val="0"/>
                <w:i w:val="0"/>
                <w:color w:val="111111"/>
                <w:sz w:val="19"/>
              </w:rPr>
              <w:t>TBD - validation findings, overlays, limits, enhanced monitoring, or data remediation</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111"/>
                <w:sz w:val="19"/>
              </w:rPr>
              <w:t>Effective / expiry dates</w:t>
            </w:r>
          </w:p>
        </w:tc>
        <w:tc>
          <w:tcPr>
            <w:tcW w:type="dxa" w:w="6760"/>
            <w:tcMar>
              <w:top w:w="80" w:type="dxa"/>
              <w:start w:w="120" w:type="dxa"/>
              <w:bottom w:w="80" w:type="dxa"/>
              <w:end w:w="120" w:type="dxa"/>
            </w:tcMar>
            <w:vAlign w:val="center"/>
          </w:tcPr>
          <w:p>
            <w:pPr>
              <w:spacing w:after="0"/>
            </w:pPr>
            <w:r>
              <w:rPr>
                <w:rFonts w:ascii="Calibri" w:hAnsi="Calibri"/>
                <w:b w:val="0"/>
                <w:i w:val="0"/>
                <w:color w:val="111111"/>
                <w:sz w:val="19"/>
              </w:rPr>
              <w:t>TBD - include next review or revalidation trigger</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111"/>
                <w:sz w:val="19"/>
              </w:rPr>
              <w:t>Approvers</w:t>
            </w:r>
          </w:p>
        </w:tc>
        <w:tc>
          <w:tcPr>
            <w:tcW w:type="dxa" w:w="6760"/>
            <w:tcMar>
              <w:top w:w="80" w:type="dxa"/>
              <w:start w:w="120" w:type="dxa"/>
              <w:bottom w:w="80" w:type="dxa"/>
              <w:end w:w="120" w:type="dxa"/>
            </w:tcMar>
            <w:vAlign w:val="center"/>
          </w:tcPr>
          <w:p>
            <w:pPr>
              <w:spacing w:after="0"/>
            </w:pPr>
            <w:r>
              <w:rPr>
                <w:rFonts w:ascii="Calibri" w:hAnsi="Calibri"/>
                <w:b w:val="0"/>
                <w:i w:val="0"/>
                <w:color w:val="111111"/>
                <w:sz w:val="19"/>
              </w:rPr>
              <w:t>Business owner, Model Risk Management, and other functions required by enterprise policy</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111"/>
                <w:sz w:val="19"/>
              </w:rPr>
              <w:t>Evidence location</w:t>
            </w:r>
          </w:p>
        </w:tc>
        <w:tc>
          <w:tcPr>
            <w:tcW w:type="dxa" w:w="6760"/>
            <w:tcMar>
              <w:top w:w="80" w:type="dxa"/>
              <w:start w:w="120" w:type="dxa"/>
              <w:bottom w:w="80" w:type="dxa"/>
              <w:end w:w="120" w:type="dxa"/>
            </w:tcMar>
            <w:vAlign w:val="center"/>
          </w:tcPr>
          <w:p>
            <w:pPr>
              <w:spacing w:after="0"/>
            </w:pPr>
            <w:r>
              <w:rPr>
                <w:rFonts w:ascii="Calibri" w:hAnsi="Calibri"/>
                <w:b w:val="0"/>
                <w:i w:val="0"/>
                <w:color w:val="111111"/>
                <w:sz w:val="19"/>
              </w:rPr>
              <w:t>Authoritative approval record and electronic signatures</w:t>
            </w:r>
          </w:p>
        </w:tc>
      </w:tr>
    </w:tbl>
    <w:p>
      <w:pPr>
        <w:pStyle w:val="Heading2"/>
        <w:keepNext/>
      </w:pPr>
      <w:r>
        <w:t>20.1 Temporary use before validation</w:t>
      </w:r>
    </w:p>
    <w:p>
      <w:r>
        <w:t>Temporary use before completed validation is exceptional. The request must document urgent need, scope, duration, known limitations, affected decisions, exposure, compensating controls, heightened monitoring, user notices, approval authority, validation completion date, and automatic expiration. It must not become an informal permanent exception.</w:t>
      </w:r>
    </w:p>
    <w:p>
      <w:pPr>
        <w:pStyle w:val="Heading1"/>
        <w:keepNext/>
      </w:pPr>
      <w:r>
        <w:t>21. Ongoing monitoring and performance response</w:t>
      </w:r>
    </w:p>
    <w:p>
      <w:r>
        <w:t>The owner maintains a monitoring plan approved with the model. Thresholds are set from developmental and validation evidence and are recorded numerically in the monitoring specification; this document provides the minimum categories rather than inventing institution-specific limits.</w:t>
      </w:r>
    </w:p>
    <w:tbl>
      <w:tblPr>
        <w:tblStyle w:val="TableGrid"/>
        <w:tblW w:type="dxa" w:w="9360"/>
        <w:jc w:val="left"/>
        <w:tblLayout w:type="fixed"/>
        <w:tblLook w:firstColumn="1" w:firstRow="1" w:lastColumn="0" w:lastRow="0" w:noHBand="0" w:noVBand="1" w:val="04A0"/>
        <w:tblInd w:w="120" w:type="dxa"/>
      </w:tblPr>
      <w:tblGrid>
        <w:gridCol w:w="1900"/>
        <w:gridCol w:w="4520"/>
        <w:gridCol w:w="2940"/>
      </w:tblGrid>
      <w:tr>
        <w:trPr>
          <w:tblHeader/>
        </w:trPr>
        <w:tc>
          <w:tcPr>
            <w:tcW w:type="dxa" w:w="1900"/>
            <w:shd w:fill="F2F4F7"/>
            <w:tcMar>
              <w:top w:w="80" w:type="dxa"/>
              <w:start w:w="120" w:type="dxa"/>
              <w:bottom w:w="80" w:type="dxa"/>
              <w:end w:w="120" w:type="dxa"/>
            </w:tcMar>
            <w:vAlign w:val="center"/>
          </w:tcPr>
          <w:p>
            <w:pPr>
              <w:spacing w:after="0"/>
            </w:pPr>
            <w:r>
              <w:rPr>
                <w:rFonts w:ascii="Calibri" w:hAnsi="Calibri"/>
                <w:b/>
                <w:i w:val="0"/>
                <w:color w:val="17365D"/>
                <w:sz w:val="19"/>
              </w:rPr>
              <w:t>Monitoring domain</w:t>
            </w:r>
          </w:p>
        </w:tc>
        <w:tc>
          <w:tcPr>
            <w:tcW w:type="dxa" w:w="4520"/>
            <w:shd w:fill="F2F4F7"/>
            <w:tcMar>
              <w:top w:w="80" w:type="dxa"/>
              <w:start w:w="120" w:type="dxa"/>
              <w:bottom w:w="80" w:type="dxa"/>
              <w:end w:w="120" w:type="dxa"/>
            </w:tcMar>
            <w:vAlign w:val="center"/>
          </w:tcPr>
          <w:p>
            <w:pPr>
              <w:spacing w:after="0"/>
            </w:pPr>
            <w:r>
              <w:rPr>
                <w:rFonts w:ascii="Calibri" w:hAnsi="Calibri"/>
                <w:b/>
                <w:i w:val="0"/>
                <w:color w:val="17365D"/>
                <w:sz w:val="19"/>
              </w:rPr>
              <w:t>Minimum measures</w:t>
            </w:r>
          </w:p>
        </w:tc>
        <w:tc>
          <w:tcPr>
            <w:tcW w:type="dxa" w:w="2940"/>
            <w:shd w:fill="F2F4F7"/>
            <w:tcMar>
              <w:top w:w="80" w:type="dxa"/>
              <w:start w:w="120" w:type="dxa"/>
              <w:bottom w:w="80" w:type="dxa"/>
              <w:end w:w="120" w:type="dxa"/>
            </w:tcMar>
            <w:vAlign w:val="center"/>
          </w:tcPr>
          <w:p>
            <w:pPr>
              <w:spacing w:after="0"/>
            </w:pPr>
            <w:r>
              <w:rPr>
                <w:rFonts w:ascii="Calibri" w:hAnsi="Calibri"/>
                <w:b/>
                <w:i w:val="0"/>
                <w:color w:val="17365D"/>
                <w:sz w:val="19"/>
              </w:rPr>
              <w:t>Response to breach</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Data</w:t>
            </w:r>
          </w:p>
        </w:tc>
        <w:tc>
          <w:tcPr>
            <w:tcW w:type="dxa" w:w="4520"/>
            <w:tcMar>
              <w:top w:w="80" w:type="dxa"/>
              <w:start w:w="120" w:type="dxa"/>
              <w:bottom w:w="80" w:type="dxa"/>
              <w:end w:w="120" w:type="dxa"/>
            </w:tcMar>
            <w:vAlign w:val="center"/>
          </w:tcPr>
          <w:p>
            <w:pPr>
              <w:spacing w:after="0"/>
            </w:pPr>
            <w:r>
              <w:rPr>
                <w:rFonts w:ascii="Calibri" w:hAnsi="Calibri"/>
                <w:b w:val="0"/>
                <w:i w:val="0"/>
                <w:color w:val="111111"/>
                <w:sz w:val="19"/>
              </w:rPr>
              <w:t>Completeness, timeliness, key reconciliation, missingness, range, drift, and source changes</w:t>
            </w:r>
          </w:p>
        </w:tc>
        <w:tc>
          <w:tcPr>
            <w:tcW w:type="dxa" w:w="2940"/>
            <w:tcMar>
              <w:top w:w="80" w:type="dxa"/>
              <w:start w:w="120" w:type="dxa"/>
              <w:bottom w:w="80" w:type="dxa"/>
              <w:end w:w="120" w:type="dxa"/>
            </w:tcMar>
            <w:vAlign w:val="center"/>
          </w:tcPr>
          <w:p>
            <w:pPr>
              <w:spacing w:after="0"/>
            </w:pPr>
            <w:r>
              <w:rPr>
                <w:rFonts w:ascii="Calibri" w:hAnsi="Calibri"/>
                <w:b w:val="0"/>
                <w:i w:val="0"/>
                <w:color w:val="111111"/>
                <w:sz w:val="19"/>
              </w:rPr>
              <w:t>Investigate lineage; assess affected runs; restrict use if material</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PD</w:t>
            </w:r>
          </w:p>
        </w:tc>
        <w:tc>
          <w:tcPr>
            <w:tcW w:type="dxa" w:w="4520"/>
            <w:tcMar>
              <w:top w:w="80" w:type="dxa"/>
              <w:start w:w="120" w:type="dxa"/>
              <w:bottom w:w="80" w:type="dxa"/>
              <w:end w:w="120" w:type="dxa"/>
            </w:tcMar>
            <w:vAlign w:val="center"/>
          </w:tcPr>
          <w:p>
            <w:pPr>
              <w:spacing w:after="0"/>
            </w:pPr>
            <w:r>
              <w:rPr>
                <w:rFonts w:ascii="Calibri" w:hAnsi="Calibri"/>
                <w:b w:val="0"/>
                <w:i w:val="0"/>
                <w:color w:val="111111"/>
                <w:sz w:val="19"/>
              </w:rPr>
              <w:t>Calibration, O/E, rank ordering, Brier score, horizon consistency, segment and vintage stability</w:t>
            </w:r>
          </w:p>
        </w:tc>
        <w:tc>
          <w:tcPr>
            <w:tcW w:type="dxa" w:w="2940"/>
            <w:tcMar>
              <w:top w:w="80" w:type="dxa"/>
              <w:start w:w="120" w:type="dxa"/>
              <w:bottom w:w="80" w:type="dxa"/>
              <w:end w:w="120" w:type="dxa"/>
            </w:tcMar>
            <w:vAlign w:val="center"/>
          </w:tcPr>
          <w:p>
            <w:pPr>
              <w:spacing w:after="0"/>
            </w:pPr>
            <w:r>
              <w:rPr>
                <w:rFonts w:ascii="Calibri" w:hAnsi="Calibri"/>
                <w:b w:val="0"/>
                <w:i w:val="0"/>
                <w:color w:val="111111"/>
                <w:sz w:val="19"/>
              </w:rPr>
              <w:t>Recalibrate, adjust, redevelop, or constrain use</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LGD</w:t>
            </w:r>
          </w:p>
        </w:tc>
        <w:tc>
          <w:tcPr>
            <w:tcW w:type="dxa" w:w="4520"/>
            <w:tcMar>
              <w:top w:w="80" w:type="dxa"/>
              <w:start w:w="120" w:type="dxa"/>
              <w:bottom w:w="80" w:type="dxa"/>
              <w:end w:w="120" w:type="dxa"/>
            </w:tcMar>
            <w:vAlign w:val="center"/>
          </w:tcPr>
          <w:p>
            <w:pPr>
              <w:spacing w:after="0"/>
            </w:pPr>
            <w:r>
              <w:rPr>
                <w:rFonts w:ascii="Calibri" w:hAnsi="Calibri"/>
                <w:b w:val="0"/>
                <w:i w:val="0"/>
                <w:color w:val="111111"/>
                <w:sz w:val="19"/>
              </w:rPr>
              <w:t>Recovery timing, realized severity, resolution mix, collateral error, segment bias</w:t>
            </w:r>
          </w:p>
        </w:tc>
        <w:tc>
          <w:tcPr>
            <w:tcW w:type="dxa" w:w="2940"/>
            <w:tcMar>
              <w:top w:w="80" w:type="dxa"/>
              <w:start w:w="120" w:type="dxa"/>
              <w:bottom w:w="80" w:type="dxa"/>
              <w:end w:w="120" w:type="dxa"/>
            </w:tcMar>
            <w:vAlign w:val="center"/>
          </w:tcPr>
          <w:p>
            <w:pPr>
              <w:spacing w:after="0"/>
            </w:pPr>
            <w:r>
              <w:rPr>
                <w:rFonts w:ascii="Calibri" w:hAnsi="Calibri"/>
                <w:b w:val="0"/>
                <w:i w:val="0"/>
                <w:color w:val="111111"/>
                <w:sz w:val="19"/>
              </w:rPr>
              <w:t>Re-estimate, overlay with governance, or redevelop</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EAD</w:t>
            </w:r>
          </w:p>
        </w:tc>
        <w:tc>
          <w:tcPr>
            <w:tcW w:type="dxa" w:w="4520"/>
            <w:tcMar>
              <w:top w:w="80" w:type="dxa"/>
              <w:start w:w="120" w:type="dxa"/>
              <w:bottom w:w="80" w:type="dxa"/>
              <w:end w:w="120" w:type="dxa"/>
            </w:tcMar>
            <w:vAlign w:val="center"/>
          </w:tcPr>
          <w:p>
            <w:pPr>
              <w:spacing w:after="0"/>
            </w:pPr>
            <w:r>
              <w:rPr>
                <w:rFonts w:ascii="Calibri" w:hAnsi="Calibri"/>
                <w:b w:val="0"/>
                <w:i w:val="0"/>
                <w:color w:val="111111"/>
                <w:sz w:val="19"/>
              </w:rPr>
              <w:t>Balance reconciliation, utilization error, maturity/prepayment performance, exposure bounds</w:t>
            </w:r>
          </w:p>
        </w:tc>
        <w:tc>
          <w:tcPr>
            <w:tcW w:type="dxa" w:w="2940"/>
            <w:tcMar>
              <w:top w:w="80" w:type="dxa"/>
              <w:start w:w="120" w:type="dxa"/>
              <w:bottom w:w="80" w:type="dxa"/>
              <w:end w:w="120" w:type="dxa"/>
            </w:tcMar>
            <w:vAlign w:val="center"/>
          </w:tcPr>
          <w:p>
            <w:pPr>
              <w:spacing w:after="0"/>
            </w:pPr>
            <w:r>
              <w:rPr>
                <w:rFonts w:ascii="Calibri" w:hAnsi="Calibri"/>
                <w:b w:val="0"/>
                <w:i w:val="0"/>
                <w:color w:val="111111"/>
                <w:sz w:val="19"/>
              </w:rPr>
              <w:t>Correct implementation or assumptions; restate affected output</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Scenario</w:t>
            </w:r>
          </w:p>
        </w:tc>
        <w:tc>
          <w:tcPr>
            <w:tcW w:type="dxa" w:w="4520"/>
            <w:tcMar>
              <w:top w:w="80" w:type="dxa"/>
              <w:start w:w="120" w:type="dxa"/>
              <w:bottom w:w="80" w:type="dxa"/>
              <w:end w:w="120" w:type="dxa"/>
            </w:tcMar>
            <w:vAlign w:val="center"/>
          </w:tcPr>
          <w:p>
            <w:pPr>
              <w:spacing w:after="0"/>
            </w:pPr>
            <w:r>
              <w:rPr>
                <w:rFonts w:ascii="Calibri" w:hAnsi="Calibri"/>
                <w:b w:val="0"/>
                <w:i w:val="0"/>
                <w:color w:val="111111"/>
                <w:sz w:val="19"/>
              </w:rPr>
              <w:t>Sensitivity, directionality, coherence, weight controls, duplicate-shock tests</w:t>
            </w:r>
          </w:p>
        </w:tc>
        <w:tc>
          <w:tcPr>
            <w:tcW w:type="dxa" w:w="2940"/>
            <w:tcMar>
              <w:top w:w="80" w:type="dxa"/>
              <w:start w:w="120" w:type="dxa"/>
              <w:bottom w:w="80" w:type="dxa"/>
              <w:end w:w="120" w:type="dxa"/>
            </w:tcMar>
            <w:vAlign w:val="center"/>
          </w:tcPr>
          <w:p>
            <w:pPr>
              <w:spacing w:after="0"/>
            </w:pPr>
            <w:r>
              <w:rPr>
                <w:rFonts w:ascii="Calibri" w:hAnsi="Calibri"/>
                <w:b w:val="0"/>
                <w:i w:val="0"/>
                <w:color w:val="111111"/>
                <w:sz w:val="19"/>
              </w:rPr>
              <w:t>Suspend scenario result or revise approved transmission</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Use and exposure</w:t>
            </w:r>
          </w:p>
        </w:tc>
        <w:tc>
          <w:tcPr>
            <w:tcW w:type="dxa" w:w="4520"/>
            <w:tcMar>
              <w:top w:w="80" w:type="dxa"/>
              <w:start w:w="120" w:type="dxa"/>
              <w:bottom w:w="80" w:type="dxa"/>
              <w:end w:w="120" w:type="dxa"/>
            </w:tcMar>
            <w:vAlign w:val="center"/>
          </w:tcPr>
          <w:p>
            <w:pPr>
              <w:spacing w:after="0"/>
            </w:pPr>
            <w:r>
              <w:rPr>
                <w:rFonts w:ascii="Calibri" w:hAnsi="Calibri"/>
                <w:b w:val="0"/>
                <w:i w:val="0"/>
                <w:color w:val="111111"/>
                <w:sz w:val="19"/>
              </w:rPr>
              <w:t>Users, decisions, portfolio size, downstream dependencies, overrides, exceptions</w:t>
            </w:r>
          </w:p>
        </w:tc>
        <w:tc>
          <w:tcPr>
            <w:tcW w:type="dxa" w:w="2940"/>
            <w:tcMar>
              <w:top w:w="80" w:type="dxa"/>
              <w:start w:w="120" w:type="dxa"/>
              <w:bottom w:w="80" w:type="dxa"/>
              <w:end w:w="120" w:type="dxa"/>
            </w:tcMar>
            <w:vAlign w:val="center"/>
          </w:tcPr>
          <w:p>
            <w:pPr>
              <w:spacing w:after="0"/>
            </w:pPr>
            <w:r>
              <w:rPr>
                <w:rFonts w:ascii="Calibri" w:hAnsi="Calibri"/>
                <w:b w:val="0"/>
                <w:i w:val="0"/>
                <w:color w:val="111111"/>
                <w:sz w:val="19"/>
              </w:rPr>
              <w:t>Reclassify risk/materiality and reassess controls</w:t>
            </w:r>
          </w:p>
        </w:tc>
      </w:tr>
      <w:tr>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Limitations/issues</w:t>
            </w:r>
          </w:p>
        </w:tc>
        <w:tc>
          <w:tcPr>
            <w:tcW w:type="dxa" w:w="4520"/>
            <w:tcMar>
              <w:top w:w="80" w:type="dxa"/>
              <w:start w:w="120" w:type="dxa"/>
              <w:bottom w:w="80" w:type="dxa"/>
              <w:end w:w="120" w:type="dxa"/>
            </w:tcMar>
            <w:vAlign w:val="center"/>
          </w:tcPr>
          <w:p>
            <w:pPr>
              <w:spacing w:after="0"/>
            </w:pPr>
            <w:r>
              <w:rPr>
                <w:rFonts w:ascii="Calibri" w:hAnsi="Calibri"/>
                <w:b w:val="0"/>
                <w:i w:val="0"/>
                <w:color w:val="111111"/>
                <w:sz w:val="19"/>
              </w:rPr>
              <w:t>Aging, severity, overdue actions, repeated breaches, compensating controls</w:t>
            </w:r>
          </w:p>
        </w:tc>
        <w:tc>
          <w:tcPr>
            <w:tcW w:type="dxa" w:w="2940"/>
            <w:tcMar>
              <w:top w:w="80" w:type="dxa"/>
              <w:start w:w="120" w:type="dxa"/>
              <w:bottom w:w="80" w:type="dxa"/>
              <w:end w:w="120" w:type="dxa"/>
            </w:tcMar>
            <w:vAlign w:val="center"/>
          </w:tcPr>
          <w:p>
            <w:pPr>
              <w:spacing w:after="0"/>
            </w:pPr>
            <w:r>
              <w:rPr>
                <w:rFonts w:ascii="Calibri" w:hAnsi="Calibri"/>
                <w:b w:val="0"/>
                <w:i w:val="0"/>
                <w:color w:val="111111"/>
                <w:sz w:val="19"/>
              </w:rPr>
              <w:t>Escalate; impose limits or withdraw approval</w:t>
            </w:r>
          </w:p>
        </w:tc>
      </w:tr>
    </w:tbl>
    <w:p>
      <w:pPr>
        <w:pStyle w:val="Heading2"/>
        <w:keepNext/>
      </w:pPr>
      <w:r>
        <w:t>21.1 Performance actions</w:t>
      </w:r>
    </w:p>
    <w:p>
      <w:r>
        <w:t>Meaningful deviation from expectations triggers a documented assessment of adjustment, recalibration, redevelopment, overlay, use restriction, or retirement. The action must identify root cause, materiality, affected outputs and decisions, interim control, owner, due date, approval, and closure evidence.</w:t>
      </w:r>
    </w:p>
    <w:p>
      <w:pPr>
        <w:pStyle w:val="Heading1"/>
        <w:keepNext/>
      </w:pPr>
      <w:r>
        <w:t>22. Overlays, expert judgment, and exceptions</w:t>
      </w:r>
    </w:p>
    <w:p>
      <w:pPr>
        <w:pStyle w:val="ListBullet"/>
      </w:pPr>
      <w:r>
        <w:t>Every overlay has a defined purpose, quantified basis, scope, owner, effective date, expiration or review date, and independent challenge.</w:t>
      </w:r>
    </w:p>
    <w:p>
      <w:pPr>
        <w:pStyle w:val="ListBullet"/>
      </w:pPr>
      <w:r>
        <w:t>The rationale distinguishes model limitation, emerging risk, data deficiency, policy choice, and conservatism.</w:t>
      </w:r>
    </w:p>
    <w:p>
      <w:pPr>
        <w:pStyle w:val="ListBullet"/>
      </w:pPr>
      <w:r>
        <w:t>Double counting is tested across base model, scenario effects, qualitative adjustments, and management overlays.</w:t>
      </w:r>
    </w:p>
    <w:p>
      <w:pPr>
        <w:pStyle w:val="ListBullet"/>
      </w:pPr>
      <w:r>
        <w:t>Backtesting compares adjusted and unadjusted results; overlays do not substitute indefinitely for remediation.</w:t>
      </w:r>
    </w:p>
    <w:p>
      <w:pPr>
        <w:pStyle w:val="ListBullet"/>
      </w:pPr>
      <w:r>
        <w:t>Exceptions to data, validation, use, or monitoring standards are time-bound, approved, tracked, and reported by severity.</w:t>
      </w:r>
    </w:p>
    <w:p>
      <w:pPr>
        <w:pStyle w:val="Heading1"/>
        <w:keepNext/>
      </w:pPr>
      <w:r>
        <w:t>23. Third-party and external-resource controls</w:t>
      </w:r>
    </w:p>
    <w:p>
      <w:r>
        <w:t>Public data, vendor data, external parameters, libraries, and any third-party model component remain subject to model-risk management. Limited access to proprietary code or development data does not remove the need to understand conceptual design, intended use, development data, performance, limitations, and local fit.</w:t>
      </w:r>
    </w:p>
    <w:p>
      <w:pPr>
        <w:pStyle w:val="ListBullet"/>
      </w:pPr>
      <w:r>
        <w:t>Perform due diligence covering methodology, data provenance, versioning, change notices, performance evidence, limitations, service continuity, information security, and contractual audit/access rights.</w:t>
      </w:r>
    </w:p>
    <w:p>
      <w:pPr>
        <w:pStyle w:val="ListBullet"/>
      </w:pPr>
      <w:r>
        <w:t>Validate local use, customization, data mapping, and performance; vendor validation does not replace institution-specific evaluation.</w:t>
      </w:r>
    </w:p>
    <w:p>
      <w:pPr>
        <w:pStyle w:val="ListBullet"/>
      </w:pPr>
      <w:r>
        <w:t>Monitor outcomes and continued fitness for purpose; assess vendor releases as model changes.</w:t>
      </w:r>
    </w:p>
    <w:p>
      <w:pPr>
        <w:pStyle w:val="ListBullet"/>
      </w:pPr>
      <w:r>
        <w:t>Integrate external validators or consultants into institutional issue, approval, documentation, and accountability processes.</w:t>
      </w:r>
    </w:p>
    <w:p>
      <w:pPr>
        <w:pStyle w:val="Heading1"/>
        <w:keepNext/>
      </w:pPr>
      <w:r>
        <w:t>24. Issue management and model-risk acceptance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trPr>
        <w:tc>
          <w:tcPr>
            <w:tcW w:type="dxa" w:w="2300"/>
            <w:shd w:fill="F2F4F7"/>
            <w:tcMar>
              <w:top w:w="80" w:type="dxa"/>
              <w:start w:w="120" w:type="dxa"/>
              <w:bottom w:w="80" w:type="dxa"/>
              <w:end w:w="120" w:type="dxa"/>
            </w:tcMar>
            <w:vAlign w:val="center"/>
          </w:tcPr>
          <w:p>
            <w:pPr>
              <w:spacing w:after="0"/>
            </w:pPr>
            <w:r>
              <w:rPr>
                <w:rFonts w:ascii="Calibri" w:hAnsi="Calibri"/>
                <w:b/>
                <w:i w:val="0"/>
                <w:color w:val="17365D"/>
                <w:sz w:val="19"/>
              </w:rPr>
              <w:t>Issue field</w:t>
            </w:r>
          </w:p>
        </w:tc>
        <w:tc>
          <w:tcPr>
            <w:tcW w:type="dxa" w:w="7060"/>
            <w:shd w:fill="F2F4F7"/>
            <w:tcMar>
              <w:top w:w="80" w:type="dxa"/>
              <w:start w:w="120" w:type="dxa"/>
              <w:bottom w:w="80" w:type="dxa"/>
              <w:end w:w="120" w:type="dxa"/>
            </w:tcMar>
            <w:vAlign w:val="center"/>
          </w:tcPr>
          <w:p>
            <w:pPr>
              <w:spacing w:after="0"/>
            </w:pPr>
            <w:r>
              <w:rPr>
                <w:rFonts w:ascii="Calibri" w:hAnsi="Calibri"/>
                <w:b/>
                <w:i w:val="0"/>
                <w:color w:val="17365D"/>
                <w:sz w:val="19"/>
              </w:rPr>
              <w:t>Minimum content</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111"/>
                <w:sz w:val="19"/>
              </w:rPr>
              <w:t>Identification</w:t>
            </w:r>
          </w:p>
        </w:tc>
        <w:tc>
          <w:tcPr>
            <w:tcW w:type="dxa" w:w="7060"/>
            <w:tcMar>
              <w:top w:w="80" w:type="dxa"/>
              <w:start w:w="120" w:type="dxa"/>
              <w:bottom w:w="80" w:type="dxa"/>
              <w:end w:w="120" w:type="dxa"/>
            </w:tcMar>
            <w:vAlign w:val="center"/>
          </w:tcPr>
          <w:p>
            <w:pPr>
              <w:spacing w:after="0"/>
            </w:pPr>
            <w:r>
              <w:rPr>
                <w:rFonts w:ascii="Calibri" w:hAnsi="Calibri"/>
                <w:b w:val="0"/>
                <w:i w:val="0"/>
                <w:color w:val="111111"/>
                <w:sz w:val="19"/>
              </w:rPr>
              <w:t>Unique ID, source, date, model/version, component, and affected use</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111"/>
                <w:sz w:val="19"/>
              </w:rPr>
              <w:t>Assessment</w:t>
            </w:r>
          </w:p>
        </w:tc>
        <w:tc>
          <w:tcPr>
            <w:tcW w:type="dxa" w:w="7060"/>
            <w:tcMar>
              <w:top w:w="80" w:type="dxa"/>
              <w:start w:w="120" w:type="dxa"/>
              <w:bottom w:w="80" w:type="dxa"/>
              <w:end w:w="120" w:type="dxa"/>
            </w:tcMar>
            <w:vAlign w:val="center"/>
          </w:tcPr>
          <w:p>
            <w:pPr>
              <w:spacing w:after="0"/>
            </w:pPr>
            <w:r>
              <w:rPr>
                <w:rFonts w:ascii="Calibri" w:hAnsi="Calibri"/>
                <w:b w:val="0"/>
                <w:i w:val="0"/>
                <w:color w:val="111111"/>
                <w:sz w:val="19"/>
              </w:rPr>
              <w:t>Severity, root cause, exposure, affected outputs/decisions, and aggregate implications</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111"/>
                <w:sz w:val="19"/>
              </w:rPr>
              <w:t>Interim control</w:t>
            </w:r>
          </w:p>
        </w:tc>
        <w:tc>
          <w:tcPr>
            <w:tcW w:type="dxa" w:w="7060"/>
            <w:tcMar>
              <w:top w:w="80" w:type="dxa"/>
              <w:start w:w="120" w:type="dxa"/>
              <w:bottom w:w="80" w:type="dxa"/>
              <w:end w:w="120" w:type="dxa"/>
            </w:tcMar>
            <w:vAlign w:val="center"/>
          </w:tcPr>
          <w:p>
            <w:pPr>
              <w:spacing w:after="0"/>
            </w:pPr>
            <w:r>
              <w:rPr>
                <w:rFonts w:ascii="Calibri" w:hAnsi="Calibri"/>
                <w:b w:val="0"/>
                <w:i w:val="0"/>
                <w:color w:val="111111"/>
                <w:sz w:val="19"/>
              </w:rPr>
              <w:t>Use limit, overlay, manual review, enhanced monitoring, or suspension</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111"/>
                <w:sz w:val="19"/>
              </w:rPr>
              <w:t>Remediation</w:t>
            </w:r>
          </w:p>
        </w:tc>
        <w:tc>
          <w:tcPr>
            <w:tcW w:type="dxa" w:w="7060"/>
            <w:tcMar>
              <w:top w:w="80" w:type="dxa"/>
              <w:start w:w="120" w:type="dxa"/>
              <w:bottom w:w="80" w:type="dxa"/>
              <w:end w:w="120" w:type="dxa"/>
            </w:tcMar>
            <w:vAlign w:val="center"/>
          </w:tcPr>
          <w:p>
            <w:pPr>
              <w:spacing w:after="0"/>
            </w:pPr>
            <w:r>
              <w:rPr>
                <w:rFonts w:ascii="Calibri" w:hAnsi="Calibri"/>
                <w:b w:val="0"/>
                <w:i w:val="0"/>
                <w:color w:val="111111"/>
                <w:sz w:val="19"/>
              </w:rPr>
              <w:t>Action, accountable owner, milestones, due date, dependencies, and resources</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111"/>
                <w:sz w:val="19"/>
              </w:rPr>
              <w:t>Governance</w:t>
            </w:r>
          </w:p>
        </w:tc>
        <w:tc>
          <w:tcPr>
            <w:tcW w:type="dxa" w:w="7060"/>
            <w:tcMar>
              <w:top w:w="80" w:type="dxa"/>
              <w:start w:w="120" w:type="dxa"/>
              <w:bottom w:w="80" w:type="dxa"/>
              <w:end w:w="120" w:type="dxa"/>
            </w:tcMar>
            <w:vAlign w:val="center"/>
          </w:tcPr>
          <w:p>
            <w:pPr>
              <w:spacing w:after="0"/>
            </w:pPr>
            <w:r>
              <w:rPr>
                <w:rFonts w:ascii="Calibri" w:hAnsi="Calibri"/>
                <w:b w:val="0"/>
                <w:i w:val="0"/>
                <w:color w:val="111111"/>
                <w:sz w:val="19"/>
              </w:rPr>
              <w:t>Approver, risk acceptance if any, expiration, escalation, and reporting</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111"/>
                <w:sz w:val="19"/>
              </w:rPr>
              <w:t>Closure</w:t>
            </w:r>
          </w:p>
        </w:tc>
        <w:tc>
          <w:tcPr>
            <w:tcW w:type="dxa" w:w="7060"/>
            <w:tcMar>
              <w:top w:w="80" w:type="dxa"/>
              <w:start w:w="120" w:type="dxa"/>
              <w:bottom w:w="80" w:type="dxa"/>
              <w:end w:w="120" w:type="dxa"/>
            </w:tcMar>
            <w:vAlign w:val="center"/>
          </w:tcPr>
          <w:p>
            <w:pPr>
              <w:spacing w:after="0"/>
            </w:pPr>
            <w:r>
              <w:rPr>
                <w:rFonts w:ascii="Calibri" w:hAnsi="Calibri"/>
                <w:b w:val="0"/>
                <w:i w:val="0"/>
                <w:color w:val="111111"/>
                <w:sz w:val="19"/>
              </w:rPr>
              <w:t>Testing, independent verification where required, approval, and retained evidence</w:t>
            </w:r>
          </w:p>
        </w:tc>
      </w:tr>
    </w:tbl>
    <w:p>
      <w:pPr>
        <w:pStyle w:val="Heading1"/>
        <w:keepNext/>
      </w:pPr>
      <w:r>
        <w:t>25. Documentation hierarchy and evidence standard</w:t>
      </w:r>
    </w:p>
    <w:p>
      <w:r>
        <w:t>This document is the umbrella model record; it should not absorb every analysis or operating record. Supporting evidence remains separately versioned, reproducible, accessible to reviewers, and linked through stable identifiers. A requirement is not satisfied merely because this document states that an activity should occur.</w:t>
      </w:r>
    </w:p>
    <w:tbl>
      <w:tblPr>
        <w:tblStyle w:val="TableGrid"/>
        <w:tblW w:type="dxa" w:w="9360"/>
        <w:jc w:val="left"/>
        <w:tblLayout w:type="fixed"/>
        <w:tblLook w:firstColumn="1" w:firstRow="1" w:lastColumn="0" w:lastRow="0" w:noHBand="0" w:noVBand="1" w:val="04A0"/>
        <w:tblInd w:w="120" w:type="dxa"/>
      </w:tblPr>
      <w:tblGrid>
        <w:gridCol w:w="2500"/>
        <w:gridCol w:w="4940"/>
        <w:gridCol w:w="1920"/>
      </w:tblGrid>
      <w:tr>
        <w:trPr>
          <w:tblHeader/>
        </w:trPr>
        <w:tc>
          <w:tcPr>
            <w:tcW w:type="dxa" w:w="2500"/>
            <w:shd w:fill="F2F4F7"/>
            <w:tcMar>
              <w:top w:w="80" w:type="dxa"/>
              <w:start w:w="120" w:type="dxa"/>
              <w:bottom w:w="80" w:type="dxa"/>
              <w:end w:w="120" w:type="dxa"/>
            </w:tcMar>
            <w:vAlign w:val="center"/>
          </w:tcPr>
          <w:p>
            <w:pPr>
              <w:spacing w:after="0"/>
            </w:pPr>
            <w:r>
              <w:rPr>
                <w:rFonts w:ascii="Calibri" w:hAnsi="Calibri"/>
                <w:b/>
                <w:i w:val="0"/>
                <w:color w:val="17365D"/>
                <w:sz w:val="19"/>
              </w:rPr>
              <w:t>Artifact</w:t>
            </w:r>
          </w:p>
        </w:tc>
        <w:tc>
          <w:tcPr>
            <w:tcW w:type="dxa" w:w="4940"/>
            <w:shd w:fill="F2F4F7"/>
            <w:tcMar>
              <w:top w:w="80" w:type="dxa"/>
              <w:start w:w="120" w:type="dxa"/>
              <w:bottom w:w="80" w:type="dxa"/>
              <w:end w:w="120" w:type="dxa"/>
            </w:tcMar>
            <w:vAlign w:val="center"/>
          </w:tcPr>
          <w:p>
            <w:pPr>
              <w:spacing w:after="0"/>
            </w:pPr>
            <w:r>
              <w:rPr>
                <w:rFonts w:ascii="Calibri" w:hAnsi="Calibri"/>
                <w:b/>
                <w:i w:val="0"/>
                <w:color w:val="17365D"/>
                <w:sz w:val="19"/>
              </w:rPr>
              <w:t>Purpose</w:t>
            </w:r>
          </w:p>
        </w:tc>
        <w:tc>
          <w:tcPr>
            <w:tcW w:type="dxa" w:w="1920"/>
            <w:shd w:fill="F2F4F7"/>
            <w:tcMar>
              <w:top w:w="80" w:type="dxa"/>
              <w:start w:w="120" w:type="dxa"/>
              <w:bottom w:w="80" w:type="dxa"/>
              <w:end w:w="120" w:type="dxa"/>
            </w:tcMar>
            <w:vAlign w:val="center"/>
          </w:tcPr>
          <w:p>
            <w:pPr>
              <w:spacing w:after="0"/>
            </w:pPr>
            <w:r>
              <w:rPr>
                <w:rFonts w:ascii="Calibri" w:hAnsi="Calibri"/>
                <w:b/>
                <w:i w:val="0"/>
                <w:color w:val="17365D"/>
                <w:sz w:val="19"/>
              </w:rPr>
              <w:t>Status</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Enterprise MRM policy and procedures</w:t>
            </w:r>
          </w:p>
        </w:tc>
        <w:tc>
          <w:tcPr>
            <w:tcW w:type="dxa" w:w="4940"/>
            <w:tcMar>
              <w:top w:w="80" w:type="dxa"/>
              <w:start w:w="120" w:type="dxa"/>
              <w:bottom w:w="80" w:type="dxa"/>
              <w:end w:w="120" w:type="dxa"/>
            </w:tcMar>
            <w:vAlign w:val="center"/>
          </w:tcPr>
          <w:p>
            <w:pPr>
              <w:spacing w:after="0"/>
            </w:pPr>
            <w:r>
              <w:rPr>
                <w:rFonts w:ascii="Calibri" w:hAnsi="Calibri"/>
                <w:b w:val="0"/>
                <w:i w:val="0"/>
                <w:color w:val="111111"/>
                <w:sz w:val="19"/>
              </w:rPr>
              <w:t>Institution-wide definitions, risk rating, roles, approval, validation, monitoring, exceptions, and audit</w:t>
            </w:r>
          </w:p>
        </w:tc>
        <w:tc>
          <w:tcPr>
            <w:tcW w:type="dxa" w:w="1920"/>
            <w:tcMar>
              <w:top w:w="80" w:type="dxa"/>
              <w:start w:w="120" w:type="dxa"/>
              <w:bottom w:w="80" w:type="dxa"/>
              <w:end w:w="120" w:type="dxa"/>
            </w:tcMar>
            <w:vAlign w:val="center"/>
          </w:tcPr>
          <w:p>
            <w:pPr>
              <w:spacing w:after="0"/>
            </w:pPr>
            <w:r>
              <w:rPr>
                <w:rFonts w:ascii="Calibri" w:hAnsi="Calibri"/>
                <w:b w:val="0"/>
                <w:i w:val="0"/>
                <w:color w:val="111111"/>
                <w:sz w:val="19"/>
              </w:rPr>
              <w:t>External dependency</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Authoritative model inventory record</w:t>
            </w:r>
          </w:p>
        </w:tc>
        <w:tc>
          <w:tcPr>
            <w:tcW w:type="dxa" w:w="4940"/>
            <w:tcMar>
              <w:top w:w="80" w:type="dxa"/>
              <w:start w:w="120" w:type="dxa"/>
              <w:bottom w:w="80" w:type="dxa"/>
              <w:end w:w="120" w:type="dxa"/>
            </w:tcMar>
            <w:vAlign w:val="center"/>
          </w:tcPr>
          <w:p>
            <w:pPr>
              <w:spacing w:after="0"/>
            </w:pPr>
            <w:r>
              <w:rPr>
                <w:rFonts w:ascii="Calibri" w:hAnsi="Calibri"/>
                <w:b w:val="0"/>
                <w:i w:val="0"/>
                <w:color w:val="111111"/>
                <w:sz w:val="19"/>
              </w:rPr>
              <w:t>Identifier, owner, status, purpose, exposure, tier, dependencies, validation, issues, and dates</w:t>
            </w:r>
          </w:p>
        </w:tc>
        <w:tc>
          <w:tcPr>
            <w:tcW w:type="dxa" w:w="1920"/>
            <w:tcMar>
              <w:top w:w="80" w:type="dxa"/>
              <w:start w:w="120" w:type="dxa"/>
              <w:bottom w:w="80" w:type="dxa"/>
              <w:end w:w="120" w:type="dxa"/>
            </w:tcMar>
            <w:vAlign w:val="center"/>
          </w:tcPr>
          <w:p>
            <w:pPr>
              <w:spacing w:after="0"/>
            </w:pPr>
            <w:r>
              <w:rPr>
                <w:rFonts w:ascii="Calibri" w:hAnsi="Calibri"/>
                <w:b w:val="0"/>
                <w:i w:val="0"/>
                <w:color w:val="111111"/>
                <w:sz w:val="19"/>
              </w:rPr>
              <w:t>To be completed</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Development report and reproducible notebooks</w:t>
            </w:r>
          </w:p>
        </w:tc>
        <w:tc>
          <w:tcPr>
            <w:tcW w:type="dxa" w:w="4940"/>
            <w:tcMar>
              <w:top w:w="80" w:type="dxa"/>
              <w:start w:w="120" w:type="dxa"/>
              <w:bottom w:w="80" w:type="dxa"/>
              <w:end w:w="120" w:type="dxa"/>
            </w:tcMar>
            <w:vAlign w:val="center"/>
          </w:tcPr>
          <w:p>
            <w:pPr>
              <w:spacing w:after="0"/>
            </w:pPr>
            <w:r>
              <w:rPr>
                <w:rFonts w:ascii="Calibri" w:hAnsi="Calibri"/>
                <w:b w:val="0"/>
                <w:i w:val="0"/>
                <w:color w:val="111111"/>
                <w:sz w:val="19"/>
              </w:rPr>
              <w:t>Theory, data, assumptions, estimation, testing, alternatives, limitations, and results</w:t>
            </w:r>
          </w:p>
        </w:tc>
        <w:tc>
          <w:tcPr>
            <w:tcW w:type="dxa" w:w="1920"/>
            <w:tcMar>
              <w:top w:w="80" w:type="dxa"/>
              <w:start w:w="120" w:type="dxa"/>
              <w:bottom w:w="80" w:type="dxa"/>
              <w:end w:w="120" w:type="dxa"/>
            </w:tcMar>
            <w:vAlign w:val="center"/>
          </w:tcPr>
          <w:p>
            <w:pPr>
              <w:spacing w:after="0"/>
            </w:pPr>
            <w:r>
              <w:rPr>
                <w:rFonts w:ascii="Calibri" w:hAnsi="Calibri"/>
                <w:b w:val="0"/>
                <w:i w:val="0"/>
                <w:color w:val="111111"/>
                <w:sz w:val="19"/>
              </w:rPr>
              <w:t>In development</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Implementation verification</w:t>
            </w:r>
          </w:p>
        </w:tc>
        <w:tc>
          <w:tcPr>
            <w:tcW w:type="dxa" w:w="4940"/>
            <w:tcMar>
              <w:top w:w="80" w:type="dxa"/>
              <w:start w:w="120" w:type="dxa"/>
              <w:bottom w:w="80" w:type="dxa"/>
              <w:end w:w="120" w:type="dxa"/>
            </w:tcMar>
            <w:vAlign w:val="center"/>
          </w:tcPr>
          <w:p>
            <w:pPr>
              <w:spacing w:after="0"/>
            </w:pPr>
            <w:r>
              <w:rPr>
                <w:rFonts w:ascii="Calibri" w:hAnsi="Calibri"/>
                <w:b w:val="0"/>
                <w:i w:val="0"/>
                <w:color w:val="111111"/>
                <w:sz w:val="19"/>
              </w:rPr>
              <w:t>Code/data reconciliation, configuration, access, deployment, lineage, and run controls</w:t>
            </w:r>
          </w:p>
        </w:tc>
        <w:tc>
          <w:tcPr>
            <w:tcW w:type="dxa" w:w="1920"/>
            <w:tcMar>
              <w:top w:w="80" w:type="dxa"/>
              <w:start w:w="120" w:type="dxa"/>
              <w:bottom w:w="80" w:type="dxa"/>
              <w:end w:w="120" w:type="dxa"/>
            </w:tcMar>
            <w:vAlign w:val="center"/>
          </w:tcPr>
          <w:p>
            <w:pPr>
              <w:spacing w:after="0"/>
            </w:pPr>
            <w:r>
              <w:rPr>
                <w:rFonts w:ascii="Calibri" w:hAnsi="Calibri"/>
                <w:b w:val="0"/>
                <w:i w:val="0"/>
                <w:color w:val="111111"/>
                <w:sz w:val="19"/>
              </w:rPr>
              <w:t>To be completed</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Validation report</w:t>
            </w:r>
          </w:p>
        </w:tc>
        <w:tc>
          <w:tcPr>
            <w:tcW w:type="dxa" w:w="4940"/>
            <w:tcMar>
              <w:top w:w="80" w:type="dxa"/>
              <w:start w:w="120" w:type="dxa"/>
              <w:bottom w:w="80" w:type="dxa"/>
              <w:end w:w="120" w:type="dxa"/>
            </w:tcMar>
            <w:vAlign w:val="center"/>
          </w:tcPr>
          <w:p>
            <w:pPr>
              <w:spacing w:after="0"/>
            </w:pPr>
            <w:r>
              <w:rPr>
                <w:rFonts w:ascii="Calibri" w:hAnsi="Calibri"/>
                <w:b w:val="0"/>
                <w:i w:val="0"/>
                <w:color w:val="111111"/>
                <w:sz w:val="19"/>
              </w:rPr>
              <w:t>Objective challenge, findings, limitations, performance assessment, and use recommendation</w:t>
            </w:r>
          </w:p>
        </w:tc>
        <w:tc>
          <w:tcPr>
            <w:tcW w:type="dxa" w:w="1920"/>
            <w:tcMar>
              <w:top w:w="80" w:type="dxa"/>
              <w:start w:w="120" w:type="dxa"/>
              <w:bottom w:w="80" w:type="dxa"/>
              <w:end w:w="120" w:type="dxa"/>
            </w:tcMar>
            <w:vAlign w:val="center"/>
          </w:tcPr>
          <w:p>
            <w:pPr>
              <w:spacing w:after="0"/>
            </w:pPr>
            <w:r>
              <w:rPr>
                <w:rFonts w:ascii="Calibri" w:hAnsi="Calibri"/>
                <w:b w:val="0"/>
                <w:i w:val="0"/>
                <w:color w:val="111111"/>
                <w:sz w:val="19"/>
              </w:rPr>
              <w:t>To be completed independently</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Approval record</w:t>
            </w:r>
          </w:p>
        </w:tc>
        <w:tc>
          <w:tcPr>
            <w:tcW w:type="dxa" w:w="4940"/>
            <w:tcMar>
              <w:top w:w="80" w:type="dxa"/>
              <w:start w:w="120" w:type="dxa"/>
              <w:bottom w:w="80" w:type="dxa"/>
              <w:end w:w="120" w:type="dxa"/>
            </w:tcMar>
            <w:vAlign w:val="center"/>
          </w:tcPr>
          <w:p>
            <w:pPr>
              <w:spacing w:after="0"/>
            </w:pPr>
            <w:r>
              <w:rPr>
                <w:rFonts w:ascii="Calibri" w:hAnsi="Calibri"/>
                <w:b w:val="0"/>
                <w:i w:val="0"/>
                <w:color w:val="111111"/>
                <w:sz w:val="19"/>
              </w:rPr>
              <w:t>Approved/prohibited use, conditions, signatures, effective/expiry dates</w:t>
            </w:r>
          </w:p>
        </w:tc>
        <w:tc>
          <w:tcPr>
            <w:tcW w:type="dxa" w:w="1920"/>
            <w:tcMar>
              <w:top w:w="80" w:type="dxa"/>
              <w:start w:w="120" w:type="dxa"/>
              <w:bottom w:w="80" w:type="dxa"/>
              <w:end w:w="120" w:type="dxa"/>
            </w:tcMar>
            <w:vAlign w:val="center"/>
          </w:tcPr>
          <w:p>
            <w:pPr>
              <w:spacing w:after="0"/>
            </w:pPr>
            <w:r>
              <w:rPr>
                <w:rFonts w:ascii="Calibri" w:hAnsi="Calibri"/>
                <w:b w:val="0"/>
                <w:i w:val="0"/>
                <w:color w:val="111111"/>
                <w:sz w:val="19"/>
              </w:rPr>
              <w:t>To be completed</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Monitoring specification and reports</w:t>
            </w:r>
          </w:p>
        </w:tc>
        <w:tc>
          <w:tcPr>
            <w:tcW w:type="dxa" w:w="4940"/>
            <w:tcMar>
              <w:top w:w="80" w:type="dxa"/>
              <w:start w:w="120" w:type="dxa"/>
              <w:bottom w:w="80" w:type="dxa"/>
              <w:end w:w="120" w:type="dxa"/>
            </w:tcMar>
            <w:vAlign w:val="center"/>
          </w:tcPr>
          <w:p>
            <w:pPr>
              <w:spacing w:after="0"/>
            </w:pPr>
            <w:r>
              <w:rPr>
                <w:rFonts w:ascii="Calibri" w:hAnsi="Calibri"/>
                <w:b w:val="0"/>
                <w:i w:val="0"/>
                <w:color w:val="111111"/>
                <w:sz w:val="19"/>
              </w:rPr>
              <w:t>Metrics, thresholds, frequency, owners, breaches, actions, and trend</w:t>
            </w:r>
          </w:p>
        </w:tc>
        <w:tc>
          <w:tcPr>
            <w:tcW w:type="dxa" w:w="1920"/>
            <w:tcMar>
              <w:top w:w="80" w:type="dxa"/>
              <w:start w:w="120" w:type="dxa"/>
              <w:bottom w:w="80" w:type="dxa"/>
              <w:end w:w="120" w:type="dxa"/>
            </w:tcMar>
            <w:vAlign w:val="center"/>
          </w:tcPr>
          <w:p>
            <w:pPr>
              <w:spacing w:after="0"/>
            </w:pPr>
            <w:r>
              <w:rPr>
                <w:rFonts w:ascii="Calibri" w:hAnsi="Calibri"/>
                <w:b w:val="0"/>
                <w:i w:val="0"/>
                <w:color w:val="111111"/>
                <w:sz w:val="19"/>
              </w:rPr>
              <w:t>To be completed</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Issue and exception log</w:t>
            </w:r>
          </w:p>
        </w:tc>
        <w:tc>
          <w:tcPr>
            <w:tcW w:type="dxa" w:w="4940"/>
            <w:tcMar>
              <w:top w:w="80" w:type="dxa"/>
              <w:start w:w="120" w:type="dxa"/>
              <w:bottom w:w="80" w:type="dxa"/>
              <w:end w:w="120" w:type="dxa"/>
            </w:tcMar>
            <w:vAlign w:val="center"/>
          </w:tcPr>
          <w:p>
            <w:pPr>
              <w:spacing w:after="0"/>
            </w:pPr>
            <w:r>
              <w:rPr>
                <w:rFonts w:ascii="Calibri" w:hAnsi="Calibri"/>
                <w:b w:val="0"/>
                <w:i w:val="0"/>
                <w:color w:val="111111"/>
                <w:sz w:val="19"/>
              </w:rPr>
              <w:t>Findings, risk acceptance, remediation, aging, escalation, and closure</w:t>
            </w:r>
          </w:p>
        </w:tc>
        <w:tc>
          <w:tcPr>
            <w:tcW w:type="dxa" w:w="1920"/>
            <w:tcMar>
              <w:top w:w="80" w:type="dxa"/>
              <w:start w:w="120" w:type="dxa"/>
              <w:bottom w:w="80" w:type="dxa"/>
              <w:end w:w="120" w:type="dxa"/>
            </w:tcMar>
            <w:vAlign w:val="center"/>
          </w:tcPr>
          <w:p>
            <w:pPr>
              <w:spacing w:after="0"/>
            </w:pPr>
            <w:r>
              <w:rPr>
                <w:rFonts w:ascii="Calibri" w:hAnsi="Calibri"/>
                <w:b w:val="0"/>
                <w:i w:val="0"/>
                <w:color w:val="111111"/>
                <w:sz w:val="19"/>
              </w:rPr>
              <w:t>To be completed</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Change log and release evidence</w:t>
            </w:r>
          </w:p>
        </w:tc>
        <w:tc>
          <w:tcPr>
            <w:tcW w:type="dxa" w:w="4940"/>
            <w:tcMar>
              <w:top w:w="80" w:type="dxa"/>
              <w:start w:w="120" w:type="dxa"/>
              <w:bottom w:w="80" w:type="dxa"/>
              <w:end w:w="120" w:type="dxa"/>
            </w:tcMar>
            <w:vAlign w:val="center"/>
          </w:tcPr>
          <w:p>
            <w:pPr>
              <w:spacing w:after="0"/>
            </w:pPr>
            <w:r>
              <w:rPr>
                <w:rFonts w:ascii="Calibri" w:hAnsi="Calibri"/>
                <w:b w:val="0"/>
                <w:i w:val="0"/>
                <w:color w:val="111111"/>
                <w:sz w:val="19"/>
              </w:rPr>
              <w:t>Materiality assessment, testing, validation decision, approval, deployment, and rollback</w:t>
            </w:r>
          </w:p>
        </w:tc>
        <w:tc>
          <w:tcPr>
            <w:tcW w:type="dxa" w:w="1920"/>
            <w:tcMar>
              <w:top w:w="80" w:type="dxa"/>
              <w:start w:w="120" w:type="dxa"/>
              <w:bottom w:w="80" w:type="dxa"/>
              <w:end w:w="120" w:type="dxa"/>
            </w:tcMar>
            <w:vAlign w:val="center"/>
          </w:tcPr>
          <w:p>
            <w:pPr>
              <w:spacing w:after="0"/>
            </w:pPr>
            <w:r>
              <w:rPr>
                <w:rFonts w:ascii="Calibri" w:hAnsi="Calibri"/>
                <w:b w:val="0"/>
                <w:i w:val="0"/>
                <w:color w:val="111111"/>
                <w:sz w:val="19"/>
              </w:rPr>
              <w:t>To be completed</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111"/>
                <w:sz w:val="19"/>
              </w:rPr>
              <w:t>Internal-audit evidence</w:t>
            </w:r>
          </w:p>
        </w:tc>
        <w:tc>
          <w:tcPr>
            <w:tcW w:type="dxa" w:w="4940"/>
            <w:tcMar>
              <w:top w:w="80" w:type="dxa"/>
              <w:start w:w="120" w:type="dxa"/>
              <w:bottom w:w="80" w:type="dxa"/>
              <w:end w:w="120" w:type="dxa"/>
            </w:tcMar>
            <w:vAlign w:val="center"/>
          </w:tcPr>
          <w:p>
            <w:pPr>
              <w:spacing w:after="0"/>
            </w:pPr>
            <w:r>
              <w:rPr>
                <w:rFonts w:ascii="Calibri" w:hAnsi="Calibri"/>
                <w:b w:val="0"/>
                <w:i w:val="0"/>
                <w:color w:val="111111"/>
                <w:sz w:val="19"/>
              </w:rPr>
              <w:t>Framework effectiveness and policy-implementation assessment</w:t>
            </w:r>
          </w:p>
        </w:tc>
        <w:tc>
          <w:tcPr>
            <w:tcW w:type="dxa" w:w="1920"/>
            <w:tcMar>
              <w:top w:w="80" w:type="dxa"/>
              <w:start w:w="120" w:type="dxa"/>
              <w:bottom w:w="80" w:type="dxa"/>
              <w:end w:w="120" w:type="dxa"/>
            </w:tcMar>
            <w:vAlign w:val="center"/>
          </w:tcPr>
          <w:p>
            <w:pPr>
              <w:spacing w:after="0"/>
            </w:pPr>
            <w:r>
              <w:rPr>
                <w:rFonts w:ascii="Calibri" w:hAnsi="Calibri"/>
                <w:b w:val="0"/>
                <w:i w:val="0"/>
                <w:color w:val="111111"/>
                <w:sz w:val="19"/>
              </w:rPr>
              <w:t>Enterprise responsibility</w:t>
            </w:r>
          </w:p>
        </w:tc>
      </w:tr>
    </w:tbl>
    <w:p>
      <w:pPr>
        <w:pStyle w:val="Heading1"/>
        <w:keepNext/>
      </w:pPr>
      <w:r>
        <w:t>26. Regulatory alignment conclusion</w:t>
      </w:r>
    </w:p>
    <w:p>
      <w:r>
        <w:t>The design addresses SR 26-2's principal model-specific themes: risk-based tailoring; model definition and risk assessment; clear purpose and use; disciplined development and testing; limitations; conceptual soundness; outcomes analysis; ongoing monitoring; governance and controls; accountability and conflicts; inventory; documentation; and third-party products. Legacy SR 11-7 concepts remain traceable where they continue to strengthen practice, including implementation verification, benchmarks, effective challenge, inventory detail, and auditability.</w:t>
      </w:r>
    </w:p>
    <w:p>
      <w:pPr>
        <w:spacing w:before="120" w:after="160"/>
        <w:ind w:left="173" w:right="173"/>
        <w:shd w:fill="FFF4D6"/>
        <w:pBdr>
          <w:left w:val="single" w:sz="18" w:space="6" w:color="2E74B5"/>
        </w:pBdr>
      </w:pPr>
      <w:r>
        <w:rPr>
          <w:rFonts w:ascii="Calibri" w:hAnsi="Calibri"/>
          <w:b/>
          <w:i w:val="0"/>
          <w:color w:val="17365D"/>
          <w:sz w:val="22"/>
        </w:rPr>
        <w:t xml:space="preserve">Readiness conclusion: </w:t>
      </w:r>
      <w:r>
        <w:rPr>
          <w:rFonts w:ascii="Calibri" w:hAnsi="Calibri"/>
          <w:b w:val="0"/>
          <w:i w:val="0"/>
          <w:color w:val="111111"/>
          <w:sz w:val="22"/>
        </w:rPr>
        <w:t>Documentation alignment is not operational compliance. The model is not ready for governed production use until the evidence register is populated, validation is completed with sufficient independence, findings and use conditions are resolved or accepted, approval is recorded, and monitoring operates as designed.</w:t>
      </w:r>
    </w:p>
    <w:p>
      <w:pPr>
        <w:pStyle w:val="Heading1"/>
        <w:keepNext/>
      </w:pPr>
      <w:r>
        <w:t>Appendix A. Minimum model-ready schema</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trPr>
        <w:tc>
          <w:tcPr>
            <w:tcW w:type="dxa" w:w="2100"/>
            <w:shd w:fill="F2F4F7"/>
            <w:tcMar>
              <w:top w:w="80" w:type="dxa"/>
              <w:start w:w="120" w:type="dxa"/>
              <w:bottom w:w="80" w:type="dxa"/>
              <w:end w:w="120" w:type="dxa"/>
            </w:tcMar>
            <w:vAlign w:val="center"/>
          </w:tcPr>
          <w:p>
            <w:pPr>
              <w:spacing w:after="0"/>
            </w:pPr>
            <w:r>
              <w:rPr>
                <w:rFonts w:ascii="Calibri" w:hAnsi="Calibri"/>
                <w:b/>
                <w:i w:val="0"/>
                <w:color w:val="17365D"/>
                <w:sz w:val="19"/>
              </w:rPr>
              <w:t>Category</w:t>
            </w:r>
          </w:p>
        </w:tc>
        <w:tc>
          <w:tcPr>
            <w:tcW w:type="dxa" w:w="7260"/>
            <w:shd w:fill="F2F4F7"/>
            <w:tcMar>
              <w:top w:w="80" w:type="dxa"/>
              <w:start w:w="120" w:type="dxa"/>
              <w:bottom w:w="80" w:type="dxa"/>
              <w:end w:w="120" w:type="dxa"/>
            </w:tcMar>
            <w:vAlign w:val="center"/>
          </w:tcPr>
          <w:p>
            <w:pPr>
              <w:spacing w:after="0"/>
            </w:pPr>
            <w:r>
              <w:rPr>
                <w:rFonts w:ascii="Calibri" w:hAnsi="Calibri"/>
                <w:b/>
                <w:i w:val="0"/>
                <w:color w:val="17365D"/>
                <w:sz w:val="19"/>
              </w:rPr>
              <w:t>Minimum fields</w:t>
            </w:r>
          </w:p>
        </w:tc>
      </w:tr>
      <w:tr>
        <w:tc>
          <w:tcPr>
            <w:tcW w:type="dxa" w:w="2100"/>
            <w:tcMar>
              <w:top w:w="80" w:type="dxa"/>
              <w:start w:w="120" w:type="dxa"/>
              <w:bottom w:w="80" w:type="dxa"/>
              <w:end w:w="120" w:type="dxa"/>
            </w:tcMar>
            <w:vAlign w:val="center"/>
          </w:tcPr>
          <w:p>
            <w:pPr>
              <w:spacing w:after="0"/>
            </w:pPr>
            <w:r>
              <w:rPr>
                <w:rFonts w:ascii="Calibri" w:hAnsi="Calibri"/>
                <w:b w:val="0"/>
                <w:i w:val="0"/>
                <w:color w:val="111111"/>
                <w:sz w:val="19"/>
              </w:rPr>
              <w:t>Identifiers</w:t>
            </w:r>
          </w:p>
        </w:tc>
        <w:tc>
          <w:tcPr>
            <w:tcW w:type="dxa" w:w="7260"/>
            <w:tcMar>
              <w:top w:w="80" w:type="dxa"/>
              <w:start w:w="120" w:type="dxa"/>
              <w:bottom w:w="80" w:type="dxa"/>
              <w:end w:w="120" w:type="dxa"/>
            </w:tcMar>
            <w:vAlign w:val="center"/>
          </w:tcPr>
          <w:p>
            <w:pPr>
              <w:spacing w:after="0"/>
            </w:pPr>
            <w:r>
              <w:rPr>
                <w:rFonts w:ascii="Calibri" w:hAnsi="Calibri"/>
                <w:b w:val="0"/>
                <w:i w:val="0"/>
                <w:color w:val="111111"/>
                <w:sz w:val="19"/>
              </w:rPr>
              <w:t>loan_id, property_id, source_system, reporting_date, record_version</w:t>
            </w:r>
          </w:p>
        </w:tc>
      </w:tr>
      <w:tr>
        <w:tc>
          <w:tcPr>
            <w:tcW w:type="dxa" w:w="2100"/>
            <w:tcMar>
              <w:top w:w="80" w:type="dxa"/>
              <w:start w:w="120" w:type="dxa"/>
              <w:bottom w:w="80" w:type="dxa"/>
              <w:end w:w="120" w:type="dxa"/>
            </w:tcMar>
            <w:vAlign w:val="center"/>
          </w:tcPr>
          <w:p>
            <w:pPr>
              <w:spacing w:after="0"/>
            </w:pPr>
            <w:r>
              <w:rPr>
                <w:rFonts w:ascii="Calibri" w:hAnsi="Calibri"/>
                <w:b w:val="0"/>
                <w:i w:val="0"/>
                <w:color w:val="111111"/>
                <w:sz w:val="19"/>
              </w:rPr>
              <w:t>Exposure</w:t>
            </w:r>
          </w:p>
        </w:tc>
        <w:tc>
          <w:tcPr>
            <w:tcW w:type="dxa" w:w="7260"/>
            <w:tcMar>
              <w:top w:w="80" w:type="dxa"/>
              <w:start w:w="120" w:type="dxa"/>
              <w:bottom w:w="80" w:type="dxa"/>
              <w:end w:w="120" w:type="dxa"/>
            </w:tcMar>
            <w:vAlign w:val="center"/>
          </w:tcPr>
          <w:p>
            <w:pPr>
              <w:spacing w:after="0"/>
            </w:pPr>
            <w:r>
              <w:rPr>
                <w:rFonts w:ascii="Calibri" w:hAnsi="Calibri"/>
                <w:b w:val="0"/>
                <w:i w:val="0"/>
                <w:color w:val="111111"/>
                <w:sz w:val="19"/>
              </w:rPr>
              <w:t>balance, commitment, undrawn amount, interest rate, payment, maturity, amortization</w:t>
            </w:r>
          </w:p>
        </w:tc>
      </w:tr>
      <w:tr>
        <w:tc>
          <w:tcPr>
            <w:tcW w:type="dxa" w:w="2100"/>
            <w:tcMar>
              <w:top w:w="80" w:type="dxa"/>
              <w:start w:w="120" w:type="dxa"/>
              <w:bottom w:w="80" w:type="dxa"/>
              <w:end w:w="120" w:type="dxa"/>
            </w:tcMar>
            <w:vAlign w:val="center"/>
          </w:tcPr>
          <w:p>
            <w:pPr>
              <w:spacing w:after="0"/>
            </w:pPr>
            <w:r>
              <w:rPr>
                <w:rFonts w:ascii="Calibri" w:hAnsi="Calibri"/>
                <w:b w:val="0"/>
                <w:i w:val="0"/>
                <w:color w:val="111111"/>
                <w:sz w:val="19"/>
              </w:rPr>
              <w:t>Collateral</w:t>
            </w:r>
          </w:p>
        </w:tc>
        <w:tc>
          <w:tcPr>
            <w:tcW w:type="dxa" w:w="7260"/>
            <w:tcMar>
              <w:top w:w="80" w:type="dxa"/>
              <w:start w:w="120" w:type="dxa"/>
              <w:bottom w:w="80" w:type="dxa"/>
              <w:end w:w="120" w:type="dxa"/>
            </w:tcMar>
            <w:vAlign w:val="center"/>
          </w:tcPr>
          <w:p>
            <w:pPr>
              <w:spacing w:after="0"/>
            </w:pPr>
            <w:r>
              <w:rPr>
                <w:rFonts w:ascii="Calibri" w:hAnsi="Calibri"/>
                <w:b w:val="0"/>
                <w:i w:val="0"/>
                <w:color w:val="111111"/>
                <w:sz w:val="19"/>
              </w:rPr>
              <w:t>property type, location, value, value date, lien, occupancy, NOI, cap rate</w:t>
            </w:r>
          </w:p>
        </w:tc>
      </w:tr>
      <w:tr>
        <w:tc>
          <w:tcPr>
            <w:tcW w:type="dxa" w:w="2100"/>
            <w:tcMar>
              <w:top w:w="80" w:type="dxa"/>
              <w:start w:w="120" w:type="dxa"/>
              <w:bottom w:w="80" w:type="dxa"/>
              <w:end w:w="120" w:type="dxa"/>
            </w:tcMar>
            <w:vAlign w:val="center"/>
          </w:tcPr>
          <w:p>
            <w:pPr>
              <w:spacing w:after="0"/>
            </w:pPr>
            <w:r>
              <w:rPr>
                <w:rFonts w:ascii="Calibri" w:hAnsi="Calibri"/>
                <w:b w:val="0"/>
                <w:i w:val="0"/>
                <w:color w:val="111111"/>
                <w:sz w:val="19"/>
              </w:rPr>
              <w:t>Performance</w:t>
            </w:r>
          </w:p>
        </w:tc>
        <w:tc>
          <w:tcPr>
            <w:tcW w:type="dxa" w:w="7260"/>
            <w:tcMar>
              <w:top w:w="80" w:type="dxa"/>
              <w:start w:w="120" w:type="dxa"/>
              <w:bottom w:w="80" w:type="dxa"/>
              <w:end w:w="120" w:type="dxa"/>
            </w:tcMar>
            <w:vAlign w:val="center"/>
          </w:tcPr>
          <w:p>
            <w:pPr>
              <w:spacing w:after="0"/>
            </w:pPr>
            <w:r>
              <w:rPr>
                <w:rFonts w:ascii="Calibri" w:hAnsi="Calibri"/>
                <w:b w:val="0"/>
                <w:i w:val="0"/>
                <w:color w:val="111111"/>
                <w:sz w:val="19"/>
              </w:rPr>
              <w:t>delinquency, nonaccrual, modification, watchlist, servicer/workout status</w:t>
            </w:r>
          </w:p>
        </w:tc>
      </w:tr>
      <w:tr>
        <w:tc>
          <w:tcPr>
            <w:tcW w:type="dxa" w:w="2100"/>
            <w:tcMar>
              <w:top w:w="80" w:type="dxa"/>
              <w:start w:w="120" w:type="dxa"/>
              <w:bottom w:w="80" w:type="dxa"/>
              <w:end w:w="120" w:type="dxa"/>
            </w:tcMar>
            <w:vAlign w:val="center"/>
          </w:tcPr>
          <w:p>
            <w:pPr>
              <w:spacing w:after="0"/>
            </w:pPr>
            <w:r>
              <w:rPr>
                <w:rFonts w:ascii="Calibri" w:hAnsi="Calibri"/>
                <w:b w:val="0"/>
                <w:i w:val="0"/>
                <w:color w:val="111111"/>
                <w:sz w:val="19"/>
              </w:rPr>
              <w:t>Outcomes</w:t>
            </w:r>
          </w:p>
        </w:tc>
        <w:tc>
          <w:tcPr>
            <w:tcW w:type="dxa" w:w="7260"/>
            <w:tcMar>
              <w:top w:w="80" w:type="dxa"/>
              <w:start w:w="120" w:type="dxa"/>
              <w:bottom w:w="80" w:type="dxa"/>
              <w:end w:w="120" w:type="dxa"/>
            </w:tcMar>
            <w:vAlign w:val="center"/>
          </w:tcPr>
          <w:p>
            <w:pPr>
              <w:spacing w:after="0"/>
            </w:pPr>
            <w:r>
              <w:rPr>
                <w:rFonts w:ascii="Calibri" w:hAnsi="Calibri"/>
                <w:b w:val="0"/>
                <w:i w:val="0"/>
                <w:color w:val="111111"/>
                <w:sz w:val="19"/>
              </w:rPr>
              <w:t>default date/trigger, EAD at default, recoveries, expenses, cash-flow dates, resolution</w:t>
            </w:r>
          </w:p>
        </w:tc>
      </w:tr>
      <w:tr>
        <w:tc>
          <w:tcPr>
            <w:tcW w:type="dxa" w:w="2100"/>
            <w:tcMar>
              <w:top w:w="80" w:type="dxa"/>
              <w:start w:w="120" w:type="dxa"/>
              <w:bottom w:w="80" w:type="dxa"/>
              <w:end w:w="120" w:type="dxa"/>
            </w:tcMar>
            <w:vAlign w:val="center"/>
          </w:tcPr>
          <w:p>
            <w:pPr>
              <w:spacing w:after="0"/>
            </w:pPr>
            <w:r>
              <w:rPr>
                <w:rFonts w:ascii="Calibri" w:hAnsi="Calibri"/>
                <w:b w:val="0"/>
                <w:i w:val="0"/>
                <w:color w:val="111111"/>
                <w:sz w:val="19"/>
              </w:rPr>
              <w:t>Market and macro</w:t>
            </w:r>
          </w:p>
        </w:tc>
        <w:tc>
          <w:tcPr>
            <w:tcW w:type="dxa" w:w="7260"/>
            <w:tcMar>
              <w:top w:w="80" w:type="dxa"/>
              <w:start w:w="120" w:type="dxa"/>
              <w:bottom w:w="80" w:type="dxa"/>
              <w:end w:w="120" w:type="dxa"/>
            </w:tcMar>
            <w:vAlign w:val="center"/>
          </w:tcPr>
          <w:p>
            <w:pPr>
              <w:spacing w:after="0"/>
            </w:pPr>
            <w:r>
              <w:rPr>
                <w:rFonts w:ascii="Calibri" w:hAnsi="Calibri"/>
                <w:b w:val="0"/>
                <w:i w:val="0"/>
                <w:color w:val="111111"/>
                <w:sz w:val="19"/>
              </w:rPr>
              <w:t>series identifier, geography, reference date, availability date, vintage</w:t>
            </w:r>
          </w:p>
        </w:tc>
      </w:tr>
      <w:tr>
        <w:tc>
          <w:tcPr>
            <w:tcW w:type="dxa" w:w="2100"/>
            <w:tcMar>
              <w:top w:w="80" w:type="dxa"/>
              <w:start w:w="120" w:type="dxa"/>
              <w:bottom w:w="80" w:type="dxa"/>
              <w:end w:w="120" w:type="dxa"/>
            </w:tcMar>
            <w:vAlign w:val="center"/>
          </w:tcPr>
          <w:p>
            <w:pPr>
              <w:spacing w:after="0"/>
            </w:pPr>
            <w:r>
              <w:rPr>
                <w:rFonts w:ascii="Calibri" w:hAnsi="Calibri"/>
                <w:b w:val="0"/>
                <w:i w:val="0"/>
                <w:color w:val="111111"/>
                <w:sz w:val="19"/>
              </w:rPr>
              <w:t>Lineage and quality</w:t>
            </w:r>
          </w:p>
        </w:tc>
        <w:tc>
          <w:tcPr>
            <w:tcW w:type="dxa" w:w="7260"/>
            <w:tcMar>
              <w:top w:w="80" w:type="dxa"/>
              <w:start w:w="120" w:type="dxa"/>
              <w:bottom w:w="80" w:type="dxa"/>
              <w:end w:w="120" w:type="dxa"/>
            </w:tcMar>
            <w:vAlign w:val="center"/>
          </w:tcPr>
          <w:p>
            <w:pPr>
              <w:spacing w:after="0"/>
            </w:pPr>
            <w:r>
              <w:rPr>
                <w:rFonts w:ascii="Calibri" w:hAnsi="Calibri"/>
                <w:b w:val="0"/>
                <w:i w:val="0"/>
                <w:color w:val="111111"/>
                <w:sz w:val="19"/>
              </w:rPr>
              <w:t>source file, ingestion timestamp, transformation version, quality flags</w:t>
            </w:r>
          </w:p>
        </w:tc>
      </w:tr>
    </w:tbl>
    <w:p>
      <w:pPr>
        <w:pStyle w:val="Heading1"/>
        <w:keepNext/>
      </w:pPr>
      <w:r>
        <w:t>Appendix B. Acceptance criteria for the design phase</w:t>
      </w:r>
    </w:p>
    <w:p>
      <w:pPr>
        <w:pStyle w:val="ListBullet"/>
      </w:pPr>
      <w:r>
        <w:t>Purpose, intended use, exclusions, population, horizon, and grain are approved.</w:t>
      </w:r>
    </w:p>
    <w:p>
      <w:pPr>
        <w:pStyle w:val="ListBullet"/>
      </w:pPr>
      <w:r>
        <w:t>Default, cure, loss, recovery, expense, resolution, and EAD definitions are executable from available data.</w:t>
      </w:r>
    </w:p>
    <w:p>
      <w:pPr>
        <w:pStyle w:val="ListBullet"/>
      </w:pPr>
      <w:r>
        <w:t>Point-in-time feature and outcome construction is demonstrated without leakage.</w:t>
      </w:r>
    </w:p>
    <w:p>
      <w:pPr>
        <w:pStyle w:val="ListBullet"/>
      </w:pPr>
      <w:r>
        <w:t>Baseline PD, LGD, EAD, and expected-loss calculations reconcile on a controlled sample.</w:t>
      </w:r>
    </w:p>
    <w:p>
      <w:pPr>
        <w:pStyle w:val="ListBullet"/>
      </w:pPr>
      <w:r>
        <w:t>Scenario transmission is mathematically specified and avoids duplicate shocks.</w:t>
      </w:r>
    </w:p>
    <w:p>
      <w:pPr>
        <w:pStyle w:val="ListBullet"/>
      </w:pPr>
      <w:r>
        <w:t>Validation plan, monitoring thresholds, limitations, ownership, and change controls are documented.</w:t>
      </w:r>
    </w:p>
    <w:p>
      <w:pPr>
        <w:pStyle w:val="ListBullet"/>
      </w:pPr>
      <w:r>
        <w:t>Repository structure, test strategy, configuration conventions, and run manifest are agreed.</w:t>
      </w:r>
    </w:p>
    <w:p>
      <w:pPr>
        <w:pStyle w:val="Heading1"/>
        <w:keepNext/>
      </w:pPr>
      <w:r>
        <w:t>Appendix C. SR 26-2 and legacy SR 11-7 crosswalk</w:t>
      </w:r>
    </w:p>
    <w:tbl>
      <w:tblPr>
        <w:tblStyle w:val="TableGrid"/>
        <w:tblW w:type="dxa" w:w="9360"/>
        <w:jc w:val="left"/>
        <w:tblLayout w:type="fixed"/>
        <w:tblLook w:firstColumn="1" w:firstRow="1" w:lastColumn="0" w:lastRow="0" w:noHBand="0" w:noVBand="1" w:val="04A0"/>
        <w:tblInd w:w="120" w:type="dxa"/>
      </w:tblPr>
      <w:tblGrid>
        <w:gridCol w:w="2150"/>
        <w:gridCol w:w="4050"/>
        <w:gridCol w:w="3160"/>
      </w:tblGrid>
      <w:tr>
        <w:trPr>
          <w:tblHeader/>
        </w:trPr>
        <w:tc>
          <w:tcPr>
            <w:tcW w:type="dxa" w:w="2150"/>
            <w:shd w:fill="F2F4F7"/>
            <w:tcMar>
              <w:top w:w="80" w:type="dxa"/>
              <w:start w:w="120" w:type="dxa"/>
              <w:bottom w:w="80" w:type="dxa"/>
              <w:end w:w="120" w:type="dxa"/>
            </w:tcMar>
            <w:vAlign w:val="center"/>
          </w:tcPr>
          <w:p>
            <w:pPr>
              <w:spacing w:after="0"/>
            </w:pPr>
            <w:r>
              <w:rPr>
                <w:rFonts w:ascii="Calibri" w:hAnsi="Calibri"/>
                <w:b/>
                <w:i w:val="0"/>
                <w:color w:val="17365D"/>
                <w:sz w:val="19"/>
              </w:rPr>
              <w:t>Guidance theme</w:t>
            </w:r>
          </w:p>
        </w:tc>
        <w:tc>
          <w:tcPr>
            <w:tcW w:type="dxa" w:w="4050"/>
            <w:shd w:fill="F2F4F7"/>
            <w:tcMar>
              <w:top w:w="80" w:type="dxa"/>
              <w:start w:w="120" w:type="dxa"/>
              <w:bottom w:w="80" w:type="dxa"/>
              <w:end w:w="120" w:type="dxa"/>
            </w:tcMar>
            <w:vAlign w:val="center"/>
          </w:tcPr>
          <w:p>
            <w:pPr>
              <w:spacing w:after="0"/>
            </w:pPr>
            <w:r>
              <w:rPr>
                <w:rFonts w:ascii="Calibri" w:hAnsi="Calibri"/>
                <w:b/>
                <w:i w:val="0"/>
                <w:color w:val="17365D"/>
                <w:sz w:val="19"/>
              </w:rPr>
              <w:t>Document coverage</w:t>
            </w:r>
          </w:p>
        </w:tc>
        <w:tc>
          <w:tcPr>
            <w:tcW w:type="dxa" w:w="3160"/>
            <w:shd w:fill="F2F4F7"/>
            <w:tcMar>
              <w:top w:w="80" w:type="dxa"/>
              <w:start w:w="120" w:type="dxa"/>
              <w:bottom w:w="80" w:type="dxa"/>
              <w:end w:w="120" w:type="dxa"/>
            </w:tcMar>
            <w:vAlign w:val="center"/>
          </w:tcPr>
          <w:p>
            <w:pPr>
              <w:spacing w:after="0"/>
            </w:pPr>
            <w:r>
              <w:rPr>
                <w:rFonts w:ascii="Calibri" w:hAnsi="Calibri"/>
                <w:b/>
                <w:i w:val="0"/>
                <w:color w:val="17365D"/>
                <w:sz w:val="19"/>
              </w:rPr>
              <w:t>Required operating evidence</w:t>
            </w:r>
          </w:p>
        </w:tc>
      </w:tr>
      <w:tr>
        <w:tc>
          <w:tcPr>
            <w:tcW w:type="dxa" w:w="2150"/>
            <w:tcMar>
              <w:top w:w="80" w:type="dxa"/>
              <w:start w:w="120" w:type="dxa"/>
              <w:bottom w:w="80" w:type="dxa"/>
              <w:end w:w="120" w:type="dxa"/>
            </w:tcMar>
            <w:vAlign w:val="center"/>
          </w:tcPr>
          <w:p>
            <w:pPr>
              <w:spacing w:after="0"/>
            </w:pPr>
            <w:r>
              <w:rPr>
                <w:rFonts w:ascii="Calibri" w:hAnsi="Calibri"/>
                <w:b w:val="0"/>
                <w:i w:val="0"/>
                <w:color w:val="111111"/>
                <w:sz w:val="19"/>
              </w:rPr>
              <w:t>SR 26-2 I-II: risk-based scope and tailoring</w:t>
            </w:r>
          </w:p>
        </w:tc>
        <w:tc>
          <w:tcPr>
            <w:tcW w:type="dxa" w:w="4050"/>
            <w:tcMar>
              <w:top w:w="80" w:type="dxa"/>
              <w:start w:w="120" w:type="dxa"/>
              <w:bottom w:w="80" w:type="dxa"/>
              <w:end w:w="120" w:type="dxa"/>
            </w:tcMar>
            <w:vAlign w:val="center"/>
          </w:tcPr>
          <w:p>
            <w:pPr>
              <w:spacing w:after="0"/>
            </w:pPr>
            <w:r>
              <w:rPr>
                <w:rFonts w:ascii="Calibri" w:hAnsi="Calibri"/>
                <w:b w:val="0"/>
                <w:i w:val="0"/>
                <w:color w:val="111111"/>
                <w:sz w:val="19"/>
              </w:rPr>
              <w:t>Sections 1-2 and 18 define scope, applicability, provisional risk, purpose, exposure, and materiality</w:t>
            </w:r>
          </w:p>
        </w:tc>
        <w:tc>
          <w:tcPr>
            <w:tcW w:type="dxa" w:w="3160"/>
            <w:tcMar>
              <w:top w:w="80" w:type="dxa"/>
              <w:start w:w="120" w:type="dxa"/>
              <w:bottom w:w="80" w:type="dxa"/>
              <w:end w:w="120" w:type="dxa"/>
            </w:tcMar>
            <w:vAlign w:val="center"/>
          </w:tcPr>
          <w:p>
            <w:pPr>
              <w:spacing w:after="0"/>
            </w:pPr>
            <w:r>
              <w:rPr>
                <w:rFonts w:ascii="Calibri" w:hAnsi="Calibri"/>
                <w:b w:val="0"/>
                <w:i w:val="0"/>
                <w:color w:val="111111"/>
                <w:sz w:val="19"/>
              </w:rPr>
              <w:t>Institutional applicability analysis and approved model-risk rating</w:t>
            </w:r>
          </w:p>
        </w:tc>
      </w:tr>
      <w:tr>
        <w:tc>
          <w:tcPr>
            <w:tcW w:type="dxa" w:w="2150"/>
            <w:tcMar>
              <w:top w:w="80" w:type="dxa"/>
              <w:start w:w="120" w:type="dxa"/>
              <w:bottom w:w="80" w:type="dxa"/>
              <w:end w:w="120" w:type="dxa"/>
            </w:tcMar>
            <w:vAlign w:val="center"/>
          </w:tcPr>
          <w:p>
            <w:pPr>
              <w:spacing w:after="0"/>
            </w:pPr>
            <w:r>
              <w:rPr>
                <w:rFonts w:ascii="Calibri" w:hAnsi="Calibri"/>
                <w:b w:val="0"/>
                <w:i w:val="0"/>
                <w:color w:val="111111"/>
                <w:sz w:val="19"/>
              </w:rPr>
              <w:t>SR 26-2 III: individual and aggregate model risk; effective challenge</w:t>
            </w:r>
          </w:p>
        </w:tc>
        <w:tc>
          <w:tcPr>
            <w:tcW w:type="dxa" w:w="4050"/>
            <w:tcMar>
              <w:top w:w="80" w:type="dxa"/>
              <w:start w:w="120" w:type="dxa"/>
              <w:bottom w:w="80" w:type="dxa"/>
              <w:end w:w="120" w:type="dxa"/>
            </w:tcMar>
            <w:vAlign w:val="center"/>
          </w:tcPr>
          <w:p>
            <w:pPr>
              <w:spacing w:after="0"/>
            </w:pPr>
            <w:r>
              <w:rPr>
                <w:rFonts w:ascii="Calibri" w:hAnsi="Calibri"/>
                <w:b w:val="0"/>
                <w:i w:val="0"/>
                <w:color w:val="111111"/>
                <w:sz w:val="19"/>
              </w:rPr>
              <w:t>Sections 13, 18, 19, and 24 address inherent risk, dependencies, challenge, issues, and influence</w:t>
            </w:r>
          </w:p>
        </w:tc>
        <w:tc>
          <w:tcPr>
            <w:tcW w:type="dxa" w:w="3160"/>
            <w:tcMar>
              <w:top w:w="80" w:type="dxa"/>
              <w:start w:w="120" w:type="dxa"/>
              <w:bottom w:w="80" w:type="dxa"/>
              <w:end w:w="120" w:type="dxa"/>
            </w:tcMar>
            <w:vAlign w:val="center"/>
          </w:tcPr>
          <w:p>
            <w:pPr>
              <w:spacing w:after="0"/>
            </w:pPr>
            <w:r>
              <w:rPr>
                <w:rFonts w:ascii="Calibri" w:hAnsi="Calibri"/>
                <w:b w:val="0"/>
                <w:i w:val="0"/>
                <w:color w:val="111111"/>
                <w:sz w:val="19"/>
              </w:rPr>
              <w:t>Inventory dependencies, aggregate-risk reporting, challenge records, and issue escalation</w:t>
            </w:r>
          </w:p>
        </w:tc>
      </w:tr>
      <w:tr>
        <w:tc>
          <w:tcPr>
            <w:tcW w:type="dxa" w:w="2150"/>
            <w:tcMar>
              <w:top w:w="80" w:type="dxa"/>
              <w:start w:w="120" w:type="dxa"/>
              <w:bottom w:w="80" w:type="dxa"/>
              <w:end w:w="120" w:type="dxa"/>
            </w:tcMar>
            <w:vAlign w:val="center"/>
          </w:tcPr>
          <w:p>
            <w:pPr>
              <w:spacing w:after="0"/>
            </w:pPr>
            <w:r>
              <w:rPr>
                <w:rFonts w:ascii="Calibri" w:hAnsi="Calibri"/>
                <w:b w:val="0"/>
                <w:i w:val="0"/>
                <w:color w:val="111111"/>
                <w:sz w:val="19"/>
              </w:rPr>
              <w:t>SR 26-2 IV: development and use</w:t>
            </w:r>
          </w:p>
        </w:tc>
        <w:tc>
          <w:tcPr>
            <w:tcW w:type="dxa" w:w="4050"/>
            <w:tcMar>
              <w:top w:w="80" w:type="dxa"/>
              <w:start w:w="120" w:type="dxa"/>
              <w:bottom w:w="80" w:type="dxa"/>
              <w:end w:w="120" w:type="dxa"/>
            </w:tcMar>
            <w:vAlign w:val="center"/>
          </w:tcPr>
          <w:p>
            <w:pPr>
              <w:spacing w:after="0"/>
            </w:pPr>
            <w:r>
              <w:rPr>
                <w:rFonts w:ascii="Calibri" w:hAnsi="Calibri"/>
                <w:b w:val="0"/>
                <w:i w:val="0"/>
                <w:color w:val="111111"/>
                <w:sz w:val="19"/>
              </w:rPr>
              <w:t>Sections 3-11 define purpose, data, outcomes, features, methods, testing, use limits, and scenarios</w:t>
            </w:r>
          </w:p>
        </w:tc>
        <w:tc>
          <w:tcPr>
            <w:tcW w:type="dxa" w:w="3160"/>
            <w:tcMar>
              <w:top w:w="80" w:type="dxa"/>
              <w:start w:w="120" w:type="dxa"/>
              <w:bottom w:w="80" w:type="dxa"/>
              <w:end w:w="120" w:type="dxa"/>
            </w:tcMar>
            <w:vAlign w:val="center"/>
          </w:tcPr>
          <w:p>
            <w:pPr>
              <w:spacing w:after="0"/>
            </w:pPr>
            <w:r>
              <w:rPr>
                <w:rFonts w:ascii="Calibri" w:hAnsi="Calibri"/>
                <w:b w:val="0"/>
                <w:i w:val="0"/>
                <w:color w:val="111111"/>
                <w:sz w:val="19"/>
              </w:rPr>
              <w:t>Development evidence, testing results, user procedures, and use attestations</w:t>
            </w:r>
          </w:p>
        </w:tc>
      </w:tr>
      <w:tr>
        <w:tc>
          <w:tcPr>
            <w:tcW w:type="dxa" w:w="2150"/>
            <w:tcMar>
              <w:top w:w="80" w:type="dxa"/>
              <w:start w:w="120" w:type="dxa"/>
              <w:bottom w:w="80" w:type="dxa"/>
              <w:end w:w="120" w:type="dxa"/>
            </w:tcMar>
            <w:vAlign w:val="center"/>
          </w:tcPr>
          <w:p>
            <w:pPr>
              <w:spacing w:after="0"/>
            </w:pPr>
            <w:r>
              <w:rPr>
                <w:rFonts w:ascii="Calibri" w:hAnsi="Calibri"/>
                <w:b w:val="0"/>
                <w:i w:val="0"/>
                <w:color w:val="111111"/>
                <w:sz w:val="19"/>
              </w:rPr>
              <w:t>SR 26-2 V: conceptual soundness</w:t>
            </w:r>
          </w:p>
        </w:tc>
        <w:tc>
          <w:tcPr>
            <w:tcW w:type="dxa" w:w="4050"/>
            <w:tcMar>
              <w:top w:w="80" w:type="dxa"/>
              <w:start w:w="120" w:type="dxa"/>
              <w:bottom w:w="80" w:type="dxa"/>
              <w:end w:w="120" w:type="dxa"/>
            </w:tcMar>
            <w:vAlign w:val="center"/>
          </w:tcPr>
          <w:p>
            <w:pPr>
              <w:spacing w:after="0"/>
            </w:pPr>
            <w:r>
              <w:rPr>
                <w:rFonts w:ascii="Calibri" w:hAnsi="Calibri"/>
                <w:b w:val="0"/>
                <w:i w:val="0"/>
                <w:color w:val="111111"/>
                <w:sz w:val="19"/>
              </w:rPr>
              <w:t>Sections 6-12 provide theory, assumptions, alternatives, benchmarks, and validation scope</w:t>
            </w:r>
          </w:p>
        </w:tc>
        <w:tc>
          <w:tcPr>
            <w:tcW w:type="dxa" w:w="3160"/>
            <w:tcMar>
              <w:top w:w="80" w:type="dxa"/>
              <w:start w:w="120" w:type="dxa"/>
              <w:bottom w:w="80" w:type="dxa"/>
              <w:end w:w="120" w:type="dxa"/>
            </w:tcMar>
            <w:vAlign w:val="center"/>
          </w:tcPr>
          <w:p>
            <w:pPr>
              <w:spacing w:after="0"/>
            </w:pPr>
            <w:r>
              <w:rPr>
                <w:rFonts w:ascii="Calibri" w:hAnsi="Calibri"/>
                <w:b w:val="0"/>
                <w:i w:val="0"/>
                <w:color w:val="111111"/>
                <w:sz w:val="19"/>
              </w:rPr>
              <w:t>Completed validation workpapers and report</w:t>
            </w:r>
          </w:p>
        </w:tc>
      </w:tr>
      <w:tr>
        <w:tc>
          <w:tcPr>
            <w:tcW w:type="dxa" w:w="2150"/>
            <w:tcMar>
              <w:top w:w="80" w:type="dxa"/>
              <w:start w:w="120" w:type="dxa"/>
              <w:bottom w:w="80" w:type="dxa"/>
              <w:end w:w="120" w:type="dxa"/>
            </w:tcMar>
            <w:vAlign w:val="center"/>
          </w:tcPr>
          <w:p>
            <w:pPr>
              <w:spacing w:after="0"/>
            </w:pPr>
            <w:r>
              <w:rPr>
                <w:rFonts w:ascii="Calibri" w:hAnsi="Calibri"/>
                <w:b w:val="0"/>
                <w:i w:val="0"/>
                <w:color w:val="111111"/>
                <w:sz w:val="19"/>
              </w:rPr>
              <w:t>SR 26-2 V: outcomes analysis</w:t>
            </w:r>
          </w:p>
        </w:tc>
        <w:tc>
          <w:tcPr>
            <w:tcW w:type="dxa" w:w="4050"/>
            <w:tcMar>
              <w:top w:w="80" w:type="dxa"/>
              <w:start w:w="120" w:type="dxa"/>
              <w:bottom w:w="80" w:type="dxa"/>
              <w:end w:w="120" w:type="dxa"/>
            </w:tcMar>
            <w:vAlign w:val="center"/>
          </w:tcPr>
          <w:p>
            <w:pPr>
              <w:spacing w:after="0"/>
            </w:pPr>
            <w:r>
              <w:rPr>
                <w:rFonts w:ascii="Calibri" w:hAnsi="Calibri"/>
                <w:b w:val="0"/>
                <w:i w:val="0"/>
                <w:color w:val="111111"/>
                <w:sz w:val="19"/>
              </w:rPr>
              <w:t>Sections 7-12 and 21 specify backtesting, calibration, realized outcomes, and thresholds</w:t>
            </w:r>
          </w:p>
        </w:tc>
        <w:tc>
          <w:tcPr>
            <w:tcW w:type="dxa" w:w="3160"/>
            <w:tcMar>
              <w:top w:w="80" w:type="dxa"/>
              <w:start w:w="120" w:type="dxa"/>
              <w:bottom w:w="80" w:type="dxa"/>
              <w:end w:w="120" w:type="dxa"/>
            </w:tcMar>
            <w:vAlign w:val="center"/>
          </w:tcPr>
          <w:p>
            <w:pPr>
              <w:spacing w:after="0"/>
            </w:pPr>
            <w:r>
              <w:rPr>
                <w:rFonts w:ascii="Calibri" w:hAnsi="Calibri"/>
                <w:b w:val="0"/>
                <w:i w:val="0"/>
                <w:color w:val="111111"/>
                <w:sz w:val="19"/>
              </w:rPr>
              <w:t>Outcomes datasets, reports, breach decisions, and remediation</w:t>
            </w:r>
          </w:p>
        </w:tc>
      </w:tr>
      <w:tr>
        <w:tc>
          <w:tcPr>
            <w:tcW w:type="dxa" w:w="2150"/>
            <w:tcMar>
              <w:top w:w="80" w:type="dxa"/>
              <w:start w:w="120" w:type="dxa"/>
              <w:bottom w:w="80" w:type="dxa"/>
              <w:end w:w="120" w:type="dxa"/>
            </w:tcMar>
            <w:vAlign w:val="center"/>
          </w:tcPr>
          <w:p>
            <w:pPr>
              <w:spacing w:after="0"/>
            </w:pPr>
            <w:r>
              <w:rPr>
                <w:rFonts w:ascii="Calibri" w:hAnsi="Calibri"/>
                <w:b w:val="0"/>
                <w:i w:val="0"/>
                <w:color w:val="111111"/>
                <w:sz w:val="19"/>
              </w:rPr>
              <w:t>SR 26-2 V: ongoing monitoring</w:t>
            </w:r>
          </w:p>
        </w:tc>
        <w:tc>
          <w:tcPr>
            <w:tcW w:type="dxa" w:w="4050"/>
            <w:tcMar>
              <w:top w:w="80" w:type="dxa"/>
              <w:start w:w="120" w:type="dxa"/>
              <w:bottom w:w="80" w:type="dxa"/>
              <w:end w:w="120" w:type="dxa"/>
            </w:tcMar>
            <w:vAlign w:val="center"/>
          </w:tcPr>
          <w:p>
            <w:pPr>
              <w:spacing w:after="0"/>
            </w:pPr>
            <w:r>
              <w:rPr>
                <w:rFonts w:ascii="Calibri" w:hAnsi="Calibri"/>
                <w:b w:val="0"/>
                <w:i w:val="0"/>
                <w:color w:val="111111"/>
                <w:sz w:val="19"/>
              </w:rPr>
              <w:t>Section 21 defines domains, responses, limitation review, and performance actions</w:t>
            </w:r>
          </w:p>
        </w:tc>
        <w:tc>
          <w:tcPr>
            <w:tcW w:type="dxa" w:w="3160"/>
            <w:tcMar>
              <w:top w:w="80" w:type="dxa"/>
              <w:start w:w="120" w:type="dxa"/>
              <w:bottom w:w="80" w:type="dxa"/>
              <w:end w:w="120" w:type="dxa"/>
            </w:tcMar>
            <w:vAlign w:val="center"/>
          </w:tcPr>
          <w:p>
            <w:pPr>
              <w:spacing w:after="0"/>
            </w:pPr>
            <w:r>
              <w:rPr>
                <w:rFonts w:ascii="Calibri" w:hAnsi="Calibri"/>
                <w:b w:val="0"/>
                <w:i w:val="0"/>
                <w:color w:val="111111"/>
                <w:sz w:val="19"/>
              </w:rPr>
              <w:t>Approved numeric thresholds and recurring monitoring reports</w:t>
            </w:r>
          </w:p>
        </w:tc>
      </w:tr>
      <w:tr>
        <w:tc>
          <w:tcPr>
            <w:tcW w:type="dxa" w:w="2150"/>
            <w:tcMar>
              <w:top w:w="80" w:type="dxa"/>
              <w:start w:w="120" w:type="dxa"/>
              <w:bottom w:w="80" w:type="dxa"/>
              <w:end w:w="120" w:type="dxa"/>
            </w:tcMar>
            <w:vAlign w:val="center"/>
          </w:tcPr>
          <w:p>
            <w:pPr>
              <w:spacing w:after="0"/>
            </w:pPr>
            <w:r>
              <w:rPr>
                <w:rFonts w:ascii="Calibri" w:hAnsi="Calibri"/>
                <w:b w:val="0"/>
                <w:i w:val="0"/>
                <w:color w:val="111111"/>
                <w:sz w:val="19"/>
              </w:rPr>
              <w:t>SR 26-2 VI: governance, roles, inventory, documentation</w:t>
            </w:r>
          </w:p>
        </w:tc>
        <w:tc>
          <w:tcPr>
            <w:tcW w:type="dxa" w:w="4050"/>
            <w:tcMar>
              <w:top w:w="80" w:type="dxa"/>
              <w:start w:w="120" w:type="dxa"/>
              <w:bottom w:w="80" w:type="dxa"/>
              <w:end w:w="120" w:type="dxa"/>
            </w:tcMar>
            <w:vAlign w:val="center"/>
          </w:tcPr>
          <w:p>
            <w:pPr>
              <w:spacing w:after="0"/>
            </w:pPr>
            <w:r>
              <w:rPr>
                <w:rFonts w:ascii="Calibri" w:hAnsi="Calibri"/>
                <w:b w:val="0"/>
                <w:i w:val="0"/>
                <w:color w:val="111111"/>
                <w:sz w:val="19"/>
              </w:rPr>
              <w:t>Sections 15 and 18-25 define lifecycle gates, responsibilities, approvals, inventory, evidence, issues, and changes</w:t>
            </w:r>
          </w:p>
        </w:tc>
        <w:tc>
          <w:tcPr>
            <w:tcW w:type="dxa" w:w="3160"/>
            <w:tcMar>
              <w:top w:w="80" w:type="dxa"/>
              <w:start w:w="120" w:type="dxa"/>
              <w:bottom w:w="80" w:type="dxa"/>
              <w:end w:w="120" w:type="dxa"/>
            </w:tcMar>
            <w:vAlign w:val="center"/>
          </w:tcPr>
          <w:p>
            <w:pPr>
              <w:spacing w:after="0"/>
            </w:pPr>
            <w:r>
              <w:rPr>
                <w:rFonts w:ascii="Calibri" w:hAnsi="Calibri"/>
                <w:b w:val="0"/>
                <w:i w:val="0"/>
                <w:color w:val="111111"/>
                <w:sz w:val="19"/>
              </w:rPr>
              <w:t>Policy, inventory record, approvals, committee minutes, issue log, and audit evidence</w:t>
            </w:r>
          </w:p>
        </w:tc>
      </w:tr>
      <w:tr>
        <w:tc>
          <w:tcPr>
            <w:tcW w:type="dxa" w:w="2150"/>
            <w:tcMar>
              <w:top w:w="80" w:type="dxa"/>
              <w:start w:w="120" w:type="dxa"/>
              <w:bottom w:w="80" w:type="dxa"/>
              <w:end w:w="120" w:type="dxa"/>
            </w:tcMar>
            <w:vAlign w:val="center"/>
          </w:tcPr>
          <w:p>
            <w:pPr>
              <w:spacing w:after="0"/>
            </w:pPr>
            <w:r>
              <w:rPr>
                <w:rFonts w:ascii="Calibri" w:hAnsi="Calibri"/>
                <w:b w:val="0"/>
                <w:i w:val="0"/>
                <w:color w:val="111111"/>
                <w:sz w:val="19"/>
              </w:rPr>
              <w:t>SR 26-2 VII: vendor/third-party products</w:t>
            </w:r>
          </w:p>
        </w:tc>
        <w:tc>
          <w:tcPr>
            <w:tcW w:type="dxa" w:w="4050"/>
            <w:tcMar>
              <w:top w:w="80" w:type="dxa"/>
              <w:start w:w="120" w:type="dxa"/>
              <w:bottom w:w="80" w:type="dxa"/>
              <w:end w:w="120" w:type="dxa"/>
            </w:tcMar>
            <w:vAlign w:val="center"/>
          </w:tcPr>
          <w:p>
            <w:pPr>
              <w:spacing w:after="0"/>
            </w:pPr>
            <w:r>
              <w:rPr>
                <w:rFonts w:ascii="Calibri" w:hAnsi="Calibri"/>
                <w:b w:val="0"/>
                <w:i w:val="0"/>
                <w:color w:val="111111"/>
                <w:sz w:val="19"/>
              </w:rPr>
              <w:t>Section 23 addresses due diligence, local validation, change monitoring, and external-resource oversight</w:t>
            </w:r>
          </w:p>
        </w:tc>
        <w:tc>
          <w:tcPr>
            <w:tcW w:type="dxa" w:w="3160"/>
            <w:tcMar>
              <w:top w:w="80" w:type="dxa"/>
              <w:start w:w="120" w:type="dxa"/>
              <w:bottom w:w="80" w:type="dxa"/>
              <w:end w:w="120" w:type="dxa"/>
            </w:tcMar>
            <w:vAlign w:val="center"/>
          </w:tcPr>
          <w:p>
            <w:pPr>
              <w:spacing w:after="0"/>
            </w:pPr>
            <w:r>
              <w:rPr>
                <w:rFonts w:ascii="Calibri" w:hAnsi="Calibri"/>
                <w:b w:val="0"/>
                <w:i w:val="0"/>
                <w:color w:val="111111"/>
                <w:sz w:val="19"/>
              </w:rPr>
              <w:t>Due diligence, contracts, vendor evidence, local testing, and release reviews</w:t>
            </w:r>
          </w:p>
        </w:tc>
      </w:tr>
      <w:tr>
        <w:tc>
          <w:tcPr>
            <w:tcW w:type="dxa" w:w="2150"/>
            <w:tcMar>
              <w:top w:w="80" w:type="dxa"/>
              <w:start w:w="120" w:type="dxa"/>
              <w:bottom w:w="80" w:type="dxa"/>
              <w:end w:w="120" w:type="dxa"/>
            </w:tcMar>
            <w:vAlign w:val="center"/>
          </w:tcPr>
          <w:p>
            <w:pPr>
              <w:spacing w:after="0"/>
            </w:pPr>
            <w:r>
              <w:rPr>
                <w:rFonts w:ascii="Calibri" w:hAnsi="Calibri"/>
                <w:b w:val="0"/>
                <w:i w:val="0"/>
                <w:color w:val="111111"/>
                <w:sz w:val="19"/>
              </w:rPr>
              <w:t>Legacy SR 11-7: development, implementation, and use</w:t>
            </w:r>
          </w:p>
        </w:tc>
        <w:tc>
          <w:tcPr>
            <w:tcW w:type="dxa" w:w="4050"/>
            <w:tcMar>
              <w:top w:w="80" w:type="dxa"/>
              <w:start w:w="120" w:type="dxa"/>
              <w:bottom w:w="80" w:type="dxa"/>
              <w:end w:w="120" w:type="dxa"/>
            </w:tcMar>
            <w:vAlign w:val="center"/>
          </w:tcPr>
          <w:p>
            <w:pPr>
              <w:spacing w:after="0"/>
            </w:pPr>
            <w:r>
              <w:rPr>
                <w:rFonts w:ascii="Calibri" w:hAnsi="Calibri"/>
                <w:b w:val="0"/>
                <w:i w:val="0"/>
                <w:color w:val="111111"/>
                <w:sz w:val="19"/>
              </w:rPr>
              <w:t>Sections 3-11, 12.2, 14, and 17 retain point-in-time construction, implementation verification, and use controls</w:t>
            </w:r>
          </w:p>
        </w:tc>
        <w:tc>
          <w:tcPr>
            <w:tcW w:type="dxa" w:w="3160"/>
            <w:tcMar>
              <w:top w:w="80" w:type="dxa"/>
              <w:start w:w="120" w:type="dxa"/>
              <w:bottom w:w="80" w:type="dxa"/>
              <w:end w:w="120" w:type="dxa"/>
            </w:tcMar>
            <w:vAlign w:val="center"/>
          </w:tcPr>
          <w:p>
            <w:pPr>
              <w:spacing w:after="0"/>
            </w:pPr>
            <w:r>
              <w:rPr>
                <w:rFonts w:ascii="Calibri" w:hAnsi="Calibri"/>
                <w:b w:val="0"/>
                <w:i w:val="0"/>
                <w:color w:val="111111"/>
                <w:sz w:val="19"/>
              </w:rPr>
              <w:t>Implementation test pack, reconciliations, production controls, and user records</w:t>
            </w:r>
          </w:p>
        </w:tc>
      </w:tr>
      <w:tr>
        <w:tc>
          <w:tcPr>
            <w:tcW w:type="dxa" w:w="2150"/>
            <w:tcMar>
              <w:top w:w="80" w:type="dxa"/>
              <w:start w:w="120" w:type="dxa"/>
              <w:bottom w:w="80" w:type="dxa"/>
              <w:end w:w="120" w:type="dxa"/>
            </w:tcMar>
            <w:vAlign w:val="center"/>
          </w:tcPr>
          <w:p>
            <w:pPr>
              <w:spacing w:after="0"/>
            </w:pPr>
            <w:r>
              <w:rPr>
                <w:rFonts w:ascii="Calibri" w:hAnsi="Calibri"/>
                <w:b w:val="0"/>
                <w:i w:val="0"/>
                <w:color w:val="111111"/>
                <w:sz w:val="19"/>
              </w:rPr>
              <w:t>Legacy SR 11-7: comprehensive validation</w:t>
            </w:r>
          </w:p>
        </w:tc>
        <w:tc>
          <w:tcPr>
            <w:tcW w:type="dxa" w:w="4050"/>
            <w:tcMar>
              <w:top w:w="80" w:type="dxa"/>
              <w:start w:w="120" w:type="dxa"/>
              <w:bottom w:w="80" w:type="dxa"/>
              <w:end w:w="120" w:type="dxa"/>
            </w:tcMar>
            <w:vAlign w:val="center"/>
          </w:tcPr>
          <w:p>
            <w:pPr>
              <w:spacing w:after="0"/>
            </w:pPr>
            <w:r>
              <w:rPr>
                <w:rFonts w:ascii="Calibri" w:hAnsi="Calibri"/>
                <w:b w:val="0"/>
                <w:i w:val="0"/>
                <w:color w:val="111111"/>
                <w:sz w:val="19"/>
              </w:rPr>
              <w:t>Section 12 retains conceptual soundness, outcomes analysis, monitoring, benchmarks, and process checks</w:t>
            </w:r>
          </w:p>
        </w:tc>
        <w:tc>
          <w:tcPr>
            <w:tcW w:type="dxa" w:w="3160"/>
            <w:tcMar>
              <w:top w:w="80" w:type="dxa"/>
              <w:start w:w="120" w:type="dxa"/>
              <w:bottom w:w="80" w:type="dxa"/>
              <w:end w:w="120" w:type="dxa"/>
            </w:tcMar>
            <w:vAlign w:val="center"/>
          </w:tcPr>
          <w:p>
            <w:pPr>
              <w:spacing w:after="0"/>
            </w:pPr>
            <w:r>
              <w:rPr>
                <w:rFonts w:ascii="Calibri" w:hAnsi="Calibri"/>
                <w:b w:val="0"/>
                <w:i w:val="0"/>
                <w:color w:val="111111"/>
                <w:sz w:val="19"/>
              </w:rPr>
              <w:t>Validation report, workpapers, findings, and validation schedule</w:t>
            </w:r>
          </w:p>
        </w:tc>
      </w:tr>
      <w:tr>
        <w:tc>
          <w:tcPr>
            <w:tcW w:type="dxa" w:w="2150"/>
            <w:tcMar>
              <w:top w:w="80" w:type="dxa"/>
              <w:start w:w="120" w:type="dxa"/>
              <w:bottom w:w="80" w:type="dxa"/>
              <w:end w:w="120" w:type="dxa"/>
            </w:tcMar>
            <w:vAlign w:val="center"/>
          </w:tcPr>
          <w:p>
            <w:pPr>
              <w:spacing w:after="0"/>
            </w:pPr>
            <w:r>
              <w:rPr>
                <w:rFonts w:ascii="Calibri" w:hAnsi="Calibri"/>
                <w:b w:val="0"/>
                <w:i w:val="0"/>
                <w:color w:val="111111"/>
                <w:sz w:val="19"/>
              </w:rPr>
              <w:t>Legacy SR 11-7: governance, policy, inventory, audit</w:t>
            </w:r>
          </w:p>
        </w:tc>
        <w:tc>
          <w:tcPr>
            <w:tcW w:type="dxa" w:w="4050"/>
            <w:tcMar>
              <w:top w:w="80" w:type="dxa"/>
              <w:start w:w="120" w:type="dxa"/>
              <w:bottom w:w="80" w:type="dxa"/>
              <w:end w:w="120" w:type="dxa"/>
            </w:tcMar>
            <w:vAlign w:val="center"/>
          </w:tcPr>
          <w:p>
            <w:pPr>
              <w:spacing w:after="0"/>
            </w:pPr>
            <w:r>
              <w:rPr>
                <w:rFonts w:ascii="Calibri" w:hAnsi="Calibri"/>
                <w:b w:val="0"/>
                <w:i w:val="0"/>
                <w:color w:val="111111"/>
                <w:sz w:val="19"/>
              </w:rPr>
              <w:t>Sections 15 and 18-25 address roles, authority, documentation, inventory, issues, and audit linkage</w:t>
            </w:r>
          </w:p>
        </w:tc>
        <w:tc>
          <w:tcPr>
            <w:tcW w:type="dxa" w:w="3160"/>
            <w:tcMar>
              <w:top w:w="80" w:type="dxa"/>
              <w:start w:w="120" w:type="dxa"/>
              <w:bottom w:w="80" w:type="dxa"/>
              <w:end w:w="120" w:type="dxa"/>
            </w:tcMar>
            <w:vAlign w:val="center"/>
          </w:tcPr>
          <w:p>
            <w:pPr>
              <w:spacing w:after="0"/>
            </w:pPr>
            <w:r>
              <w:rPr>
                <w:rFonts w:ascii="Calibri" w:hAnsi="Calibri"/>
                <w:b w:val="0"/>
                <w:i w:val="0"/>
                <w:color w:val="111111"/>
                <w:sz w:val="19"/>
              </w:rPr>
              <w:t>Enterprise policy, inventory, board/senior reporting, and internal-audit assessment</w:t>
            </w:r>
          </w:p>
        </w:tc>
      </w:tr>
    </w:tbl>
    <w:p>
      <w:pPr>
        <w:pStyle w:val="Heading1"/>
        <w:keepNext/>
      </w:pPr>
      <w:r>
        <w:t>Appendix D. Model evidence register</w:t>
      </w:r>
    </w:p>
    <w:tbl>
      <w:tblPr>
        <w:tblStyle w:val="TableGrid"/>
        <w:tblW w:type="dxa" w:w="9360"/>
        <w:jc w:val="left"/>
        <w:tblLayout w:type="fixed"/>
        <w:tblLook w:firstColumn="1" w:firstRow="1" w:lastColumn="0" w:lastRow="0" w:noHBand="0" w:noVBand="1" w:val="04A0"/>
        <w:tblInd w:w="120" w:type="dxa"/>
      </w:tblPr>
      <w:tblGrid>
        <w:gridCol w:w="1100"/>
        <w:gridCol w:w="3000"/>
        <w:gridCol w:w="1900"/>
        <w:gridCol w:w="2260"/>
        <w:gridCol w:w="1100"/>
      </w:tblGrid>
      <w:tr>
        <w:trPr>
          <w:tblHeader/>
        </w:trPr>
        <w:tc>
          <w:tcPr>
            <w:tcW w:type="dxa" w:w="1100"/>
            <w:shd w:fill="F2F4F7"/>
            <w:tcMar>
              <w:top w:w="80" w:type="dxa"/>
              <w:start w:w="120" w:type="dxa"/>
              <w:bottom w:w="80" w:type="dxa"/>
              <w:end w:w="120" w:type="dxa"/>
            </w:tcMar>
            <w:vAlign w:val="center"/>
          </w:tcPr>
          <w:p>
            <w:pPr>
              <w:spacing w:after="0"/>
            </w:pPr>
            <w:r>
              <w:rPr>
                <w:rFonts w:ascii="Calibri" w:hAnsi="Calibri"/>
                <w:b/>
                <w:i w:val="0"/>
                <w:color w:val="17365D"/>
                <w:sz w:val="19"/>
              </w:rPr>
              <w:t>Evidence ID</w:t>
            </w:r>
          </w:p>
        </w:tc>
        <w:tc>
          <w:tcPr>
            <w:tcW w:type="dxa" w:w="3000"/>
            <w:shd w:fill="F2F4F7"/>
            <w:tcMar>
              <w:top w:w="80" w:type="dxa"/>
              <w:start w:w="120" w:type="dxa"/>
              <w:bottom w:w="80" w:type="dxa"/>
              <w:end w:w="120" w:type="dxa"/>
            </w:tcMar>
            <w:vAlign w:val="center"/>
          </w:tcPr>
          <w:p>
            <w:pPr>
              <w:spacing w:after="0"/>
            </w:pPr>
            <w:r>
              <w:rPr>
                <w:rFonts w:ascii="Calibri" w:hAnsi="Calibri"/>
                <w:b/>
                <w:i w:val="0"/>
                <w:color w:val="17365D"/>
                <w:sz w:val="19"/>
              </w:rPr>
              <w:t>Record</w:t>
            </w:r>
          </w:p>
        </w:tc>
        <w:tc>
          <w:tcPr>
            <w:tcW w:type="dxa" w:w="1900"/>
            <w:shd w:fill="F2F4F7"/>
            <w:tcMar>
              <w:top w:w="80" w:type="dxa"/>
              <w:start w:w="120" w:type="dxa"/>
              <w:bottom w:w="80" w:type="dxa"/>
              <w:end w:w="120" w:type="dxa"/>
            </w:tcMar>
            <w:vAlign w:val="center"/>
          </w:tcPr>
          <w:p>
            <w:pPr>
              <w:spacing w:after="0"/>
            </w:pPr>
            <w:r>
              <w:rPr>
                <w:rFonts w:ascii="Calibri" w:hAnsi="Calibri"/>
                <w:b/>
                <w:i w:val="0"/>
                <w:color w:val="17365D"/>
                <w:sz w:val="19"/>
              </w:rPr>
              <w:t>Owner</w:t>
            </w:r>
          </w:p>
        </w:tc>
        <w:tc>
          <w:tcPr>
            <w:tcW w:type="dxa" w:w="2260"/>
            <w:shd w:fill="F2F4F7"/>
            <w:tcMar>
              <w:top w:w="80" w:type="dxa"/>
              <w:start w:w="120" w:type="dxa"/>
              <w:bottom w:w="80" w:type="dxa"/>
              <w:end w:w="120" w:type="dxa"/>
            </w:tcMar>
            <w:vAlign w:val="center"/>
          </w:tcPr>
          <w:p>
            <w:pPr>
              <w:spacing w:after="0"/>
            </w:pPr>
            <w:r>
              <w:rPr>
                <w:rFonts w:ascii="Calibri" w:hAnsi="Calibri"/>
                <w:b/>
                <w:i w:val="0"/>
                <w:color w:val="17365D"/>
                <w:sz w:val="19"/>
              </w:rPr>
              <w:t>Location / version</w:t>
            </w:r>
          </w:p>
        </w:tc>
        <w:tc>
          <w:tcPr>
            <w:tcW w:type="dxa" w:w="1100"/>
            <w:shd w:fill="F2F4F7"/>
            <w:tcMar>
              <w:top w:w="80" w:type="dxa"/>
              <w:start w:w="120" w:type="dxa"/>
              <w:bottom w:w="80" w:type="dxa"/>
              <w:end w:w="120" w:type="dxa"/>
            </w:tcMar>
            <w:vAlign w:val="center"/>
          </w:tcPr>
          <w:p>
            <w:pPr>
              <w:spacing w:after="0"/>
            </w:pPr>
            <w:r>
              <w:rPr>
                <w:rFonts w:ascii="Calibri" w:hAnsi="Calibri"/>
                <w:b/>
                <w:i w:val="0"/>
                <w:color w:val="17365D"/>
                <w:sz w:val="19"/>
              </w:rPr>
              <w:t>Status</w:t>
            </w:r>
          </w:p>
        </w:tc>
      </w:tr>
      <w:tr>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E-01</w:t>
            </w:r>
          </w:p>
        </w:tc>
        <w:tc>
          <w:tcPr>
            <w:tcW w:type="dxa" w:w="3000"/>
            <w:tcMar>
              <w:top w:w="80" w:type="dxa"/>
              <w:start w:w="120" w:type="dxa"/>
              <w:bottom w:w="80" w:type="dxa"/>
              <w:end w:w="120" w:type="dxa"/>
            </w:tcMar>
            <w:vAlign w:val="center"/>
          </w:tcPr>
          <w:p>
            <w:pPr>
              <w:spacing w:after="0"/>
            </w:pPr>
            <w:r>
              <w:rPr>
                <w:rFonts w:ascii="Calibri" w:hAnsi="Calibri"/>
                <w:b w:val="0"/>
                <w:i w:val="0"/>
                <w:color w:val="111111"/>
                <w:sz w:val="19"/>
              </w:rPr>
              <w:t>Enterprise MRM policy applicability</w:t>
            </w:r>
          </w:p>
        </w:tc>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MRM / Compliance</w:t>
            </w:r>
          </w:p>
        </w:tc>
        <w:tc>
          <w:tcPr>
            <w:tcW w:type="dxa" w:w="2260"/>
            <w:tcMar>
              <w:top w:w="80" w:type="dxa"/>
              <w:start w:w="120" w:type="dxa"/>
              <w:bottom w:w="80" w:type="dxa"/>
              <w:end w:w="120" w:type="dxa"/>
            </w:tcMar>
            <w:vAlign w:val="center"/>
          </w:tcPr>
          <w:p>
            <w:pPr>
              <w:spacing w:after="0"/>
            </w:pPr>
            <w:r>
              <w:rPr>
                <w:rFonts w:ascii="Calibri" w:hAnsi="Calibri"/>
                <w:b w:val="0"/>
                <w:i w:val="0"/>
                <w:color w:val="111111"/>
                <w:sz w:val="19"/>
              </w:rPr>
              <w:t>TBD</w:t>
            </w:r>
          </w:p>
        </w:tc>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Open</w:t>
            </w:r>
          </w:p>
        </w:tc>
      </w:tr>
      <w:tr>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E-02</w:t>
            </w:r>
          </w:p>
        </w:tc>
        <w:tc>
          <w:tcPr>
            <w:tcW w:type="dxa" w:w="3000"/>
            <w:tcMar>
              <w:top w:w="80" w:type="dxa"/>
              <w:start w:w="120" w:type="dxa"/>
              <w:bottom w:w="80" w:type="dxa"/>
              <w:end w:w="120" w:type="dxa"/>
            </w:tcMar>
            <w:vAlign w:val="center"/>
          </w:tcPr>
          <w:p>
            <w:pPr>
              <w:spacing w:after="0"/>
            </w:pPr>
            <w:r>
              <w:rPr>
                <w:rFonts w:ascii="Calibri" w:hAnsi="Calibri"/>
                <w:b w:val="0"/>
                <w:i w:val="0"/>
                <w:color w:val="111111"/>
                <w:sz w:val="19"/>
              </w:rPr>
              <w:t>Model inventory and risk rating</w:t>
            </w:r>
          </w:p>
        </w:tc>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Model Owner / MRM</w:t>
            </w:r>
          </w:p>
        </w:tc>
        <w:tc>
          <w:tcPr>
            <w:tcW w:type="dxa" w:w="2260"/>
            <w:tcMar>
              <w:top w:w="80" w:type="dxa"/>
              <w:start w:w="120" w:type="dxa"/>
              <w:bottom w:w="80" w:type="dxa"/>
              <w:end w:w="120" w:type="dxa"/>
            </w:tcMar>
            <w:vAlign w:val="center"/>
          </w:tcPr>
          <w:p>
            <w:pPr>
              <w:spacing w:after="0"/>
            </w:pPr>
            <w:r>
              <w:rPr>
                <w:rFonts w:ascii="Calibri" w:hAnsi="Calibri"/>
                <w:b w:val="0"/>
                <w:i w:val="0"/>
                <w:color w:val="111111"/>
                <w:sz w:val="19"/>
              </w:rPr>
              <w:t>TBD</w:t>
            </w:r>
          </w:p>
        </w:tc>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Open</w:t>
            </w:r>
          </w:p>
        </w:tc>
      </w:tr>
      <w:tr>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E-03</w:t>
            </w:r>
          </w:p>
        </w:tc>
        <w:tc>
          <w:tcPr>
            <w:tcW w:type="dxa" w:w="3000"/>
            <w:tcMar>
              <w:top w:w="80" w:type="dxa"/>
              <w:start w:w="120" w:type="dxa"/>
              <w:bottom w:w="80" w:type="dxa"/>
              <w:end w:w="120" w:type="dxa"/>
            </w:tcMar>
            <w:vAlign w:val="center"/>
          </w:tcPr>
          <w:p>
            <w:pPr>
              <w:spacing w:after="0"/>
            </w:pPr>
            <w:r>
              <w:rPr>
                <w:rFonts w:ascii="Calibri" w:hAnsi="Calibri"/>
                <w:b w:val="0"/>
                <w:i w:val="0"/>
                <w:color w:val="111111"/>
                <w:sz w:val="19"/>
              </w:rPr>
              <w:t>Data inventory, lineage, and quality report</w:t>
            </w:r>
          </w:p>
        </w:tc>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Data Owner</w:t>
            </w:r>
          </w:p>
        </w:tc>
        <w:tc>
          <w:tcPr>
            <w:tcW w:type="dxa" w:w="2260"/>
            <w:tcMar>
              <w:top w:w="80" w:type="dxa"/>
              <w:start w:w="120" w:type="dxa"/>
              <w:bottom w:w="80" w:type="dxa"/>
              <w:end w:w="120" w:type="dxa"/>
            </w:tcMar>
            <w:vAlign w:val="center"/>
          </w:tcPr>
          <w:p>
            <w:pPr>
              <w:spacing w:after="0"/>
            </w:pPr>
            <w:r>
              <w:rPr>
                <w:rFonts w:ascii="Calibri" w:hAnsi="Calibri"/>
                <w:b w:val="0"/>
                <w:i w:val="0"/>
                <w:color w:val="111111"/>
                <w:sz w:val="19"/>
              </w:rPr>
              <w:t>TBD</w:t>
            </w:r>
          </w:p>
        </w:tc>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Open</w:t>
            </w:r>
          </w:p>
        </w:tc>
      </w:tr>
      <w:tr>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E-04</w:t>
            </w:r>
          </w:p>
        </w:tc>
        <w:tc>
          <w:tcPr>
            <w:tcW w:type="dxa" w:w="3000"/>
            <w:tcMar>
              <w:top w:w="80" w:type="dxa"/>
              <w:start w:w="120" w:type="dxa"/>
              <w:bottom w:w="80" w:type="dxa"/>
              <w:end w:w="120" w:type="dxa"/>
            </w:tcMar>
            <w:vAlign w:val="center"/>
          </w:tcPr>
          <w:p>
            <w:pPr>
              <w:spacing w:after="0"/>
            </w:pPr>
            <w:r>
              <w:rPr>
                <w:rFonts w:ascii="Calibri" w:hAnsi="Calibri"/>
                <w:b w:val="0"/>
                <w:i w:val="0"/>
                <w:color w:val="111111"/>
                <w:sz w:val="19"/>
              </w:rPr>
              <w:t>Development report and test results</w:t>
            </w:r>
          </w:p>
        </w:tc>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Developer</w:t>
            </w:r>
          </w:p>
        </w:tc>
        <w:tc>
          <w:tcPr>
            <w:tcW w:type="dxa" w:w="2260"/>
            <w:tcMar>
              <w:top w:w="80" w:type="dxa"/>
              <w:start w:w="120" w:type="dxa"/>
              <w:bottom w:w="80" w:type="dxa"/>
              <w:end w:w="120" w:type="dxa"/>
            </w:tcMar>
            <w:vAlign w:val="center"/>
          </w:tcPr>
          <w:p>
            <w:pPr>
              <w:spacing w:after="0"/>
            </w:pPr>
            <w:r>
              <w:rPr>
                <w:rFonts w:ascii="Calibri" w:hAnsi="Calibri"/>
                <w:b w:val="0"/>
                <w:i w:val="0"/>
                <w:color w:val="111111"/>
                <w:sz w:val="19"/>
              </w:rPr>
              <w:t>TBD</w:t>
            </w:r>
          </w:p>
        </w:tc>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Open</w:t>
            </w:r>
          </w:p>
        </w:tc>
      </w:tr>
      <w:tr>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E-05</w:t>
            </w:r>
          </w:p>
        </w:tc>
        <w:tc>
          <w:tcPr>
            <w:tcW w:type="dxa" w:w="3000"/>
            <w:tcMar>
              <w:top w:w="80" w:type="dxa"/>
              <w:start w:w="120" w:type="dxa"/>
              <w:bottom w:w="80" w:type="dxa"/>
              <w:end w:w="120" w:type="dxa"/>
            </w:tcMar>
            <w:vAlign w:val="center"/>
          </w:tcPr>
          <w:p>
            <w:pPr>
              <w:spacing w:after="0"/>
            </w:pPr>
            <w:r>
              <w:rPr>
                <w:rFonts w:ascii="Calibri" w:hAnsi="Calibri"/>
                <w:b w:val="0"/>
                <w:i w:val="0"/>
                <w:color w:val="111111"/>
                <w:sz w:val="19"/>
              </w:rPr>
              <w:t>Implementation verification and reconciliation</w:t>
            </w:r>
          </w:p>
        </w:tc>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Technology / MRM</w:t>
            </w:r>
          </w:p>
        </w:tc>
        <w:tc>
          <w:tcPr>
            <w:tcW w:type="dxa" w:w="2260"/>
            <w:tcMar>
              <w:top w:w="80" w:type="dxa"/>
              <w:start w:w="120" w:type="dxa"/>
              <w:bottom w:w="80" w:type="dxa"/>
              <w:end w:w="120" w:type="dxa"/>
            </w:tcMar>
            <w:vAlign w:val="center"/>
          </w:tcPr>
          <w:p>
            <w:pPr>
              <w:spacing w:after="0"/>
            </w:pPr>
            <w:r>
              <w:rPr>
                <w:rFonts w:ascii="Calibri" w:hAnsi="Calibri"/>
                <w:b w:val="0"/>
                <w:i w:val="0"/>
                <w:color w:val="111111"/>
                <w:sz w:val="19"/>
              </w:rPr>
              <w:t>TBD</w:t>
            </w:r>
          </w:p>
        </w:tc>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Open</w:t>
            </w:r>
          </w:p>
        </w:tc>
      </w:tr>
      <w:tr>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E-06</w:t>
            </w:r>
          </w:p>
        </w:tc>
        <w:tc>
          <w:tcPr>
            <w:tcW w:type="dxa" w:w="3000"/>
            <w:tcMar>
              <w:top w:w="80" w:type="dxa"/>
              <w:start w:w="120" w:type="dxa"/>
              <w:bottom w:w="80" w:type="dxa"/>
              <w:end w:w="120" w:type="dxa"/>
            </w:tcMar>
            <w:vAlign w:val="center"/>
          </w:tcPr>
          <w:p>
            <w:pPr>
              <w:spacing w:after="0"/>
            </w:pPr>
            <w:r>
              <w:rPr>
                <w:rFonts w:ascii="Calibri" w:hAnsi="Calibri"/>
                <w:b w:val="0"/>
                <w:i w:val="0"/>
                <w:color w:val="111111"/>
                <w:sz w:val="19"/>
              </w:rPr>
              <w:t>Validation report and findings</w:t>
            </w:r>
          </w:p>
        </w:tc>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Validator</w:t>
            </w:r>
          </w:p>
        </w:tc>
        <w:tc>
          <w:tcPr>
            <w:tcW w:type="dxa" w:w="2260"/>
            <w:tcMar>
              <w:top w:w="80" w:type="dxa"/>
              <w:start w:w="120" w:type="dxa"/>
              <w:bottom w:w="80" w:type="dxa"/>
              <w:end w:w="120" w:type="dxa"/>
            </w:tcMar>
            <w:vAlign w:val="center"/>
          </w:tcPr>
          <w:p>
            <w:pPr>
              <w:spacing w:after="0"/>
            </w:pPr>
            <w:r>
              <w:rPr>
                <w:rFonts w:ascii="Calibri" w:hAnsi="Calibri"/>
                <w:b w:val="0"/>
                <w:i w:val="0"/>
                <w:color w:val="111111"/>
                <w:sz w:val="19"/>
              </w:rPr>
              <w:t>TBD</w:t>
            </w:r>
          </w:p>
        </w:tc>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Open</w:t>
            </w:r>
          </w:p>
        </w:tc>
      </w:tr>
      <w:tr>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E-07</w:t>
            </w:r>
          </w:p>
        </w:tc>
        <w:tc>
          <w:tcPr>
            <w:tcW w:type="dxa" w:w="3000"/>
            <w:tcMar>
              <w:top w:w="80" w:type="dxa"/>
              <w:start w:w="120" w:type="dxa"/>
              <w:bottom w:w="80" w:type="dxa"/>
              <w:end w:w="120" w:type="dxa"/>
            </w:tcMar>
            <w:vAlign w:val="center"/>
          </w:tcPr>
          <w:p>
            <w:pPr>
              <w:spacing w:after="0"/>
            </w:pPr>
            <w:r>
              <w:rPr>
                <w:rFonts w:ascii="Calibri" w:hAnsi="Calibri"/>
                <w:b w:val="0"/>
                <w:i w:val="0"/>
                <w:color w:val="111111"/>
                <w:sz w:val="19"/>
              </w:rPr>
              <w:t>Approval and use conditions</w:t>
            </w:r>
          </w:p>
        </w:tc>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MRM / Approver</w:t>
            </w:r>
          </w:p>
        </w:tc>
        <w:tc>
          <w:tcPr>
            <w:tcW w:type="dxa" w:w="2260"/>
            <w:tcMar>
              <w:top w:w="80" w:type="dxa"/>
              <w:start w:w="120" w:type="dxa"/>
              <w:bottom w:w="80" w:type="dxa"/>
              <w:end w:w="120" w:type="dxa"/>
            </w:tcMar>
            <w:vAlign w:val="center"/>
          </w:tcPr>
          <w:p>
            <w:pPr>
              <w:spacing w:after="0"/>
            </w:pPr>
            <w:r>
              <w:rPr>
                <w:rFonts w:ascii="Calibri" w:hAnsi="Calibri"/>
                <w:b w:val="0"/>
                <w:i w:val="0"/>
                <w:color w:val="111111"/>
                <w:sz w:val="19"/>
              </w:rPr>
              <w:t>TBD</w:t>
            </w:r>
          </w:p>
        </w:tc>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Open</w:t>
            </w:r>
          </w:p>
        </w:tc>
      </w:tr>
      <w:tr>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E-08</w:t>
            </w:r>
          </w:p>
        </w:tc>
        <w:tc>
          <w:tcPr>
            <w:tcW w:type="dxa" w:w="3000"/>
            <w:tcMar>
              <w:top w:w="80" w:type="dxa"/>
              <w:start w:w="120" w:type="dxa"/>
              <w:bottom w:w="80" w:type="dxa"/>
              <w:end w:w="120" w:type="dxa"/>
            </w:tcMar>
            <w:vAlign w:val="center"/>
          </w:tcPr>
          <w:p>
            <w:pPr>
              <w:spacing w:after="0"/>
            </w:pPr>
            <w:r>
              <w:rPr>
                <w:rFonts w:ascii="Calibri" w:hAnsi="Calibri"/>
                <w:b w:val="0"/>
                <w:i w:val="0"/>
                <w:color w:val="111111"/>
                <w:sz w:val="19"/>
              </w:rPr>
              <w:t>Monitoring specification and threshold approval</w:t>
            </w:r>
          </w:p>
        </w:tc>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Model Owner / MRM</w:t>
            </w:r>
          </w:p>
        </w:tc>
        <w:tc>
          <w:tcPr>
            <w:tcW w:type="dxa" w:w="2260"/>
            <w:tcMar>
              <w:top w:w="80" w:type="dxa"/>
              <w:start w:w="120" w:type="dxa"/>
              <w:bottom w:w="80" w:type="dxa"/>
              <w:end w:w="120" w:type="dxa"/>
            </w:tcMar>
            <w:vAlign w:val="center"/>
          </w:tcPr>
          <w:p>
            <w:pPr>
              <w:spacing w:after="0"/>
            </w:pPr>
            <w:r>
              <w:rPr>
                <w:rFonts w:ascii="Calibri" w:hAnsi="Calibri"/>
                <w:b w:val="0"/>
                <w:i w:val="0"/>
                <w:color w:val="111111"/>
                <w:sz w:val="19"/>
              </w:rPr>
              <w:t>TBD</w:t>
            </w:r>
          </w:p>
        </w:tc>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Open</w:t>
            </w:r>
          </w:p>
        </w:tc>
      </w:tr>
      <w:tr>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E-09</w:t>
            </w:r>
          </w:p>
        </w:tc>
        <w:tc>
          <w:tcPr>
            <w:tcW w:type="dxa" w:w="3000"/>
            <w:tcMar>
              <w:top w:w="80" w:type="dxa"/>
              <w:start w:w="120" w:type="dxa"/>
              <w:bottom w:w="80" w:type="dxa"/>
              <w:end w:w="120" w:type="dxa"/>
            </w:tcMar>
            <w:vAlign w:val="center"/>
          </w:tcPr>
          <w:p>
            <w:pPr>
              <w:spacing w:after="0"/>
            </w:pPr>
            <w:r>
              <w:rPr>
                <w:rFonts w:ascii="Calibri" w:hAnsi="Calibri"/>
                <w:b w:val="0"/>
                <w:i w:val="0"/>
                <w:color w:val="111111"/>
                <w:sz w:val="19"/>
              </w:rPr>
              <w:t>Recurring monitoring and outcomes reports</w:t>
            </w:r>
          </w:p>
        </w:tc>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Model Owner</w:t>
            </w:r>
          </w:p>
        </w:tc>
        <w:tc>
          <w:tcPr>
            <w:tcW w:type="dxa" w:w="2260"/>
            <w:tcMar>
              <w:top w:w="80" w:type="dxa"/>
              <w:start w:w="120" w:type="dxa"/>
              <w:bottom w:w="80" w:type="dxa"/>
              <w:end w:w="120" w:type="dxa"/>
            </w:tcMar>
            <w:vAlign w:val="center"/>
          </w:tcPr>
          <w:p>
            <w:pPr>
              <w:spacing w:after="0"/>
            </w:pPr>
            <w:r>
              <w:rPr>
                <w:rFonts w:ascii="Calibri" w:hAnsi="Calibri"/>
                <w:b w:val="0"/>
                <w:i w:val="0"/>
                <w:color w:val="111111"/>
                <w:sz w:val="19"/>
              </w:rPr>
              <w:t>TBD</w:t>
            </w:r>
          </w:p>
        </w:tc>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Open</w:t>
            </w:r>
          </w:p>
        </w:tc>
      </w:tr>
      <w:tr>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E-10</w:t>
            </w:r>
          </w:p>
        </w:tc>
        <w:tc>
          <w:tcPr>
            <w:tcW w:type="dxa" w:w="3000"/>
            <w:tcMar>
              <w:top w:w="80" w:type="dxa"/>
              <w:start w:w="120" w:type="dxa"/>
              <w:bottom w:w="80" w:type="dxa"/>
              <w:end w:w="120" w:type="dxa"/>
            </w:tcMar>
            <w:vAlign w:val="center"/>
          </w:tcPr>
          <w:p>
            <w:pPr>
              <w:spacing w:after="0"/>
            </w:pPr>
            <w:r>
              <w:rPr>
                <w:rFonts w:ascii="Calibri" w:hAnsi="Calibri"/>
                <w:b w:val="0"/>
                <w:i w:val="0"/>
                <w:color w:val="111111"/>
                <w:sz w:val="19"/>
              </w:rPr>
              <w:t>Issue, exception, and overlay log</w:t>
            </w:r>
          </w:p>
        </w:tc>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Model Owner / MRM</w:t>
            </w:r>
          </w:p>
        </w:tc>
        <w:tc>
          <w:tcPr>
            <w:tcW w:type="dxa" w:w="2260"/>
            <w:tcMar>
              <w:top w:w="80" w:type="dxa"/>
              <w:start w:w="120" w:type="dxa"/>
              <w:bottom w:w="80" w:type="dxa"/>
              <w:end w:w="120" w:type="dxa"/>
            </w:tcMar>
            <w:vAlign w:val="center"/>
          </w:tcPr>
          <w:p>
            <w:pPr>
              <w:spacing w:after="0"/>
            </w:pPr>
            <w:r>
              <w:rPr>
                <w:rFonts w:ascii="Calibri" w:hAnsi="Calibri"/>
                <w:b w:val="0"/>
                <w:i w:val="0"/>
                <w:color w:val="111111"/>
                <w:sz w:val="19"/>
              </w:rPr>
              <w:t>TBD</w:t>
            </w:r>
          </w:p>
        </w:tc>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Open</w:t>
            </w:r>
          </w:p>
        </w:tc>
      </w:tr>
      <w:tr>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E-11</w:t>
            </w:r>
          </w:p>
        </w:tc>
        <w:tc>
          <w:tcPr>
            <w:tcW w:type="dxa" w:w="3000"/>
            <w:tcMar>
              <w:top w:w="80" w:type="dxa"/>
              <w:start w:w="120" w:type="dxa"/>
              <w:bottom w:w="80" w:type="dxa"/>
              <w:end w:w="120" w:type="dxa"/>
            </w:tcMar>
            <w:vAlign w:val="center"/>
          </w:tcPr>
          <w:p>
            <w:pPr>
              <w:spacing w:after="0"/>
            </w:pPr>
            <w:r>
              <w:rPr>
                <w:rFonts w:ascii="Calibri" w:hAnsi="Calibri"/>
                <w:b w:val="0"/>
                <w:i w:val="0"/>
                <w:color w:val="111111"/>
                <w:sz w:val="19"/>
              </w:rPr>
              <w:t>Change and release log</w:t>
            </w:r>
          </w:p>
        </w:tc>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Developer / Technology</w:t>
            </w:r>
          </w:p>
        </w:tc>
        <w:tc>
          <w:tcPr>
            <w:tcW w:type="dxa" w:w="2260"/>
            <w:tcMar>
              <w:top w:w="80" w:type="dxa"/>
              <w:start w:w="120" w:type="dxa"/>
              <w:bottom w:w="80" w:type="dxa"/>
              <w:end w:w="120" w:type="dxa"/>
            </w:tcMar>
            <w:vAlign w:val="center"/>
          </w:tcPr>
          <w:p>
            <w:pPr>
              <w:spacing w:after="0"/>
            </w:pPr>
            <w:r>
              <w:rPr>
                <w:rFonts w:ascii="Calibri" w:hAnsi="Calibri"/>
                <w:b w:val="0"/>
                <w:i w:val="0"/>
                <w:color w:val="111111"/>
                <w:sz w:val="19"/>
              </w:rPr>
              <w:t>TBD</w:t>
            </w:r>
          </w:p>
        </w:tc>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Open</w:t>
            </w:r>
          </w:p>
        </w:tc>
      </w:tr>
      <w:tr>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E-12</w:t>
            </w:r>
          </w:p>
        </w:tc>
        <w:tc>
          <w:tcPr>
            <w:tcW w:type="dxa" w:w="3000"/>
            <w:tcMar>
              <w:top w:w="80" w:type="dxa"/>
              <w:start w:w="120" w:type="dxa"/>
              <w:bottom w:w="80" w:type="dxa"/>
              <w:end w:w="120" w:type="dxa"/>
            </w:tcMar>
            <w:vAlign w:val="center"/>
          </w:tcPr>
          <w:p>
            <w:pPr>
              <w:spacing w:after="0"/>
            </w:pPr>
            <w:r>
              <w:rPr>
                <w:rFonts w:ascii="Calibri" w:hAnsi="Calibri"/>
                <w:b w:val="0"/>
                <w:i w:val="0"/>
                <w:color w:val="111111"/>
                <w:sz w:val="19"/>
              </w:rPr>
              <w:t>Internal-audit assessment</w:t>
            </w:r>
          </w:p>
        </w:tc>
        <w:tc>
          <w:tcPr>
            <w:tcW w:type="dxa" w:w="1900"/>
            <w:tcMar>
              <w:top w:w="80" w:type="dxa"/>
              <w:start w:w="120" w:type="dxa"/>
              <w:bottom w:w="80" w:type="dxa"/>
              <w:end w:w="120" w:type="dxa"/>
            </w:tcMar>
            <w:vAlign w:val="center"/>
          </w:tcPr>
          <w:p>
            <w:pPr>
              <w:spacing w:after="0"/>
            </w:pPr>
            <w:r>
              <w:rPr>
                <w:rFonts w:ascii="Calibri" w:hAnsi="Calibri"/>
                <w:b w:val="0"/>
                <w:i w:val="0"/>
                <w:color w:val="111111"/>
                <w:sz w:val="19"/>
              </w:rPr>
              <w:t>Internal Audit</w:t>
            </w:r>
          </w:p>
        </w:tc>
        <w:tc>
          <w:tcPr>
            <w:tcW w:type="dxa" w:w="2260"/>
            <w:tcMar>
              <w:top w:w="80" w:type="dxa"/>
              <w:start w:w="120" w:type="dxa"/>
              <w:bottom w:w="80" w:type="dxa"/>
              <w:end w:w="120" w:type="dxa"/>
            </w:tcMar>
            <w:vAlign w:val="center"/>
          </w:tcPr>
          <w:p>
            <w:pPr>
              <w:spacing w:after="0"/>
            </w:pPr>
            <w:r>
              <w:rPr>
                <w:rFonts w:ascii="Calibri" w:hAnsi="Calibri"/>
                <w:b w:val="0"/>
                <w:i w:val="0"/>
                <w:color w:val="111111"/>
                <w:sz w:val="19"/>
              </w:rPr>
              <w:t>TBD</w:t>
            </w:r>
          </w:p>
        </w:tc>
        <w:tc>
          <w:tcPr>
            <w:tcW w:type="dxa" w:w="1100"/>
            <w:tcMar>
              <w:top w:w="80" w:type="dxa"/>
              <w:start w:w="120" w:type="dxa"/>
              <w:bottom w:w="80" w:type="dxa"/>
              <w:end w:w="120" w:type="dxa"/>
            </w:tcMar>
            <w:vAlign w:val="center"/>
          </w:tcPr>
          <w:p>
            <w:pPr>
              <w:spacing w:after="0"/>
            </w:pPr>
            <w:r>
              <w:rPr>
                <w:rFonts w:ascii="Calibri" w:hAnsi="Calibri"/>
                <w:b w:val="0"/>
                <w:i w:val="0"/>
                <w:color w:val="111111"/>
                <w:sz w:val="19"/>
              </w:rPr>
              <w:t>Open</w:t>
            </w:r>
          </w:p>
        </w:tc>
      </w:tr>
    </w:tbl>
    <w:p>
      <w:pPr>
        <w:pStyle w:val="Heading1"/>
        <w:keepNext/>
      </w:pPr>
      <w:r>
        <w:t>Appendix E. Authoritative sources</w:t>
      </w:r>
    </w:p>
    <w:p>
      <w:r>
        <w:rPr>
          <w:b/>
        </w:rPr>
        <w:t xml:space="preserve">Controlling guidance: </w:t>
      </w:r>
      <w:hyperlink r:id="rId11">
        <w:r>
          <w:rPr>
            <w:color w:val="2E74B5"/>
            <w:u w:val="single"/>
          </w:rPr>
          <w:t>SR 26-2, Revised Guidance on Model Risk Management (April 17, 2026)</w:t>
        </w:r>
      </w:hyperlink>
    </w:p>
    <w:p>
      <w:r>
        <w:rPr>
          <w:b/>
        </w:rPr>
        <w:t xml:space="preserve">Attachment: </w:t>
      </w:r>
      <w:hyperlink r:id="rId12">
        <w:r>
          <w:rPr>
            <w:color w:val="2E74B5"/>
            <w:u w:val="single"/>
          </w:rPr>
          <w:t>Supervisory Guidance on Model Risk Management (SR 26-2 attachment)</w:t>
        </w:r>
      </w:hyperlink>
    </w:p>
    <w:p>
      <w:r>
        <w:rPr>
          <w:b/>
        </w:rPr>
        <w:t xml:space="preserve">Legacy reference (superseded): </w:t>
      </w:r>
      <w:hyperlink r:id="rId13">
        <w:r>
          <w:rPr>
            <w:color w:val="2E74B5"/>
            <w:u w:val="single"/>
          </w:rPr>
          <w:t>SR 11-7, Guidance on Model Risk Management (April 4, 2011)</w:t>
        </w:r>
      </w:hyperlink>
    </w:p>
    <w:p>
      <w:r>
        <w:t>The source list is limited to model-risk guidance addressed by this document. Applicable accounting, capital, stress-testing, CRE concentration, data, privacy, cybersecurity, fair-lending, and records-retention requirements require separate applicability analysis.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hyperlink" Target="https://www.federalreserve.gov/supervisionreg/srletters/SR2602.htm" TargetMode="External"/><Relationship Id="rId12" Type="http://schemas.openxmlformats.org/officeDocument/2006/relationships/hyperlink" Target="https://www.federalreserve.gov/supervisionreg/srletters/SR2602a1.pdf" TargetMode="External"/><Relationship Id="rId13" Type="http://schemas.openxmlformats.org/officeDocument/2006/relationships/hyperlink" Target="https://www.federalreserve.gov/supervisionreg/srletters/sr1107.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Real Estate Expected Loss Model Governance and Design</dc:title>
  <dc:subject>SR 26-2 aligned governance and design for PD, LGD, EAD, scenarios, validation, and monitoring</dc:subject>
  <dc:creator>CRE Expected Loss Project</dc:creator>
  <cp:keywords>CRE, expected loss, PD, LGD, EAD, model design</cp:keywords>
  <dc:description>generated by python-docx</dc:description>
  <cp:lastModifiedBy/>
  <cp:revision>1</cp:revision>
  <dcterms:created xsi:type="dcterms:W3CDTF">2013-12-23T23:15:00Z</dcterms:created>
  <dcterms:modified xsi:type="dcterms:W3CDTF">2013-12-23T23:15:00Z</dcterms:modified>
  <cp:category/>
</cp:coreProperties>
</file>