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spacing w:before="0" w:after="3" w:line="276" w:lineRule="auto"/>
        <w:keepNext/>
      </w:pPr>
      <w:r>
        <w:rPr>
          <w:rFonts w:ascii="Aptos" w:hAnsi="Aptos"/>
          <w:b/>
          <w:color w:val="15324B"/>
          <w:sz w:val="42"/>
        </w:rPr>
        <w:t xml:space="preserve">Student Assist LTI 1.3</w:t>
      </w:r>
    </w:p>
    <w:p>
      <w:pPr>
        <w:pStyle w:val="Subtitle"/>
        <w:spacing w:before="0" w:after="16" w:line="276" w:lineRule="auto"/>
      </w:pPr>
      <w:r>
        <w:rPr>
          <w:rFonts w:ascii="Aptos" w:hAnsi="Aptos"/>
          <w:color w:val="126782"/>
          <w:sz w:val="26"/>
        </w:rPr>
        <w:t xml:space="preserve">Production Integration Guide</w:t>
      </w:r>
    </w:p>
    <w:p>
      <w:pPr>
        <w:pStyle w:val="Heading2"/>
        <w:spacing w:before="4" w:after="3" w:line="276" w:lineRule="auto"/>
        <w:keepNext/>
      </w:pPr>
      <w:r>
        <w:rPr>
          <w:rFonts w:ascii="Aptos" w:hAnsi="Aptos"/>
          <w:b/>
          <w:color w:val="15324B"/>
          <w:sz w:val="24"/>
        </w:rPr>
        <w:t xml:space="preserve">Purpose</w:t>
      </w:r>
    </w:p>
    <w:p>
      <w:pPr>
        <w:spacing w:before="0" w:after="6" w:line="276" w:lineRule="auto"/>
      </w:pPr>
      <w:r>
        <w:rPr>
          <w:rFonts w:ascii="Aptos" w:hAnsi="Aptos"/>
        </w:rPr>
        <w:t xml:space="preserve">This guide explains how to connect the Student Assist application to Moodle or Open edX in production. It follows a learner from opening the assistant in the LMS through LTI authentication, course lookup, section-aware chat, and ongoing operations. The project provides an LTI package and a Streamlit demo; production deployment must replace demo memory stores and mock course/chat services with durable, platform-specific services.</w:t>
      </w:r>
    </w:p>
    <w:p>
      <w:pPr>
        <w:pStyle w:val="Heading2"/>
        <w:spacing w:before="5" w:after="3" w:line="276" w:lineRule="auto"/>
        <w:keepNext/>
      </w:pPr>
      <w:r>
        <w:rPr>
          <w:rFonts w:ascii="Aptos" w:hAnsi="Aptos"/>
          <w:b/>
          <w:color w:val="15324B"/>
          <w:sz w:val="24"/>
        </w:rPr>
        <w:t xml:space="preserve">Production outcome</w:t>
      </w:r>
    </w:p>
    <w:p>
      <w:pPr>
        <w:spacing w:before="0" w:after="6" w:line="276" w:lineRule="auto"/>
      </w:pPr>
      <w:r>
        <w:rPr>
          <w:rFonts w:ascii="Aptos" w:hAnsi="Aptos"/>
        </w:rPr>
        <w:t xml:space="preserve">The LMS remains the identity authority. Student Assist accepts only validated LTI launches, maps the LMS subject to the correct learner record, retrieves only courses that learner may access, and answers questions using content from the selected course and section.</w:t>
      </w:r>
    </w:p>
    <w:p>
      <w:pPr>
        <w:pStyle w:val="Heading1"/>
        <w:spacing w:before="14" w:after="5" w:line="276" w:lineRule="auto"/>
        <w:keepNext/>
      </w:pPr>
      <w:r>
        <w:rPr>
          <w:rFonts w:ascii="Aptos" w:hAnsi="Aptos"/>
          <w:b/>
          <w:color w:val="126782"/>
          <w:sz w:val="30"/>
        </w:rPr>
        <w:t xml:space="preserve">1. Solution overview</w:t>
      </w:r>
    </w:p>
    <w:p>
      <w:pPr>
        <w:spacing w:before="0" w:after="6" w:line="276" w:lineRule="auto"/>
      </w:pPr>
      <w:r>
        <w:rPr>
          <w:rFonts w:ascii="Aptos" w:hAnsi="Aptos"/>
        </w:rPr>
        <w:t xml:space="preserve">The system has four responsibilities. The LMS initiates the launch and supplies identity and current course context. The LTI bridge validates that signed assertion. A course integration retrieves the learner's enrolled courses from the chosen LMS API. The assistant service uses the selected course and section to scope retrieval and generate an answer.</w:t>
      </w:r>
    </w:p>
    <w:tbl>
      <w:tblPr>
        <w:tblW w:w="9600" w:type="dxa"/>
        <w:tblLayout w:type="fixed"/>
        <w:tblBorders>
          <w:top w:val="single" w:sz="5" w:color="D5E0E8"/>
          <w:left w:val="single" w:sz="5" w:color="D5E0E8"/>
          <w:bottom w:val="single" w:sz="5" w:color="D5E0E8"/>
          <w:right w:val="single" w:sz="5" w:color="D5E0E8"/>
          <w:insideH w:val="single" w:sz="4" w:color="D5E0E8"/>
          <w:insideV w:val="single" w:sz="4" w:color="D5E0E8"/>
        </w:tblBorders>
        <w:tblCellMar>
          <w:top w:w="90" w:type="dxa"/>
          <w:start w:w="110" w:type="dxa"/>
          <w:bottom w:w="90" w:type="dxa"/>
          <w:end w:w="110" w:type="dxa"/>
        </w:tblCellMar>
      </w:tblPr>
      <w:tr>
        <w:tc>
          <w:tcPr>
            <w:tcW w:w="3100" w:type="dxa"/>
            <w:shd w:fill="EAF2F7"/>
          </w:tcPr>
          <w:p>
            <w:pPr>
              <w:spacing w:after="0" w:line="240"/>
            </w:pPr>
            <w:r>
              <w:rPr>
                <w:rFonts w:ascii="Aptos" w:hAnsi="Aptos"/>
                <w:b/>
                <w:color w:val="15324B"/>
                <w:sz w:val="19"/>
              </w:rPr>
              <w:t xml:space="preserve">Component</w:t>
            </w:r>
          </w:p>
        </w:tc>
        <w:tc>
          <w:tcPr>
            <w:tcW w:w="6500" w:type="dxa"/>
            <w:shd w:fill="EAF2F7"/>
          </w:tcPr>
          <w:p>
            <w:pPr>
              <w:spacing w:after="0" w:line="240"/>
            </w:pPr>
            <w:r>
              <w:rPr>
                <w:rFonts w:ascii="Aptos" w:hAnsi="Aptos"/>
                <w:b/>
                <w:color w:val="15324B"/>
                <w:sz w:val="19"/>
              </w:rPr>
              <w:t xml:space="preserve">Production responsibility</w:t>
            </w:r>
          </w:p>
        </w:tc>
      </w:tr>
      <w:tr>
        <w:tc>
          <w:tcPr>
            <w:tcW w:w="3100" w:type="dxa"/>
            <w:shd w:fill="F5F8FA"/>
          </w:tcPr>
          <w:p>
            <w:pPr>
              <w:spacing w:after="0" w:line="240"/>
            </w:pPr>
            <w:r>
              <w:rPr>
                <w:rFonts w:ascii="Aptos" w:hAnsi="Aptos"/>
                <w:b/>
                <w:color w:val="15324B"/>
                <w:sz w:val="19"/>
              </w:rPr>
              <w:t xml:space="preserve">LMS platform</w:t>
            </w:r>
          </w:p>
        </w:tc>
        <w:tc>
          <w:tcPr>
            <w:tcW w:w="6500" w:type="dxa"/>
            <w:shd w:fill="F5F8FA"/>
          </w:tcPr>
          <w:p>
            <w:pPr>
              <w:spacing w:after="0" w:line="240"/>
            </w:pPr>
            <w:r>
              <w:rPr>
                <w:rFonts w:ascii="Aptos" w:hAnsi="Aptos"/>
                <w:sz w:val="19"/>
              </w:rPr>
              <w:t xml:space="preserve">Authenticates the learner, registers the LTI tool, signs launch tokens, and supplies context claims.</w:t>
            </w:r>
          </w:p>
        </w:tc>
      </w:tr>
      <w:tr>
        <w:tc>
          <w:tcPr>
            <w:tcW w:w="3100" w:type="dxa"/>
            <w:shd w:fill="FFFFFF"/>
          </w:tcPr>
          <w:p>
            <w:pPr>
              <w:spacing w:after="0" w:line="240"/>
            </w:pPr>
            <w:r>
              <w:rPr>
                <w:rFonts w:ascii="Aptos" w:hAnsi="Aptos"/>
                <w:b/>
                <w:color w:val="15324B"/>
                <w:sz w:val="19"/>
              </w:rPr>
              <w:t xml:space="preserve">Student Assist LTI bridge</w:t>
            </w:r>
          </w:p>
        </w:tc>
        <w:tc>
          <w:tcPr>
            <w:tcW w:w="6500" w:type="dxa"/>
            <w:shd w:fill="FFFFFF"/>
          </w:tcPr>
          <w:p>
            <w:pPr>
              <w:spacing w:after="0" w:line="240"/>
            </w:pPr>
            <w:r>
              <w:rPr>
                <w:rFonts w:ascii="Aptos" w:hAnsi="Aptos"/>
                <w:sz w:val="19"/>
              </w:rPr>
              <w:t xml:space="preserve">Handles OIDC login initiation, state and nonce, JWKS signature validation, claim checks, and creation of an application session.</w:t>
            </w:r>
          </w:p>
        </w:tc>
      </w:tr>
      <w:tr>
        <w:tc>
          <w:tcPr>
            <w:tcW w:w="3100" w:type="dxa"/>
            <w:shd w:fill="F5F8FA"/>
          </w:tcPr>
          <w:p>
            <w:pPr>
              <w:spacing w:after="0" w:line="240"/>
            </w:pPr>
            <w:r>
              <w:rPr>
                <w:rFonts w:ascii="Aptos" w:hAnsi="Aptos"/>
                <w:b/>
                <w:color w:val="15324B"/>
                <w:sz w:val="19"/>
              </w:rPr>
              <w:t xml:space="preserve">Course provider</w:t>
            </w:r>
          </w:p>
        </w:tc>
        <w:tc>
          <w:tcPr>
            <w:tcW w:w="6500" w:type="dxa"/>
            <w:shd w:fill="F5F8FA"/>
          </w:tcPr>
          <w:p>
            <w:pPr>
              <w:spacing w:after="0" w:line="240"/>
            </w:pPr>
            <w:r>
              <w:rPr>
                <w:rFonts w:ascii="Aptos" w:hAnsi="Aptos"/>
                <w:sz w:val="19"/>
              </w:rPr>
              <w:t xml:space="preserve">Calls Moodle or Open edX APIs and normalizes enrolled courses and section metadata.</w:t>
            </w:r>
          </w:p>
        </w:tc>
      </w:tr>
      <w:tr>
        <w:tc>
          <w:tcPr>
            <w:tcW w:w="3100" w:type="dxa"/>
            <w:shd w:fill="FFFFFF"/>
          </w:tcPr>
          <w:p>
            <w:pPr>
              <w:spacing w:after="0" w:line="240"/>
            </w:pPr>
            <w:r>
              <w:rPr>
                <w:rFonts w:ascii="Aptos" w:hAnsi="Aptos"/>
                <w:b/>
                <w:color w:val="15324B"/>
                <w:sz w:val="19"/>
              </w:rPr>
              <w:t xml:space="preserve">Chat and retrieval service</w:t>
            </w:r>
          </w:p>
        </w:tc>
        <w:tc>
          <w:tcPr>
            <w:tcW w:w="6500" w:type="dxa"/>
            <w:shd w:fill="FFFFFF"/>
          </w:tcPr>
          <w:p>
            <w:pPr>
              <w:spacing w:after="0" w:line="240"/>
            </w:pPr>
            <w:r>
              <w:rPr>
                <w:rFonts w:ascii="Aptos" w:hAnsi="Aptos"/>
                <w:sz w:val="19"/>
              </w:rPr>
              <w:t xml:space="preserve">Retrieves authorized course materials and generates an answer within the selected course and section.</w:t>
            </w:r>
          </w:p>
        </w:tc>
      </w:tr>
      <w:tr>
        <w:tc>
          <w:tcPr>
            <w:tcW w:w="3100" w:type="dxa"/>
            <w:shd w:fill="F5F8FA"/>
          </w:tcPr>
          <w:p>
            <w:pPr>
              <w:spacing w:after="0" w:line="240"/>
            </w:pPr>
            <w:r>
              <w:rPr>
                <w:rFonts w:ascii="Aptos" w:hAnsi="Aptos"/>
                <w:b/>
                <w:color w:val="15324B"/>
                <w:sz w:val="19"/>
              </w:rPr>
              <w:t xml:space="preserve">Application session store</w:t>
            </w:r>
          </w:p>
        </w:tc>
        <w:tc>
          <w:tcPr>
            <w:tcW w:w="6500" w:type="dxa"/>
            <w:shd w:fill="F5F8FA"/>
          </w:tcPr>
          <w:p>
            <w:pPr>
              <w:spacing w:after="0" w:line="240"/>
            </w:pPr>
            <w:r>
              <w:rPr>
                <w:rFonts w:ascii="Aptos" w:hAnsi="Aptos"/>
                <w:sz w:val="19"/>
              </w:rPr>
              <w:t xml:space="preserve">Stores session and launch state safely across application instances, with expiry and revocation.</w:t>
            </w:r>
          </w:p>
        </w:tc>
      </w:tr>
    </w:tbl>
    <w:p>
      <w:pPr>
        <w:spacing w:before="0" w:after="6" w:line="276" w:lineRule="auto"/>
      </w:pPr>
      <w:r>
        <w:rPr>
          <w:rFonts w:ascii="Aptos" w:hAnsi="Aptos"/>
        </w:rPr>
        <w:t xml:space="preserve">Important distinction: an LTI resource-link launch usually identifies the course in which the learner opened the tool. It does not define a universal API for listing all of the learner's enrollments. A complete course list requires a platform API or a separately provisioned integration.</w:t>
      </w:r>
    </w:p>
    <w:p>
      <w:pPr>
        <w:pStyle w:val="Heading1"/>
        <w:spacing w:before="14" w:after="5" w:line="276" w:lineRule="auto"/>
        <w:keepNext/>
      </w:pPr>
      <w:r>
        <w:rPr>
          <w:rFonts w:ascii="Aptos" w:hAnsi="Aptos"/>
          <w:b/>
          <w:color w:val="126782"/>
          <w:sz w:val="30"/>
        </w:rPr>
        <w:t xml:space="preserve">2. End-to-end production flow</w:t>
      </w:r>
    </w:p>
    <w:tbl>
      <w:tblPr>
        <w:tblW w:w="9600" w:type="dxa"/>
        <w:tblLayout w:type="fixed"/>
        <w:tblBorders>
          <w:top w:val="single" w:sz="5" w:color="D5E0E8"/>
          <w:left w:val="single" w:sz="5" w:color="D5E0E8"/>
          <w:bottom w:val="single" w:sz="5" w:color="D5E0E8"/>
          <w:right w:val="single" w:sz="5" w:color="D5E0E8"/>
          <w:insideH w:val="single" w:sz="4" w:color="D5E0E8"/>
          <w:insideV w:val="single" w:sz="4" w:color="D5E0E8"/>
        </w:tblBorders>
        <w:tblCellMar>
          <w:top w:w="90" w:type="dxa"/>
          <w:start w:w="110" w:type="dxa"/>
          <w:bottom w:w="90" w:type="dxa"/>
          <w:end w:w="110" w:type="dxa"/>
        </w:tblCellMar>
      </w:tblPr>
      <w:tr>
        <w:tc>
          <w:tcPr>
            <w:tcW w:w="3100" w:type="dxa"/>
            <w:shd w:fill="EAF2F7"/>
          </w:tcPr>
          <w:p>
            <w:pPr>
              <w:spacing w:after="0" w:line="240"/>
            </w:pPr>
            <w:r>
              <w:rPr>
                <w:rFonts w:ascii="Aptos" w:hAnsi="Aptos"/>
                <w:b/>
                <w:color w:val="15324B"/>
                <w:sz w:val="19"/>
              </w:rPr>
              <w:t xml:space="preserve">Stage</w:t>
            </w:r>
          </w:p>
        </w:tc>
        <w:tc>
          <w:tcPr>
            <w:tcW w:w="6500" w:type="dxa"/>
            <w:shd w:fill="EAF2F7"/>
          </w:tcPr>
          <w:p>
            <w:pPr>
              <w:spacing w:after="0" w:line="240"/>
            </w:pPr>
            <w:r>
              <w:rPr>
                <w:rFonts w:ascii="Aptos" w:hAnsi="Aptos"/>
                <w:b/>
                <w:color w:val="15324B"/>
                <w:sz w:val="19"/>
              </w:rPr>
              <w:t xml:space="preserve">What happens</w:t>
            </w:r>
          </w:p>
        </w:tc>
      </w:tr>
      <w:tr>
        <w:tc>
          <w:tcPr>
            <w:tcW w:w="3100" w:type="dxa"/>
            <w:shd w:fill="F5F8FA"/>
          </w:tcPr>
          <w:p>
            <w:pPr>
              <w:spacing w:after="0" w:line="240"/>
            </w:pPr>
            <w:r>
              <w:rPr>
                <w:rFonts w:ascii="Aptos" w:hAnsi="Aptos"/>
                <w:b/>
                <w:color w:val="15324B"/>
                <w:sz w:val="19"/>
              </w:rPr>
              <w:t xml:space="preserve">1. Launch</w:t>
            </w:r>
          </w:p>
        </w:tc>
        <w:tc>
          <w:tcPr>
            <w:tcW w:w="6500" w:type="dxa"/>
            <w:shd w:fill="F5F8FA"/>
          </w:tcPr>
          <w:p>
            <w:pPr>
              <w:spacing w:after="0" w:line="240"/>
            </w:pPr>
            <w:r>
              <w:rPr>
                <w:rFonts w:ascii="Aptos" w:hAnsi="Aptos"/>
                <w:sz w:val="19"/>
              </w:rPr>
              <w:t xml:space="preserve">Learner opens Student Assist from an LMS course. The LMS sends an OIDC login-initiation request to the registered login URL.</w:t>
            </w:r>
          </w:p>
        </w:tc>
      </w:tr>
      <w:tr>
        <w:tc>
          <w:tcPr>
            <w:tcW w:w="3100" w:type="dxa"/>
            <w:shd w:fill="FFFFFF"/>
          </w:tcPr>
          <w:p>
            <w:pPr>
              <w:spacing w:after="0" w:line="240"/>
            </w:pPr>
            <w:r>
              <w:rPr>
                <w:rFonts w:ascii="Aptos" w:hAnsi="Aptos"/>
                <w:b/>
                <w:color w:val="15324B"/>
                <w:sz w:val="19"/>
              </w:rPr>
              <w:t xml:space="preserve">2. Authentication request</w:t>
            </w:r>
          </w:p>
        </w:tc>
        <w:tc>
          <w:tcPr>
            <w:tcW w:w="6500" w:type="dxa"/>
            <w:shd w:fill="FFFFFF"/>
          </w:tcPr>
          <w:p>
            <w:pPr>
              <w:spacing w:after="0" w:line="240"/>
            </w:pPr>
            <w:r>
              <w:rPr>
                <w:rFonts w:ascii="Aptos" w:hAnsi="Aptos"/>
                <w:sz w:val="19"/>
              </w:rPr>
              <w:t xml:space="preserve">The bridge validates the platform and constructs an authorization redirect with a fresh state and nonce.</w:t>
            </w:r>
          </w:p>
        </w:tc>
      </w:tr>
      <w:tr>
        <w:tc>
          <w:tcPr>
            <w:tcW w:w="3100" w:type="dxa"/>
            <w:shd w:fill="F5F8FA"/>
          </w:tcPr>
          <w:p>
            <w:pPr>
              <w:spacing w:after="0" w:line="240"/>
            </w:pPr>
            <w:r>
              <w:rPr>
                <w:rFonts w:ascii="Aptos" w:hAnsi="Aptos"/>
                <w:b/>
                <w:color w:val="15324B"/>
                <w:sz w:val="19"/>
              </w:rPr>
              <w:t xml:space="preserve">3. LMS assertion</w:t>
            </w:r>
          </w:p>
        </w:tc>
        <w:tc>
          <w:tcPr>
            <w:tcW w:w="6500" w:type="dxa"/>
            <w:shd w:fill="F5F8FA"/>
          </w:tcPr>
          <w:p>
            <w:pPr>
              <w:spacing w:after="0" w:line="240"/>
            </w:pPr>
            <w:r>
              <w:rPr>
                <w:rFonts w:ascii="Aptos" w:hAnsi="Aptos"/>
                <w:sz w:val="19"/>
              </w:rPr>
              <w:t xml:space="preserve">The LMS authenticates the learner if needed and posts a signed id_token and state to the registered launch URL.</w:t>
            </w:r>
          </w:p>
        </w:tc>
      </w:tr>
      <w:tr>
        <w:tc>
          <w:tcPr>
            <w:tcW w:w="3100" w:type="dxa"/>
            <w:shd w:fill="FFFFFF"/>
          </w:tcPr>
          <w:p>
            <w:pPr>
              <w:spacing w:after="0" w:line="240"/>
            </w:pPr>
            <w:r>
              <w:rPr>
                <w:rFonts w:ascii="Aptos" w:hAnsi="Aptos"/>
                <w:b/>
                <w:color w:val="15324B"/>
                <w:sz w:val="19"/>
              </w:rPr>
              <w:t xml:space="preserve">4. Verification</w:t>
            </w:r>
          </w:p>
        </w:tc>
        <w:tc>
          <w:tcPr>
            <w:tcW w:w="6500" w:type="dxa"/>
            <w:shd w:fill="FFFFFF"/>
          </w:tcPr>
          <w:p>
            <w:pPr>
              <w:spacing w:after="0" w:line="240"/>
            </w:pPr>
            <w:r>
              <w:rPr>
                <w:rFonts w:ascii="Aptos" w:hAnsi="Aptos"/>
                <w:sz w:val="19"/>
              </w:rPr>
              <w:t xml:space="preserve">The bridge retrieves the platform key from JWKS, validates the signature and required claims, and consumes the matching state once.</w:t>
            </w:r>
          </w:p>
        </w:tc>
      </w:tr>
      <w:tr>
        <w:tc>
          <w:tcPr>
            <w:tcW w:w="3100" w:type="dxa"/>
            <w:shd w:fill="F5F8FA"/>
          </w:tcPr>
          <w:p>
            <w:pPr>
              <w:spacing w:after="0" w:line="240"/>
            </w:pPr>
            <w:r>
              <w:rPr>
                <w:rFonts w:ascii="Aptos" w:hAnsi="Aptos"/>
                <w:b/>
                <w:color w:val="15324B"/>
                <w:sz w:val="19"/>
              </w:rPr>
              <w:t xml:space="preserve">5. App session</w:t>
            </w:r>
          </w:p>
        </w:tc>
        <w:tc>
          <w:tcPr>
            <w:tcW w:w="6500" w:type="dxa"/>
            <w:shd w:fill="F5F8FA"/>
          </w:tcPr>
          <w:p>
            <w:pPr>
              <w:spacing w:after="0" w:line="240"/>
            </w:pPr>
            <w:r>
              <w:rPr>
                <w:rFonts w:ascii="Aptos" w:hAnsi="Aptos"/>
                <w:sz w:val="19"/>
              </w:rPr>
              <w:t xml:space="preserve">The bridge creates a short-lived, one-use handoff and the application exchanges it server-side for a session.</w:t>
            </w:r>
          </w:p>
        </w:tc>
      </w:tr>
      <w:tr>
        <w:tc>
          <w:tcPr>
            <w:tcW w:w="3100" w:type="dxa"/>
            <w:shd w:fill="FFFFFF"/>
          </w:tcPr>
          <w:p>
            <w:pPr>
              <w:spacing w:after="0" w:line="240"/>
            </w:pPr>
            <w:r>
              <w:rPr>
                <w:rFonts w:ascii="Aptos" w:hAnsi="Aptos"/>
                <w:b/>
                <w:color w:val="15324B"/>
                <w:sz w:val="19"/>
              </w:rPr>
              <w:t xml:space="preserve">6. Courses</w:t>
            </w:r>
          </w:p>
        </w:tc>
        <w:tc>
          <w:tcPr>
            <w:tcW w:w="6500" w:type="dxa"/>
            <w:shd w:fill="FFFFFF"/>
          </w:tcPr>
          <w:p>
            <w:pPr>
              <w:spacing w:after="0" w:line="240"/>
            </w:pPr>
            <w:r>
              <w:rPr>
                <w:rFonts w:ascii="Aptos" w:hAnsi="Aptos"/>
                <w:sz w:val="19"/>
              </w:rPr>
              <w:t xml:space="preserve">The course provider retrieves the learner's enrollments from the platform API and returns normalized course records.</w:t>
            </w:r>
          </w:p>
        </w:tc>
      </w:tr>
      <w:tr>
        <w:tc>
          <w:tcPr>
            <w:tcW w:w="3100" w:type="dxa"/>
            <w:shd w:fill="F5F8FA"/>
          </w:tcPr>
          <w:p>
            <w:pPr>
              <w:spacing w:after="0" w:line="240"/>
            </w:pPr>
            <w:r>
              <w:rPr>
                <w:rFonts w:ascii="Aptos" w:hAnsi="Aptos"/>
                <w:b/>
                <w:color w:val="15324B"/>
                <w:sz w:val="19"/>
              </w:rPr>
              <w:t xml:space="preserve">7. Chat</w:t>
            </w:r>
          </w:p>
        </w:tc>
        <w:tc>
          <w:tcPr>
            <w:tcW w:w="6500" w:type="dxa"/>
            <w:shd w:fill="F5F8FA"/>
          </w:tcPr>
          <w:p>
            <w:pPr>
              <w:spacing w:after="0" w:line="240"/>
            </w:pPr>
            <w:r>
              <w:rPr>
                <w:rFonts w:ascii="Aptos" w:hAnsi="Aptos"/>
                <w:sz w:val="19"/>
              </w:rPr>
              <w:t xml:space="preserve">The learner chooses a course and section. The assistant applies access checks, retrieves relevant content, and returns a grounded response.</w:t>
            </w:r>
          </w:p>
        </w:tc>
      </w:tr>
    </w:tbl>
    <w:p>
      <w:pPr>
        <w:pStyle w:val="Heading1"/>
        <w:spacing w:before="14" w:after="5" w:line="276" w:lineRule="auto"/>
        <w:keepNext/>
      </w:pPr>
      <w:r>
        <w:rPr>
          <w:rFonts w:ascii="Aptos" w:hAnsi="Aptos"/>
          <w:b/>
          <w:color w:val="126782"/>
          <w:sz w:val="30"/>
        </w:rPr>
        <w:t xml:space="preserve">3. Step 1 - Prepare the LMS registration</w:t>
      </w:r>
    </w:p>
    <w:p>
      <w:pPr>
        <w:spacing w:before="0" w:after="6" w:line="276" w:lineRule="auto"/>
      </w:pPr>
      <w:r>
        <w:rPr>
          <w:rFonts w:ascii="Aptos" w:hAnsi="Aptos"/>
        </w:rPr>
        <w:t xml:space="preserve">Create a production LTI 1.3 tool registration in the LMS for each environment. Use separate registrations and credentials for development, staging, and production. Record the issuer URL, client ID, deployment ID, authorization endpoint, JWKS URL, and any token endpoint or service scopes required by your LMS.</w:t>
      </w:r>
    </w:p>
    <w:p>
      <w:pPr>
        <w:pStyle w:val="ListParagraph"/>
        <w:ind w:left="420" w:hanging="220"/>
        <w:spacing w:after="4"/>
      </w:pPr>
      <w:r>
        <w:rPr>
          <w:rFonts w:ascii="Aptos" w:hAnsi="Aptos"/>
          <w:b/>
          <w:color w:val="167D9A"/>
        </w:rPr>
        <w:t xml:space="preserve">•  </w:t>
      </w:r>
      <w:r>
        <w:rPr>
          <w:rFonts w:ascii="Aptos" w:hAnsi="Aptos"/>
        </w:rPr>
        <w:t xml:space="preserve">Set the login initiation URL to the publicly reachable HTTPS endpoint, for example https://assist.example.com/lti/login.</w:t>
      </w:r>
    </w:p>
    <w:p>
      <w:pPr>
        <w:pStyle w:val="ListParagraph"/>
        <w:ind w:left="420" w:hanging="220"/>
        <w:spacing w:after="4"/>
      </w:pPr>
      <w:r>
        <w:rPr>
          <w:rFonts w:ascii="Aptos" w:hAnsi="Aptos"/>
          <w:b/>
          <w:color w:val="167D9A"/>
        </w:rPr>
        <w:t xml:space="preserve">•  </w:t>
      </w:r>
      <w:r>
        <w:rPr>
          <w:rFonts w:ascii="Aptos" w:hAnsi="Aptos"/>
        </w:rPr>
        <w:t xml:space="preserve">Set the redirect or launch URL to https://assist.example.com/lti/launch. The callback must accept the platform's form_post response.</w:t>
      </w:r>
    </w:p>
    <w:p>
      <w:pPr>
        <w:pStyle w:val="ListParagraph"/>
        <w:ind w:left="420" w:hanging="220"/>
        <w:spacing w:after="4"/>
      </w:pPr>
      <w:r>
        <w:rPr>
          <w:rFonts w:ascii="Aptos" w:hAnsi="Aptos"/>
          <w:b/>
          <w:color w:val="167D9A"/>
        </w:rPr>
        <w:t xml:space="preserve">•  </w:t>
      </w:r>
      <w:r>
        <w:rPr>
          <w:rFonts w:ascii="Aptos" w:hAnsi="Aptos"/>
        </w:rPr>
        <w:t xml:space="preserve">Set the tool target link URL to the Student Assist launch destination. Confirm the LMS sends login_hint, lti_message_hint, iss, client_id, and target_link_uri as required by its LTI implementation.</w:t>
      </w:r>
    </w:p>
    <w:p>
      <w:pPr>
        <w:pStyle w:val="ListParagraph"/>
        <w:ind w:left="420" w:hanging="220"/>
        <w:spacing w:after="4"/>
      </w:pPr>
      <w:r>
        <w:rPr>
          <w:rFonts w:ascii="Aptos" w:hAnsi="Aptos"/>
          <w:b/>
          <w:color w:val="167D9A"/>
        </w:rPr>
        <w:t xml:space="preserve">•  </w:t>
      </w:r>
      <w:r>
        <w:rPr>
          <w:rFonts w:ascii="Aptos" w:hAnsi="Aptos"/>
        </w:rPr>
        <w:t xml:space="preserve">Enable only the LTI message types and services the deployment will use. The current bridge accepts resource-link launches; roster and grade services are separate capabilities.</w:t>
      </w:r>
    </w:p>
    <w:p>
      <w:pPr>
        <w:pStyle w:val="ListParagraph"/>
        <w:ind w:left="420" w:hanging="220"/>
        <w:spacing w:after="4"/>
      </w:pPr>
      <w:r>
        <w:rPr>
          <w:rFonts w:ascii="Aptos" w:hAnsi="Aptos"/>
          <w:b/>
          <w:color w:val="167D9A"/>
        </w:rPr>
        <w:t xml:space="preserve">•  </w:t>
      </w:r>
      <w:r>
        <w:rPr>
          <w:rFonts w:ascii="Aptos" w:hAnsi="Aptos"/>
        </w:rPr>
        <w:t xml:space="preserve">Ensure outbound requests from the bridge can reach the platform JWKS URL and the approved LMS API endpoints.</w:t>
      </w:r>
    </w:p>
    <w:p>
      <w:pPr>
        <w:spacing w:before="0" w:after="6" w:line="276" w:lineRule="auto"/>
      </w:pPr>
      <w:r>
        <w:rPr>
          <w:rFonts w:ascii="Aptos" w:hAnsi="Aptos"/>
        </w:rPr>
        <w:t xml:space="preserve">Keep client IDs and deployment IDs as configuration, not hard-coded values. Treat API credentials and any private signing keys as secrets. The LMS owns its signing keys; Student Assist validates them from the platform's JWKS endpoint.</w:t>
      </w:r>
    </w:p>
    <w:p>
      <w:pPr>
        <w:pStyle w:val="Heading1"/>
        <w:spacing w:before="14" w:after="5" w:line="276" w:lineRule="auto"/>
        <w:keepNext/>
      </w:pPr>
      <w:r>
        <w:rPr>
          <w:rFonts w:ascii="Aptos" w:hAnsi="Aptos"/>
          <w:b/>
          <w:color w:val="126782"/>
          <w:sz w:val="30"/>
        </w:rPr>
        <w:t xml:space="preserve">4. Step 2 - Configure and package the LTI bridge</w:t>
      </w:r>
    </w:p>
    <w:p>
      <w:pPr>
        <w:spacing w:before="0" w:after="6" w:line="276" w:lineRule="auto"/>
      </w:pPr>
      <w:r>
        <w:rPr>
          <w:rFonts w:ascii="Aptos" w:hAnsi="Aptos"/>
        </w:rPr>
        <w:t xml:space="preserve">Install the Student Assist wheel into the service environment and configure one PlatformConfig per trusted platform. The current package provides LtiService for the OIDC redirect and launch validation, plus a FastAPI adapter with /lti/login, /lti/launch, and a demo exchange route.</w:t>
      </w:r>
    </w:p>
    <w:p>
      <w:pPr>
        <w:shd w:fill="F1F5F8"/>
        <w:spacing w:before="4" w:after="7"/>
      </w:pPr>
      <w:r>
        <w:rPr>
          <w:rFonts w:ascii="Consolas" w:hAnsi="Consolas"/>
          <w:color w:val="24415A"/>
          <w:sz w:val="18"/>
        </w:rPr>
        <w:t xml:space="preserve">from student_assist_lti import LtiService, PlatformConfig
from student_assist_lti.fastapi import create_lti_app
platform = PlatformConfig(
    issuer="https://lms.example.edu",
    client_id="registered-client-id",
    deployment_id="registered-deployment-id",
    authorization_endpoint="https://lms.example.edu/oidc/auth",
    jwks_uri="https://lms.example.edu/.well-known/jwks.json",
)
service = LtiService(platform, redirect_uri="https://assist.example.com/lti/launch")
app = create_lti_app(service, streamlit_url="https://assist.example.com")</w:t>
      </w:r>
    </w:p>
    <w:p>
      <w:pPr>
        <w:spacing w:before="0" w:after="6" w:line="276" w:lineRule="auto"/>
      </w:pPr>
      <w:r>
        <w:rPr>
          <w:rFonts w:ascii="Aptos" w:hAnsi="Aptos"/>
        </w:rPr>
        <w:t xml:space="preserve">Use deployment configuration or a secrets manager to supply values. For multiple LMS tenants, select configuration only from a trusted issuer allowlist. Never accept an arbitrary issuer or JWKS URL from a browser request; doing so can create token-verification and server-side request risks.</w:t>
      </w:r>
    </w:p>
    <w:p>
      <w:pPr>
        <w:pStyle w:val="Heading1"/>
        <w:spacing w:before="14" w:after="5" w:line="276" w:lineRule="auto"/>
        <w:keepNext/>
      </w:pPr>
      <w:r>
        <w:rPr>
          <w:rFonts w:ascii="Aptos" w:hAnsi="Aptos"/>
          <w:b/>
          <w:color w:val="126782"/>
          <w:sz w:val="30"/>
        </w:rPr>
        <w:t xml:space="preserve">5. Step 3 - Implement production OIDC state and launch validation</w:t>
      </w:r>
    </w:p>
    <w:p>
      <w:pPr>
        <w:pStyle w:val="Heading2"/>
        <w:spacing w:before="8" w:after="3" w:line="276" w:lineRule="auto"/>
        <w:keepNext/>
      </w:pPr>
      <w:r>
        <w:rPr>
          <w:rFonts w:ascii="Aptos" w:hAnsi="Aptos"/>
          <w:b/>
          <w:color w:val="15324B"/>
          <w:sz w:val="24"/>
        </w:rPr>
        <w:t xml:space="preserve">3a. Persist the login transaction</w:t>
      </w:r>
    </w:p>
    <w:p>
      <w:pPr>
        <w:spacing w:before="0" w:after="6" w:line="276" w:lineRule="auto"/>
      </w:pPr>
      <w:r>
        <w:rPr>
          <w:rFonts w:ascii="Aptos" w:hAnsi="Aptos"/>
        </w:rPr>
        <w:t xml:space="preserve">When /lti/login receives a valid login initiation, generate cryptographically random state and nonce values. Store them with the expected issuer, client ID, redirect URI, creation time, and a short expiry. Use Redis or a transactional database so every bridge instance can retrieve and consume the same transaction.</w:t>
      </w:r>
    </w:p>
    <w:p>
      <w:pPr>
        <w:pStyle w:val="Heading2"/>
        <w:spacing w:before="8" w:after="3" w:line="276" w:lineRule="auto"/>
        <w:keepNext/>
      </w:pPr>
      <w:r>
        <w:rPr>
          <w:rFonts w:ascii="Aptos" w:hAnsi="Aptos"/>
          <w:b/>
          <w:color w:val="15324B"/>
          <w:sz w:val="24"/>
        </w:rPr>
        <w:t xml:space="preserve">3b. Validate login initiation parameters</w:t>
      </w:r>
    </w:p>
    <w:p>
      <w:pPr>
        <w:spacing w:before="0" w:after="6" w:line="276" w:lineRule="auto"/>
      </w:pPr>
      <w:r>
        <w:rPr>
          <w:rFonts w:ascii="Aptos" w:hAnsi="Aptos"/>
        </w:rPr>
        <w:t xml:space="preserve">Require login_hint and lti_message_hint when required by the platform. Check iss and client_id against the configured registration. Allow only known target_link_uri values. Do not copy arbitrary query parameters into the authorization request.</w:t>
      </w:r>
    </w:p>
    <w:p>
      <w:pPr>
        <w:pStyle w:val="Heading2"/>
        <w:spacing w:before="8" w:after="3" w:line="276" w:lineRule="auto"/>
        <w:keepNext/>
      </w:pPr>
      <w:r>
        <w:rPr>
          <w:rFonts w:ascii="Aptos" w:hAnsi="Aptos"/>
          <w:b/>
          <w:color w:val="15324B"/>
          <w:sz w:val="24"/>
        </w:rPr>
        <w:t xml:space="preserve">3c. Validate the signed launch</w:t>
      </w:r>
    </w:p>
    <w:p>
      <w:pPr>
        <w:spacing w:before="0" w:after="6" w:line="276" w:lineRule="auto"/>
      </w:pPr>
      <w:r>
        <w:rPr>
          <w:rFonts w:ascii="Aptos" w:hAnsi="Aptos"/>
        </w:rPr>
        <w:t xml:space="preserve">On the form_post callback, atomically consume state before accepting the launch. Resolve the signing key from the configured platform JWKS endpoint and verify the allowed algorithm and signature. Validate issuer, audience, expiry, issued-at time, nonce, LTI version 1.3.0, expected message type, and deployment ID. Reject missing or mismatched claims.</w:t>
      </w:r>
    </w:p>
    <w:p>
      <w:pPr>
        <w:pStyle w:val="Heading2"/>
        <w:spacing w:before="8" w:after="3" w:line="276" w:lineRule="auto"/>
        <w:keepNext/>
      </w:pPr>
      <w:r>
        <w:rPr>
          <w:rFonts w:ascii="Aptos" w:hAnsi="Aptos"/>
          <w:b/>
          <w:color w:val="15324B"/>
          <w:sz w:val="24"/>
        </w:rPr>
        <w:t xml:space="preserve">3d. Create an application session</w:t>
      </w:r>
    </w:p>
    <w:p>
      <w:pPr>
        <w:spacing w:before="0" w:after="6" w:line="276" w:lineRule="auto"/>
      </w:pPr>
      <w:r>
        <w:rPr>
          <w:rFonts w:ascii="Aptos" w:hAnsi="Aptos"/>
        </w:rPr>
        <w:t xml:space="preserve">After validation, map the stable platform subject (iss plus sub) to the local learner identity. Store only the claims the application needs. Create an opaque, random, one-time handoff code with a short expiry, bind it to the browser/session transaction, and exchange it over a server-side channel. Do not put the id_token or personal claims in a URL.</w:t>
      </w:r>
    </w:p>
    <w:p>
      <w:pPr>
        <w:spacing w:before="0" w:after="6" w:line="276" w:lineRule="auto"/>
      </w:pPr>
      <w:r>
        <w:rPr>
          <w:rFonts w:ascii="Aptos" w:hAnsi="Aptos"/>
        </w:rPr>
        <w:t xml:space="preserve">The demo uses process-local memory stores. Replace both transaction and launch-code stores before production. Use atomic single-use reads, expiry, rate limits, and cleanup. Consider a signed, secure, HttpOnly, SameSite cookie for the resulting application session. Define logout and session revocation behavior with the LMS and privacy requirements.</w:t>
      </w:r>
    </w:p>
    <w:p>
      <w:pPr>
        <w:pStyle w:val="Heading1"/>
        <w:spacing w:before="14" w:after="5" w:line="276" w:lineRule="auto"/>
        <w:keepNext/>
      </w:pPr>
      <w:r>
        <w:rPr>
          <w:rFonts w:ascii="Aptos" w:hAnsi="Aptos"/>
          <w:b/>
          <w:color w:val="126782"/>
          <w:sz w:val="30"/>
        </w:rPr>
        <w:t xml:space="preserve">6. Step 4 - Connect the learner's enrolled courses</w:t>
      </w:r>
    </w:p>
    <w:p>
      <w:pPr>
        <w:spacing w:before="0" w:after="6" w:line="276" w:lineRule="auto"/>
      </w:pPr>
      <w:r>
        <w:rPr>
          <w:rFonts w:ascii="Aptos" w:hAnsi="Aptos"/>
        </w:rPr>
        <w:t xml:space="preserve">Implement CourseProvider.list_enrolled_courses(subject, issuer) for the target LMS and select it instead of MockCourseProvider. The provider is the boundary between LMS-specific responses and the assistant UI. Return a normalized course ID, title, description, and section list regardless of platform.</w:t>
      </w:r>
    </w:p>
    <w:tbl>
      <w:tblPr>
        <w:tblW w:w="9600" w:type="dxa"/>
        <w:tblLayout w:type="fixed"/>
        <w:tblBorders>
          <w:top w:val="single" w:sz="5" w:color="D5E0E8"/>
          <w:left w:val="single" w:sz="5" w:color="D5E0E8"/>
          <w:bottom w:val="single" w:sz="5" w:color="D5E0E8"/>
          <w:right w:val="single" w:sz="5" w:color="D5E0E8"/>
          <w:insideH w:val="single" w:sz="4" w:color="D5E0E8"/>
          <w:insideV w:val="single" w:sz="4" w:color="D5E0E8"/>
        </w:tblBorders>
        <w:tblCellMar>
          <w:top w:w="90" w:type="dxa"/>
          <w:start w:w="110" w:type="dxa"/>
          <w:bottom w:w="90" w:type="dxa"/>
          <w:end w:w="110" w:type="dxa"/>
        </w:tblCellMar>
      </w:tblPr>
      <w:tr>
        <w:tc>
          <w:tcPr>
            <w:tcW w:w="3100" w:type="dxa"/>
            <w:shd w:fill="EAF2F7"/>
          </w:tcPr>
          <w:p>
            <w:pPr>
              <w:spacing w:after="0" w:line="240"/>
            </w:pPr>
            <w:r>
              <w:rPr>
                <w:rFonts w:ascii="Aptos" w:hAnsi="Aptos"/>
                <w:b/>
                <w:color w:val="15324B"/>
                <w:sz w:val="19"/>
              </w:rPr>
              <w:t xml:space="preserve">Concern</w:t>
            </w:r>
          </w:p>
        </w:tc>
        <w:tc>
          <w:tcPr>
            <w:tcW w:w="6500" w:type="dxa"/>
            <w:shd w:fill="EAF2F7"/>
          </w:tcPr>
          <w:p>
            <w:pPr>
              <w:spacing w:after="0" w:line="240"/>
            </w:pPr>
            <w:r>
              <w:rPr>
                <w:rFonts w:ascii="Aptos" w:hAnsi="Aptos"/>
                <w:b/>
                <w:color w:val="15324B"/>
                <w:sz w:val="19"/>
              </w:rPr>
              <w:t xml:space="preserve">Implementation guidance</w:t>
            </w:r>
          </w:p>
        </w:tc>
      </w:tr>
      <w:tr>
        <w:tc>
          <w:tcPr>
            <w:tcW w:w="3100" w:type="dxa"/>
            <w:shd w:fill="F5F8FA"/>
          </w:tcPr>
          <w:p>
            <w:pPr>
              <w:spacing w:after="0" w:line="240"/>
            </w:pPr>
            <w:r>
              <w:rPr>
                <w:rFonts w:ascii="Aptos" w:hAnsi="Aptos"/>
                <w:b/>
                <w:color w:val="15324B"/>
                <w:sz w:val="19"/>
              </w:rPr>
              <w:t xml:space="preserve">Identity mapping</w:t>
            </w:r>
          </w:p>
        </w:tc>
        <w:tc>
          <w:tcPr>
            <w:tcW w:w="6500" w:type="dxa"/>
            <w:shd w:fill="F5F8FA"/>
          </w:tcPr>
          <w:p>
            <w:pPr>
              <w:spacing w:after="0" w:line="240"/>
            </w:pPr>
            <w:r>
              <w:rPr>
                <w:rFonts w:ascii="Aptos" w:hAnsi="Aptos"/>
                <w:sz w:val="19"/>
              </w:rPr>
              <w:t xml:space="preserve">Map the validated (issuer, subject) pair to an LMS user. Do not rely on email as the only durable key; it can change or be absent.</w:t>
            </w:r>
          </w:p>
        </w:tc>
      </w:tr>
      <w:tr>
        <w:tc>
          <w:tcPr>
            <w:tcW w:w="3100" w:type="dxa"/>
            <w:shd w:fill="FFFFFF"/>
          </w:tcPr>
          <w:p>
            <w:pPr>
              <w:spacing w:after="0" w:line="240"/>
            </w:pPr>
            <w:r>
              <w:rPr>
                <w:rFonts w:ascii="Aptos" w:hAnsi="Aptos"/>
                <w:b/>
                <w:color w:val="15324B"/>
                <w:sz w:val="19"/>
              </w:rPr>
              <w:t xml:space="preserve">Authorization</w:t>
            </w:r>
          </w:p>
        </w:tc>
        <w:tc>
          <w:tcPr>
            <w:tcW w:w="6500" w:type="dxa"/>
            <w:shd w:fill="FFFFFF"/>
          </w:tcPr>
          <w:p>
            <w:pPr>
              <w:spacing w:after="0" w:line="240"/>
            </w:pPr>
            <w:r>
              <w:rPr>
                <w:rFonts w:ascii="Aptos" w:hAnsi="Aptos"/>
                <w:sz w:val="19"/>
              </w:rPr>
              <w:t xml:space="preserve">Use a delegated learner token or an approved service credential with the minimum required scopes. Confirm the LMS permits the chosen enrollment lookup for this use.</w:t>
            </w:r>
          </w:p>
        </w:tc>
      </w:tr>
      <w:tr>
        <w:tc>
          <w:tcPr>
            <w:tcW w:w="3100" w:type="dxa"/>
            <w:shd w:fill="F5F8FA"/>
          </w:tcPr>
          <w:p>
            <w:pPr>
              <w:spacing w:after="0" w:line="240"/>
            </w:pPr>
            <w:r>
              <w:rPr>
                <w:rFonts w:ascii="Aptos" w:hAnsi="Aptos"/>
                <w:b/>
                <w:color w:val="15324B"/>
                <w:sz w:val="19"/>
              </w:rPr>
              <w:t xml:space="preserve">Course list</w:t>
            </w:r>
          </w:p>
        </w:tc>
        <w:tc>
          <w:tcPr>
            <w:tcW w:w="6500" w:type="dxa"/>
            <w:shd w:fill="F5F8FA"/>
          </w:tcPr>
          <w:p>
            <w:pPr>
              <w:spacing w:after="0" w:line="240"/>
            </w:pPr>
            <w:r>
              <w:rPr>
                <w:rFonts w:ascii="Aptos" w:hAnsi="Aptos"/>
                <w:sz w:val="19"/>
              </w:rPr>
              <w:t xml:space="preserve">Call the LMS enrollment/course API, handle pagination, inactive enrollments, hidden courses, and course availability rules.</w:t>
            </w:r>
          </w:p>
        </w:tc>
      </w:tr>
      <w:tr>
        <w:tc>
          <w:tcPr>
            <w:tcW w:w="3100" w:type="dxa"/>
            <w:shd w:fill="FFFFFF"/>
          </w:tcPr>
          <w:p>
            <w:pPr>
              <w:spacing w:after="0" w:line="240"/>
            </w:pPr>
            <w:r>
              <w:rPr>
                <w:rFonts w:ascii="Aptos" w:hAnsi="Aptos"/>
                <w:b/>
                <w:color w:val="15324B"/>
                <w:sz w:val="19"/>
              </w:rPr>
              <w:t xml:space="preserve">Sections</w:t>
            </w:r>
          </w:p>
        </w:tc>
        <w:tc>
          <w:tcPr>
            <w:tcW w:w="6500" w:type="dxa"/>
            <w:shd w:fill="FFFFFF"/>
          </w:tcPr>
          <w:p>
            <w:pPr>
              <w:spacing w:after="0" w:line="240"/>
            </w:pPr>
            <w:r>
              <w:rPr>
                <w:rFonts w:ascii="Aptos" w:hAnsi="Aptos"/>
                <w:sz w:val="19"/>
              </w:rPr>
              <w:t xml:space="preserve">Map LMS units, topics, modules, or content blocks into the section model. Preserve stable IDs as well as display labels.</w:t>
            </w:r>
          </w:p>
        </w:tc>
      </w:tr>
      <w:tr>
        <w:tc>
          <w:tcPr>
            <w:tcW w:w="3100" w:type="dxa"/>
            <w:shd w:fill="F5F8FA"/>
          </w:tcPr>
          <w:p>
            <w:pPr>
              <w:spacing w:after="0" w:line="240"/>
            </w:pPr>
            <w:r>
              <w:rPr>
                <w:rFonts w:ascii="Aptos" w:hAnsi="Aptos"/>
                <w:b/>
                <w:color w:val="15324B"/>
                <w:sz w:val="19"/>
              </w:rPr>
              <w:t xml:space="preserve">Caching</w:t>
            </w:r>
          </w:p>
        </w:tc>
        <w:tc>
          <w:tcPr>
            <w:tcW w:w="6500" w:type="dxa"/>
            <w:shd w:fill="F5F8FA"/>
          </w:tcPr>
          <w:p>
            <w:pPr>
              <w:spacing w:after="0" w:line="240"/>
            </w:pPr>
            <w:r>
              <w:rPr>
                <w:rFonts w:ascii="Aptos" w:hAnsi="Aptos"/>
                <w:sz w:val="19"/>
              </w:rPr>
              <w:t xml:space="preserve">Cache briefly if needed for performance, keyed by issuer and subject. Re-check authorization on access and invalidate when enrollment changes.</w:t>
            </w:r>
          </w:p>
        </w:tc>
      </w:tr>
      <w:tr>
        <w:tc>
          <w:tcPr>
            <w:tcW w:w="3100" w:type="dxa"/>
            <w:shd w:fill="FFFFFF"/>
          </w:tcPr>
          <w:p>
            <w:pPr>
              <w:spacing w:after="0" w:line="240"/>
            </w:pPr>
            <w:r>
              <w:rPr>
                <w:rFonts w:ascii="Aptos" w:hAnsi="Aptos"/>
                <w:b/>
                <w:color w:val="15324B"/>
                <w:sz w:val="19"/>
              </w:rPr>
              <w:t xml:space="preserve">Failures</w:t>
            </w:r>
          </w:p>
        </w:tc>
        <w:tc>
          <w:tcPr>
            <w:tcW w:w="6500" w:type="dxa"/>
            <w:shd w:fill="FFFFFF"/>
          </w:tcPr>
          <w:p>
            <w:pPr>
              <w:spacing w:after="0" w:line="240"/>
            </w:pPr>
            <w:r>
              <w:rPr>
                <w:rFonts w:ascii="Aptos" w:hAnsi="Aptos"/>
                <w:sz w:val="19"/>
              </w:rPr>
              <w:t xml:space="preserve">Handle expired credentials, rate limits, API timeouts, and partial responses. Show a useful retry state without leaking API response details.</w:t>
            </w:r>
          </w:p>
        </w:tc>
      </w:tr>
    </w:tbl>
    <w:p>
      <w:pPr>
        <w:spacing w:before="0" w:after="6" w:line="276" w:lineRule="auto"/>
      </w:pPr>
      <w:r>
        <w:rPr>
          <w:rFonts w:ascii="Aptos" w:hAnsi="Aptos"/>
        </w:rPr>
        <w:t xml:space="preserve">Moodle and Open edX expose different APIs, authentication mechanisms, and course structures. Implement and validate the provider separately for each platform. Avoid assuming an LTI token is automatically an API bearer token; LTI launch authentication and LMS REST API authorization are distinct unless the platform explicitly provisions an interoperable token or service.</w:t>
      </w:r>
    </w:p>
    <w:p>
      <w:pPr>
        <w:pStyle w:val="Heading1"/>
        <w:spacing w:before="14" w:after="5" w:line="276" w:lineRule="auto"/>
        <w:keepNext/>
      </w:pPr>
      <w:r>
        <w:rPr>
          <w:rFonts w:ascii="Aptos" w:hAnsi="Aptos"/>
          <w:b/>
          <w:color w:val="126782"/>
          <w:sz w:val="30"/>
        </w:rPr>
        <w:t xml:space="preserve">7. Step 5 - Connect section-aware chat and retrieval</w:t>
      </w:r>
    </w:p>
    <w:p>
      <w:pPr>
        <w:pStyle w:val="Heading2"/>
        <w:spacing w:before="8" w:after="3" w:line="276" w:lineRule="auto"/>
        <w:keepNext/>
      </w:pPr>
      <w:r>
        <w:rPr>
          <w:rFonts w:ascii="Aptos" w:hAnsi="Aptos"/>
          <w:b/>
          <w:color w:val="15324B"/>
          <w:sz w:val="24"/>
        </w:rPr>
        <w:t xml:space="preserve">5a. Select the conversation scope</w:t>
      </w:r>
    </w:p>
    <w:p>
      <w:pPr>
        <w:spacing w:before="0" w:after="6" w:line="276" w:lineRule="auto"/>
      </w:pPr>
      <w:r>
        <w:rPr>
          <w:rFonts w:ascii="Aptos" w:hAnsi="Aptos"/>
        </w:rPr>
        <w:t xml:space="preserve">Each chat request should include the authenticated application session, course ID, section ID, conversation ID, and learner question. Derive the learner identity from the server-side session, not a user-editable field or chat prompt.</w:t>
      </w:r>
    </w:p>
    <w:p>
      <w:pPr>
        <w:pStyle w:val="Heading2"/>
        <w:spacing w:before="8" w:after="3" w:line="276" w:lineRule="auto"/>
        <w:keepNext/>
      </w:pPr>
      <w:r>
        <w:rPr>
          <w:rFonts w:ascii="Aptos" w:hAnsi="Aptos"/>
          <w:b/>
          <w:color w:val="15324B"/>
          <w:sz w:val="24"/>
        </w:rPr>
        <w:t xml:space="preserve">5b. Re-check access</w:t>
      </w:r>
    </w:p>
    <w:p>
      <w:pPr>
        <w:spacing w:before="0" w:after="6" w:line="276" w:lineRule="auto"/>
      </w:pPr>
      <w:r>
        <w:rPr>
          <w:rFonts w:ascii="Aptos" w:hAnsi="Aptos"/>
        </w:rPr>
        <w:t xml:space="preserve">Before retrieval, confirm that the learner is still enrolled and the course and section are available. Ensure every document, chunk, and cached answer is tagged with tenant, course, and section identifiers. Apply those filters in the retrieval query.</w:t>
      </w:r>
    </w:p>
    <w:p>
      <w:pPr>
        <w:pStyle w:val="Heading2"/>
        <w:spacing w:before="8" w:after="3" w:line="276" w:lineRule="auto"/>
        <w:keepNext/>
      </w:pPr>
      <w:r>
        <w:rPr>
          <w:rFonts w:ascii="Aptos" w:hAnsi="Aptos"/>
          <w:b/>
          <w:color w:val="15324B"/>
          <w:sz w:val="24"/>
        </w:rPr>
        <w:t xml:space="preserve">5c. Ground the answer</w:t>
      </w:r>
    </w:p>
    <w:p>
      <w:pPr>
        <w:spacing w:before="0" w:after="6" w:line="276" w:lineRule="auto"/>
      </w:pPr>
      <w:r>
        <w:rPr>
          <w:rFonts w:ascii="Aptos" w:hAnsi="Aptos"/>
        </w:rPr>
        <w:t xml:space="preserve">Retrieve content only from the selected course scope. Pass relevant excerpts and source references to the AI agent. Ask the agent to state when the course materials do not answer the question and to distinguish sourced facts from general help.</w:t>
      </w:r>
    </w:p>
    <w:p>
      <w:pPr>
        <w:pStyle w:val="Heading2"/>
        <w:spacing w:before="8" w:after="3" w:line="276" w:lineRule="auto"/>
        <w:keepNext/>
      </w:pPr>
      <w:r>
        <w:rPr>
          <w:rFonts w:ascii="Aptos" w:hAnsi="Aptos"/>
          <w:b/>
          <w:color w:val="15324B"/>
          <w:sz w:val="24"/>
        </w:rPr>
        <w:t xml:space="preserve">5d. Protect data</w:t>
      </w:r>
    </w:p>
    <w:p>
      <w:pPr>
        <w:spacing w:before="0" w:after="6" w:line="276" w:lineRule="auto"/>
      </w:pPr>
      <w:r>
        <w:rPr>
          <w:rFonts w:ascii="Aptos" w:hAnsi="Aptos"/>
        </w:rPr>
        <w:t xml:space="preserve">Apply retention and deletion rules to prompts, retrieved snippets, chat history, and model-provider logs. Do not send LMS credentials or full launch tokens to the model. Restrict staff access and redact sensitive information from operational logs.</w:t>
      </w:r>
    </w:p>
    <w:p>
      <w:pPr>
        <w:spacing w:before="0" w:after="6" w:line="276" w:lineRule="auto"/>
      </w:pPr>
      <w:r>
        <w:rPr>
          <w:rFonts w:ascii="Aptos" w:hAnsi="Aptos"/>
        </w:rPr>
        <w:t xml:space="preserve">The Streamlit demo displays a placeholder response. Production must route prompts to the existing Student Assist agent API or an equivalent service. Keep model orchestration behind an application service so the UI does not own secrets or authorization rules.</w:t>
      </w:r>
    </w:p>
    <w:p>
      <w:pPr>
        <w:pStyle w:val="Heading1"/>
        <w:spacing w:before="14" w:after="5" w:line="276" w:lineRule="auto"/>
        <w:keepNext/>
      </w:pPr>
      <w:r>
        <w:rPr>
          <w:rFonts w:ascii="Aptos" w:hAnsi="Aptos"/>
          <w:b/>
          <w:color w:val="126782"/>
          <w:sz w:val="30"/>
        </w:rPr>
        <w:t xml:space="preserve">8. Step 6 - Deploy the services</w:t>
      </w:r>
    </w:p>
    <w:p>
      <w:pPr>
        <w:pStyle w:val="ListParagraph"/>
        <w:ind w:left="420" w:hanging="220"/>
        <w:spacing w:after="4"/>
      </w:pPr>
      <w:r>
        <w:rPr>
          <w:rFonts w:ascii="Aptos" w:hAnsi="Aptos"/>
          <w:b/>
          <w:color w:val="167D9A"/>
        </w:rPr>
        <w:t xml:space="preserve">•  </w:t>
      </w:r>
      <w:r>
        <w:rPr>
          <w:rFonts w:ascii="Aptos" w:hAnsi="Aptos"/>
        </w:rPr>
        <w:t xml:space="preserve">Expose the LTI bridge and user interface only over HTTPS. Set trusted proxy headers correctly and configure allowed hosts and origins.</w:t>
      </w:r>
    </w:p>
    <w:p>
      <w:pPr>
        <w:pStyle w:val="ListParagraph"/>
        <w:ind w:left="420" w:hanging="220"/>
        <w:spacing w:after="4"/>
      </w:pPr>
      <w:r>
        <w:rPr>
          <w:rFonts w:ascii="Aptos" w:hAnsi="Aptos"/>
          <w:b/>
          <w:color w:val="167D9A"/>
        </w:rPr>
        <w:t xml:space="preserve">•  </w:t>
      </w:r>
      <w:r>
        <w:rPr>
          <w:rFonts w:ascii="Aptos" w:hAnsi="Aptos"/>
        </w:rPr>
        <w:t xml:space="preserve">Run the bridge as a stateless service behind a load balancer. Put state, nonce, handoff codes, and sessions in a shared store with TTL and atomic consume operations.</w:t>
      </w:r>
    </w:p>
    <w:p>
      <w:pPr>
        <w:pStyle w:val="ListParagraph"/>
        <w:ind w:left="420" w:hanging="220"/>
        <w:spacing w:after="4"/>
      </w:pPr>
      <w:r>
        <w:rPr>
          <w:rFonts w:ascii="Aptos" w:hAnsi="Aptos"/>
          <w:b/>
          <w:color w:val="167D9A"/>
        </w:rPr>
        <w:t xml:space="preserve">•  </w:t>
      </w:r>
      <w:r>
        <w:rPr>
          <w:rFonts w:ascii="Aptos" w:hAnsi="Aptos"/>
        </w:rPr>
        <w:t xml:space="preserve">Keep LMS API credentials in a secrets manager. Rotate credentials, limit scopes, and separate secrets by environment and tenant.</w:t>
      </w:r>
    </w:p>
    <w:p>
      <w:pPr>
        <w:pStyle w:val="ListParagraph"/>
        <w:ind w:left="420" w:hanging="220"/>
        <w:spacing w:after="4"/>
      </w:pPr>
      <w:r>
        <w:rPr>
          <w:rFonts w:ascii="Aptos" w:hAnsi="Aptos"/>
          <w:b/>
          <w:color w:val="167D9A"/>
        </w:rPr>
        <w:t xml:space="preserve">•  </w:t>
      </w:r>
      <w:r>
        <w:rPr>
          <w:rFonts w:ascii="Aptos" w:hAnsi="Aptos"/>
        </w:rPr>
        <w:t xml:space="preserve">Configure network egress to the LMS JWKS and API endpoints. Apply request timeouts, bounded retries, and rate limits.</w:t>
      </w:r>
    </w:p>
    <w:p>
      <w:pPr>
        <w:pStyle w:val="ListParagraph"/>
        <w:ind w:left="420" w:hanging="220"/>
        <w:spacing w:after="4"/>
      </w:pPr>
      <w:r>
        <w:rPr>
          <w:rFonts w:ascii="Aptos" w:hAnsi="Aptos"/>
          <w:b/>
          <w:color w:val="167D9A"/>
        </w:rPr>
        <w:t xml:space="preserve">•  </w:t>
      </w:r>
      <w:r>
        <w:rPr>
          <w:rFonts w:ascii="Aptos" w:hAnsi="Aptos"/>
        </w:rPr>
        <w:t xml:space="preserve">Use a supported production process manager for the API. Do not run Streamlit with development reload mode in production; use an approved production hosting pattern or expose the assistant UI through the organization's standard web platform.</w:t>
      </w:r>
    </w:p>
    <w:p>
      <w:pPr>
        <w:pStyle w:val="ListParagraph"/>
        <w:ind w:left="420" w:hanging="220"/>
        <w:spacing w:after="4"/>
      </w:pPr>
      <w:r>
        <w:rPr>
          <w:rFonts w:ascii="Aptos" w:hAnsi="Aptos"/>
          <w:b/>
          <w:color w:val="167D9A"/>
        </w:rPr>
        <w:t xml:space="preserve">•  </w:t>
      </w:r>
      <w:r>
        <w:rPr>
          <w:rFonts w:ascii="Aptos" w:hAnsi="Aptos"/>
        </w:rPr>
        <w:t xml:space="preserve">Set health endpoints for process readiness and dependency checks. Avoid health checks that expose student records or credentials.</w:t>
      </w:r>
    </w:p>
    <w:p>
      <w:pPr>
        <w:pStyle w:val="ListParagraph"/>
        <w:ind w:left="420" w:hanging="220"/>
        <w:spacing w:after="4"/>
      </w:pPr>
      <w:r>
        <w:rPr>
          <w:rFonts w:ascii="Aptos" w:hAnsi="Aptos"/>
          <w:b/>
          <w:color w:val="167D9A"/>
        </w:rPr>
        <w:t xml:space="preserve">•  </w:t>
      </w:r>
      <w:r>
        <w:rPr>
          <w:rFonts w:ascii="Aptos" w:hAnsi="Aptos"/>
        </w:rPr>
        <w:t xml:space="preserve">Back up persistent state as required, set retention periods, and document disaster recovery and credential rotation.</w:t>
      </w:r>
    </w:p>
    <w:p>
      <w:pPr>
        <w:pStyle w:val="Heading1"/>
        <w:spacing w:before="14" w:after="5" w:line="276" w:lineRule="auto"/>
        <w:keepNext/>
      </w:pPr>
      <w:r>
        <w:rPr>
          <w:rFonts w:ascii="Aptos" w:hAnsi="Aptos"/>
          <w:b/>
          <w:color w:val="126782"/>
          <w:sz w:val="30"/>
        </w:rPr>
        <w:t xml:space="preserve">9. Step 7 - Test before launch</w:t>
      </w:r>
    </w:p>
    <w:tbl>
      <w:tblPr>
        <w:tblW w:w="9600" w:type="dxa"/>
        <w:tblLayout w:type="fixed"/>
        <w:tblBorders>
          <w:top w:val="single" w:sz="5" w:color="D5E0E8"/>
          <w:left w:val="single" w:sz="5" w:color="D5E0E8"/>
          <w:bottom w:val="single" w:sz="5" w:color="D5E0E8"/>
          <w:right w:val="single" w:sz="5" w:color="D5E0E8"/>
          <w:insideH w:val="single" w:sz="4" w:color="D5E0E8"/>
          <w:insideV w:val="single" w:sz="4" w:color="D5E0E8"/>
        </w:tblBorders>
        <w:tblCellMar>
          <w:top w:w="90" w:type="dxa"/>
          <w:start w:w="110" w:type="dxa"/>
          <w:bottom w:w="90" w:type="dxa"/>
          <w:end w:w="110" w:type="dxa"/>
        </w:tblCellMar>
      </w:tblPr>
      <w:tr>
        <w:tc>
          <w:tcPr>
            <w:tcW w:w="3100" w:type="dxa"/>
            <w:shd w:fill="EAF2F7"/>
          </w:tcPr>
          <w:p>
            <w:pPr>
              <w:spacing w:after="0" w:line="240"/>
            </w:pPr>
            <w:r>
              <w:rPr>
                <w:rFonts w:ascii="Aptos" w:hAnsi="Aptos"/>
                <w:b/>
                <w:color w:val="15324B"/>
                <w:sz w:val="19"/>
              </w:rPr>
              <w:t xml:space="preserve">Test area</w:t>
            </w:r>
          </w:p>
        </w:tc>
        <w:tc>
          <w:tcPr>
            <w:tcW w:w="6500" w:type="dxa"/>
            <w:shd w:fill="EAF2F7"/>
          </w:tcPr>
          <w:p>
            <w:pPr>
              <w:spacing w:after="0" w:line="240"/>
            </w:pPr>
            <w:r>
              <w:rPr>
                <w:rFonts w:ascii="Aptos" w:hAnsi="Aptos"/>
                <w:b/>
                <w:color w:val="15324B"/>
                <w:sz w:val="19"/>
              </w:rPr>
              <w:t xml:space="preserve">Acceptance check</w:t>
            </w:r>
          </w:p>
        </w:tc>
      </w:tr>
      <w:tr>
        <w:tc>
          <w:tcPr>
            <w:tcW w:w="3100" w:type="dxa"/>
            <w:shd w:fill="F5F8FA"/>
          </w:tcPr>
          <w:p>
            <w:pPr>
              <w:spacing w:after="0" w:line="240"/>
            </w:pPr>
            <w:r>
              <w:rPr>
                <w:rFonts w:ascii="Aptos" w:hAnsi="Aptos"/>
                <w:b/>
                <w:color w:val="15324B"/>
                <w:sz w:val="19"/>
              </w:rPr>
              <w:t xml:space="preserve">Registration</w:t>
            </w:r>
          </w:p>
        </w:tc>
        <w:tc>
          <w:tcPr>
            <w:tcW w:w="6500" w:type="dxa"/>
            <w:shd w:fill="F5F8FA"/>
          </w:tcPr>
          <w:p>
            <w:pPr>
              <w:spacing w:after="0" w:line="240"/>
            </w:pPr>
            <w:r>
              <w:rPr>
                <w:rFonts w:ascii="Aptos" w:hAnsi="Aptos"/>
                <w:sz w:val="19"/>
              </w:rPr>
              <w:t xml:space="preserve">Each configured issuer, client ID, deployment ID, login URL, and redirect URI matches the LMS registration exactly.</w:t>
            </w:r>
          </w:p>
        </w:tc>
      </w:tr>
      <w:tr>
        <w:tc>
          <w:tcPr>
            <w:tcW w:w="3100" w:type="dxa"/>
            <w:shd w:fill="FFFFFF"/>
          </w:tcPr>
          <w:p>
            <w:pPr>
              <w:spacing w:after="0" w:line="240"/>
            </w:pPr>
            <w:r>
              <w:rPr>
                <w:rFonts w:ascii="Aptos" w:hAnsi="Aptos"/>
                <w:b/>
                <w:color w:val="15324B"/>
                <w:sz w:val="19"/>
              </w:rPr>
              <w:t xml:space="preserve">Successful launch</w:t>
            </w:r>
          </w:p>
        </w:tc>
        <w:tc>
          <w:tcPr>
            <w:tcW w:w="6500" w:type="dxa"/>
            <w:shd w:fill="FFFFFF"/>
          </w:tcPr>
          <w:p>
            <w:pPr>
              <w:spacing w:after="0" w:line="240"/>
            </w:pPr>
            <w:r>
              <w:rPr>
                <w:rFonts w:ascii="Aptos" w:hAnsi="Aptos"/>
                <w:sz w:val="19"/>
              </w:rPr>
              <w:t xml:space="preserve">A real test learner launches from a course and reaches the assistant with the expected subject and context.</w:t>
            </w:r>
          </w:p>
        </w:tc>
      </w:tr>
      <w:tr>
        <w:tc>
          <w:tcPr>
            <w:tcW w:w="3100" w:type="dxa"/>
            <w:shd w:fill="F5F8FA"/>
          </w:tcPr>
          <w:p>
            <w:pPr>
              <w:spacing w:after="0" w:line="240"/>
            </w:pPr>
            <w:r>
              <w:rPr>
                <w:rFonts w:ascii="Aptos" w:hAnsi="Aptos"/>
                <w:b/>
                <w:color w:val="15324B"/>
                <w:sz w:val="19"/>
              </w:rPr>
              <w:t xml:space="preserve">Invalid launch</w:t>
            </w:r>
          </w:p>
        </w:tc>
        <w:tc>
          <w:tcPr>
            <w:tcW w:w="6500" w:type="dxa"/>
            <w:shd w:fill="F5F8FA"/>
          </w:tcPr>
          <w:p>
            <w:pPr>
              <w:spacing w:after="0" w:line="240"/>
            </w:pPr>
            <w:r>
              <w:rPr>
                <w:rFonts w:ascii="Aptos" w:hAnsi="Aptos"/>
                <w:sz w:val="19"/>
              </w:rPr>
              <w:t xml:space="preserve">Reject bad signatures, unknown issuer, wrong audience, wrong deployment, expired token, nonce mismatch, replayed state, and unsupported message type.</w:t>
            </w:r>
          </w:p>
        </w:tc>
      </w:tr>
      <w:tr>
        <w:tc>
          <w:tcPr>
            <w:tcW w:w="3100" w:type="dxa"/>
            <w:shd w:fill="FFFFFF"/>
          </w:tcPr>
          <w:p>
            <w:pPr>
              <w:spacing w:after="0" w:line="240"/>
            </w:pPr>
            <w:r>
              <w:rPr>
                <w:rFonts w:ascii="Aptos" w:hAnsi="Aptos"/>
                <w:b/>
                <w:color w:val="15324B"/>
                <w:sz w:val="19"/>
              </w:rPr>
              <w:t xml:space="preserve">Course access</w:t>
            </w:r>
          </w:p>
        </w:tc>
        <w:tc>
          <w:tcPr>
            <w:tcW w:w="6500" w:type="dxa"/>
            <w:shd w:fill="FFFFFF"/>
          </w:tcPr>
          <w:p>
            <w:pPr>
              <w:spacing w:after="0" w:line="240"/>
            </w:pPr>
            <w:r>
              <w:rPr>
                <w:rFonts w:ascii="Aptos" w:hAnsi="Aptos"/>
                <w:sz w:val="19"/>
              </w:rPr>
              <w:t xml:space="preserve">The learner sees only enrolled and available courses; revoked enrollment removes access within the documented cache interval.</w:t>
            </w:r>
          </w:p>
        </w:tc>
      </w:tr>
      <w:tr>
        <w:tc>
          <w:tcPr>
            <w:tcW w:w="3100" w:type="dxa"/>
            <w:shd w:fill="F5F8FA"/>
          </w:tcPr>
          <w:p>
            <w:pPr>
              <w:spacing w:after="0" w:line="240"/>
            </w:pPr>
            <w:r>
              <w:rPr>
                <w:rFonts w:ascii="Aptos" w:hAnsi="Aptos"/>
                <w:b/>
                <w:color w:val="15324B"/>
                <w:sz w:val="19"/>
              </w:rPr>
              <w:t xml:space="preserve">Section chat</w:t>
            </w:r>
          </w:p>
        </w:tc>
        <w:tc>
          <w:tcPr>
            <w:tcW w:w="6500" w:type="dxa"/>
            <w:shd w:fill="F5F8FA"/>
          </w:tcPr>
          <w:p>
            <w:pPr>
              <w:spacing w:after="0" w:line="240"/>
            </w:pPr>
            <w:r>
              <w:rPr>
                <w:rFonts w:ascii="Aptos" w:hAnsi="Aptos"/>
                <w:sz w:val="19"/>
              </w:rPr>
              <w:t xml:space="preserve">Requests are scoped to the selected course and section; answers cite or identify relevant course material where supported.</w:t>
            </w:r>
          </w:p>
        </w:tc>
      </w:tr>
      <w:tr>
        <w:tc>
          <w:tcPr>
            <w:tcW w:w="3100" w:type="dxa"/>
            <w:shd w:fill="FFFFFF"/>
          </w:tcPr>
          <w:p>
            <w:pPr>
              <w:spacing w:after="0" w:line="240"/>
            </w:pPr>
            <w:r>
              <w:rPr>
                <w:rFonts w:ascii="Aptos" w:hAnsi="Aptos"/>
                <w:b/>
                <w:color w:val="15324B"/>
                <w:sz w:val="19"/>
              </w:rPr>
              <w:t xml:space="preserve">Resilience</w:t>
            </w:r>
          </w:p>
        </w:tc>
        <w:tc>
          <w:tcPr>
            <w:tcW w:w="6500" w:type="dxa"/>
            <w:shd w:fill="FFFFFF"/>
          </w:tcPr>
          <w:p>
            <w:pPr>
              <w:spacing w:after="0" w:line="240"/>
            </w:pPr>
            <w:r>
              <w:rPr>
                <w:rFonts w:ascii="Aptos" w:hAnsi="Aptos"/>
                <w:sz w:val="19"/>
              </w:rPr>
              <w:t xml:space="preserve">JWKS outage, LMS API timeout, rate limiting, Redis loss, and model failure produce safe errors and usable retry behavior.</w:t>
            </w:r>
          </w:p>
        </w:tc>
      </w:tr>
      <w:tr>
        <w:tc>
          <w:tcPr>
            <w:tcW w:w="3100" w:type="dxa"/>
            <w:shd w:fill="F5F8FA"/>
          </w:tcPr>
          <w:p>
            <w:pPr>
              <w:spacing w:after="0" w:line="240"/>
            </w:pPr>
            <w:r>
              <w:rPr>
                <w:rFonts w:ascii="Aptos" w:hAnsi="Aptos"/>
                <w:b/>
                <w:color w:val="15324B"/>
                <w:sz w:val="19"/>
              </w:rPr>
              <w:t xml:space="preserve">Privacy</w:t>
            </w:r>
          </w:p>
        </w:tc>
        <w:tc>
          <w:tcPr>
            <w:tcW w:w="6500" w:type="dxa"/>
            <w:shd w:fill="F5F8FA"/>
          </w:tcPr>
          <w:p>
            <w:pPr>
              <w:spacing w:after="0" w:line="240"/>
            </w:pPr>
            <w:r>
              <w:rPr>
                <w:rFonts w:ascii="Aptos" w:hAnsi="Aptos"/>
                <w:sz w:val="19"/>
              </w:rPr>
              <w:t xml:space="preserve">Logs, traces, analytics, and model calls do not expose tokens, credentials, or unnecessary personal data.</w:t>
            </w:r>
          </w:p>
        </w:tc>
      </w:tr>
      <w:tr>
        <w:tc>
          <w:tcPr>
            <w:tcW w:w="3100" w:type="dxa"/>
            <w:shd w:fill="FFFFFF"/>
          </w:tcPr>
          <w:p>
            <w:pPr>
              <w:spacing w:after="0" w:line="240"/>
            </w:pPr>
            <w:r>
              <w:rPr>
                <w:rFonts w:ascii="Aptos" w:hAnsi="Aptos"/>
                <w:b/>
                <w:color w:val="15324B"/>
                <w:sz w:val="19"/>
              </w:rPr>
              <w:t xml:space="preserve">Operations</w:t>
            </w:r>
          </w:p>
        </w:tc>
        <w:tc>
          <w:tcPr>
            <w:tcW w:w="6500" w:type="dxa"/>
            <w:shd w:fill="FFFFFF"/>
          </w:tcPr>
          <w:p>
            <w:pPr>
              <w:spacing w:after="0" w:line="240"/>
            </w:pPr>
            <w:r>
              <w:rPr>
                <w:rFonts w:ascii="Aptos" w:hAnsi="Aptos"/>
                <w:sz w:val="19"/>
              </w:rPr>
              <w:t xml:space="preserve">Alerts fire for launch failures, API errors, latency, and elevated unauthorized attempts; support staff can correlate events safely.</w:t>
            </w:r>
          </w:p>
        </w:tc>
      </w:tr>
    </w:tbl>
    <w:p>
      <w:pPr>
        <w:pStyle w:val="Heading1"/>
        <w:spacing w:before="14" w:after="5" w:line="276" w:lineRule="auto"/>
        <w:keepNext/>
      </w:pPr>
      <w:r>
        <w:rPr>
          <w:rFonts w:ascii="Aptos" w:hAnsi="Aptos"/>
          <w:b/>
          <w:color w:val="126782"/>
          <w:sz w:val="30"/>
        </w:rPr>
        <w:t xml:space="preserve">10. Step 8 - Monitor and support</w:t>
      </w:r>
    </w:p>
    <w:p>
      <w:pPr>
        <w:spacing w:before="0" w:after="6" w:line="276" w:lineRule="auto"/>
      </w:pPr>
      <w:r>
        <w:rPr>
          <w:rFonts w:ascii="Aptos" w:hAnsi="Aptos"/>
        </w:rPr>
        <w:t xml:space="preserve">Record structured security events such as launch accepted or rejected, issuer alias, deployment, failure category, course-provider result, and request correlation ID. Do not log raw id_tokens, authorization codes, passwords, API tokens, or full student claims. Retain only fields needed for audit and troubleshooting.</w:t>
      </w:r>
    </w:p>
    <w:p>
      <w:pPr>
        <w:spacing w:before="0" w:after="6" w:line="276" w:lineRule="auto"/>
      </w:pPr>
      <w:r>
        <w:rPr>
          <w:rFonts w:ascii="Aptos" w:hAnsi="Aptos"/>
        </w:rPr>
        <w:t xml:space="preserve">Track launch success rate, validation failure reasons, course API latency and error rate, empty course results, chat latency, retrieval misses, and model errors. Establish alerts with thresholds appropriate to expected usage. Provide a support path that helps staff distinguish LMS registration issues from API permission, course enrollment, and assistant content issues.</w:t>
      </w:r>
    </w:p>
    <w:p>
      <w:pPr>
        <w:pStyle w:val="Heading1"/>
        <w:spacing w:before="14" w:after="5" w:line="276" w:lineRule="auto"/>
        <w:keepNext/>
      </w:pPr>
      <w:r>
        <w:rPr>
          <w:rFonts w:ascii="Aptos" w:hAnsi="Aptos"/>
          <w:b/>
          <w:color w:val="126782"/>
          <w:sz w:val="30"/>
        </w:rPr>
        <w:t xml:space="preserve">11. Production readiness checklist</w:t>
      </w:r>
    </w:p>
    <w:p>
      <w:pPr>
        <w:pStyle w:val="ListParagraph"/>
        <w:ind w:left="420" w:hanging="220"/>
        <w:spacing w:after="4"/>
      </w:pPr>
      <w:r>
        <w:rPr>
          <w:rFonts w:ascii="Aptos" w:hAnsi="Aptos"/>
          <w:b/>
          <w:color w:val="167D9A"/>
        </w:rPr>
        <w:t xml:space="preserve">•  </w:t>
      </w:r>
      <w:r>
        <w:rPr>
          <w:rFonts w:ascii="Aptos" w:hAnsi="Aptos"/>
        </w:rPr>
        <w:t xml:space="preserve">LMS production registration completed and production URLs use HTTPS.</w:t>
      </w:r>
    </w:p>
    <w:p>
      <w:pPr>
        <w:pStyle w:val="ListParagraph"/>
        <w:ind w:left="420" w:hanging="220"/>
        <w:spacing w:after="4"/>
      </w:pPr>
      <w:r>
        <w:rPr>
          <w:rFonts w:ascii="Aptos" w:hAnsi="Aptos"/>
          <w:b/>
          <w:color w:val="167D9A"/>
        </w:rPr>
        <w:t xml:space="preserve">•  </w:t>
      </w:r>
      <w:r>
        <w:rPr>
          <w:rFonts w:ascii="Aptos" w:hAnsi="Aptos"/>
        </w:rPr>
        <w:t xml:space="preserve">Platform configuration is allowlisted and secrets are kept outside source control.</w:t>
      </w:r>
    </w:p>
    <w:p>
      <w:pPr>
        <w:pStyle w:val="ListParagraph"/>
        <w:ind w:left="420" w:hanging="220"/>
        <w:spacing w:after="4"/>
      </w:pPr>
      <w:r>
        <w:rPr>
          <w:rFonts w:ascii="Aptos" w:hAnsi="Aptos"/>
          <w:b/>
          <w:color w:val="167D9A"/>
        </w:rPr>
        <w:t xml:space="preserve">•  </w:t>
      </w:r>
      <w:r>
        <w:rPr>
          <w:rFonts w:ascii="Aptos" w:hAnsi="Aptos"/>
        </w:rPr>
        <w:t xml:space="preserve">Shared, expiring, atomic storage replaces the in-memory demo stores.</w:t>
      </w:r>
    </w:p>
    <w:p>
      <w:pPr>
        <w:pStyle w:val="ListParagraph"/>
        <w:ind w:left="420" w:hanging="220"/>
        <w:spacing w:after="4"/>
      </w:pPr>
      <w:r>
        <w:rPr>
          <w:rFonts w:ascii="Aptos" w:hAnsi="Aptos"/>
          <w:b/>
          <w:color w:val="167D9A"/>
        </w:rPr>
        <w:t xml:space="preserve">•  </w:t>
      </w:r>
      <w:r>
        <w:rPr>
          <w:rFonts w:ascii="Aptos" w:hAnsi="Aptos"/>
        </w:rPr>
        <w:t xml:space="preserve">Launch state, nonce, signature, issuer, audience, expiry, message type, and deployment checks are enabled.</w:t>
      </w:r>
    </w:p>
    <w:p>
      <w:pPr>
        <w:pStyle w:val="ListParagraph"/>
        <w:ind w:left="420" w:hanging="220"/>
        <w:spacing w:after="4"/>
      </w:pPr>
      <w:r>
        <w:rPr>
          <w:rFonts w:ascii="Aptos" w:hAnsi="Aptos"/>
          <w:b/>
          <w:color w:val="167D9A"/>
        </w:rPr>
        <w:t xml:space="preserve">•  </w:t>
      </w:r>
      <w:r>
        <w:rPr>
          <w:rFonts w:ascii="Aptos" w:hAnsi="Aptos"/>
        </w:rPr>
        <w:t xml:space="preserve">Handoff and application sessions are one-time or secure, short-lived, and bound to the learner's browser session.</w:t>
      </w:r>
    </w:p>
    <w:p>
      <w:pPr>
        <w:pStyle w:val="ListParagraph"/>
        <w:ind w:left="420" w:hanging="220"/>
        <w:spacing w:after="4"/>
      </w:pPr>
      <w:r>
        <w:rPr>
          <w:rFonts w:ascii="Aptos" w:hAnsi="Aptos"/>
          <w:b/>
          <w:color w:val="167D9A"/>
        </w:rPr>
        <w:t xml:space="preserve">•  </w:t>
      </w:r>
      <w:r>
        <w:rPr>
          <w:rFonts w:ascii="Aptos" w:hAnsi="Aptos"/>
        </w:rPr>
        <w:t xml:space="preserve">Real course providers are implemented for each LMS, with paging, access rules, errors, and cache behavior defined.</w:t>
      </w:r>
    </w:p>
    <w:p>
      <w:pPr>
        <w:pStyle w:val="ListParagraph"/>
        <w:ind w:left="420" w:hanging="220"/>
        <w:spacing w:after="4"/>
      </w:pPr>
      <w:r>
        <w:rPr>
          <w:rFonts w:ascii="Aptos" w:hAnsi="Aptos"/>
          <w:b/>
          <w:color w:val="167D9A"/>
        </w:rPr>
        <w:t xml:space="preserve">•  </w:t>
      </w:r>
      <w:r>
        <w:rPr>
          <w:rFonts w:ascii="Aptos" w:hAnsi="Aptos"/>
        </w:rPr>
        <w:t xml:space="preserve">Chat retrieval checks current course/section access and avoids cross-course data leakage.</w:t>
      </w:r>
    </w:p>
    <w:p>
      <w:pPr>
        <w:pStyle w:val="ListParagraph"/>
        <w:ind w:left="420" w:hanging="220"/>
        <w:spacing w:after="4"/>
      </w:pPr>
      <w:r>
        <w:rPr>
          <w:rFonts w:ascii="Aptos" w:hAnsi="Aptos"/>
          <w:b/>
          <w:color w:val="167D9A"/>
        </w:rPr>
        <w:t xml:space="preserve">•  </w:t>
      </w:r>
      <w:r>
        <w:rPr>
          <w:rFonts w:ascii="Aptos" w:hAnsi="Aptos"/>
        </w:rPr>
        <w:t xml:space="preserve">Operational monitoring, privacy controls, retention, incident response, and credential rotation are documented.</w:t>
      </w:r>
    </w:p>
    <w:p>
      <w:pPr>
        <w:pStyle w:val="Heading1"/>
        <w:spacing w:before="14" w:after="5" w:line="276" w:lineRule="auto"/>
        <w:keepNext/>
      </w:pPr>
      <w:r>
        <w:rPr>
          <w:rFonts w:ascii="Aptos" w:hAnsi="Aptos"/>
          <w:b/>
          <w:color w:val="126782"/>
          <w:sz w:val="30"/>
        </w:rPr>
        <w:t xml:space="preserve">12. Current demo versus production</w:t>
      </w:r>
    </w:p>
    <w:tbl>
      <w:tblPr>
        <w:tblW w:w="9600" w:type="dxa"/>
        <w:tblLayout w:type="fixed"/>
        <w:tblBorders>
          <w:top w:val="single" w:sz="5" w:color="D5E0E8"/>
          <w:left w:val="single" w:sz="5" w:color="D5E0E8"/>
          <w:bottom w:val="single" w:sz="5" w:color="D5E0E8"/>
          <w:right w:val="single" w:sz="5" w:color="D5E0E8"/>
          <w:insideH w:val="single" w:sz="4" w:color="D5E0E8"/>
          <w:insideV w:val="single" w:sz="4" w:color="D5E0E8"/>
        </w:tblBorders>
        <w:tblCellMar>
          <w:top w:w="90" w:type="dxa"/>
          <w:start w:w="110" w:type="dxa"/>
          <w:bottom w:w="90" w:type="dxa"/>
          <w:end w:w="110" w:type="dxa"/>
        </w:tblCellMar>
      </w:tblPr>
      <w:tr>
        <w:tc>
          <w:tcPr>
            <w:tcW w:w="2200" w:type="dxa"/>
            <w:shd w:fill="EAF2F7"/>
          </w:tcPr>
          <w:p>
            <w:pPr>
              <w:spacing w:after="0" w:line="240"/>
            </w:pPr>
            <w:r>
              <w:rPr>
                <w:rFonts w:ascii="Aptos" w:hAnsi="Aptos"/>
                <w:b/>
                <w:color w:val="15324B"/>
                <w:sz w:val="19"/>
              </w:rPr>
              <w:t xml:space="preserve">Area</w:t>
            </w:r>
          </w:p>
        </w:tc>
        <w:tc>
          <w:tcPr>
            <w:tcW w:w="3600" w:type="dxa"/>
            <w:shd w:fill="EAF2F7"/>
          </w:tcPr>
          <w:p>
            <w:pPr>
              <w:spacing w:after="0" w:line="240"/>
            </w:pPr>
            <w:r>
              <w:rPr>
                <w:rFonts w:ascii="Aptos" w:hAnsi="Aptos"/>
                <w:b/>
                <w:color w:val="15324B"/>
                <w:sz w:val="19"/>
              </w:rPr>
              <w:t xml:space="preserve">Current project demo</w:t>
            </w:r>
          </w:p>
        </w:tc>
        <w:tc>
          <w:tcPr>
            <w:tcW w:w="3800" w:type="dxa"/>
            <w:shd w:fill="EAF2F7"/>
          </w:tcPr>
          <w:p>
            <w:pPr>
              <w:spacing w:after="0" w:line="240"/>
            </w:pPr>
            <w:r>
              <w:rPr>
                <w:rFonts w:ascii="Aptos" w:hAnsi="Aptos"/>
                <w:b/>
                <w:color w:val="15324B"/>
                <w:sz w:val="19"/>
              </w:rPr>
              <w:t xml:space="preserve">Production replacement</w:t>
            </w:r>
          </w:p>
        </w:tc>
      </w:tr>
      <w:tr>
        <w:tc>
          <w:tcPr>
            <w:tcW w:w="2200" w:type="dxa"/>
            <w:shd w:fill="F5F8FA"/>
          </w:tcPr>
          <w:p>
            <w:pPr>
              <w:spacing w:after="0" w:line="240"/>
            </w:pPr>
            <w:r>
              <w:rPr>
                <w:rFonts w:ascii="Aptos" w:hAnsi="Aptos"/>
                <w:b/>
                <w:color w:val="15324B"/>
                <w:sz w:val="19"/>
              </w:rPr>
              <w:t xml:space="preserve">Transaction store</w:t>
            </w:r>
          </w:p>
        </w:tc>
        <w:tc>
          <w:tcPr>
            <w:tcW w:w="3600" w:type="dxa"/>
            <w:shd w:fill="F5F8FA"/>
          </w:tcPr>
          <w:p>
            <w:pPr>
              <w:spacing w:after="0" w:line="240"/>
            </w:pPr>
            <w:r>
              <w:rPr>
                <w:rFonts w:ascii="Aptos" w:hAnsi="Aptos"/>
                <w:sz w:val="19"/>
              </w:rPr>
              <w:t xml:space="preserve">In-memory, single process</w:t>
            </w:r>
          </w:p>
        </w:tc>
        <w:tc>
          <w:tcPr>
            <w:tcW w:w="3800" w:type="dxa"/>
            <w:shd w:fill="F5F8FA"/>
          </w:tcPr>
          <w:p>
            <w:pPr>
              <w:spacing w:after="0" w:line="240"/>
            </w:pPr>
            <w:r>
              <w:rPr>
                <w:rFonts w:ascii="Aptos" w:hAnsi="Aptos"/>
                <w:sz w:val="19"/>
              </w:rPr>
              <w:t xml:space="preserve">Shared Redis or database with atomic consume and expiry</w:t>
            </w:r>
          </w:p>
        </w:tc>
      </w:tr>
      <w:tr>
        <w:tc>
          <w:tcPr>
            <w:tcW w:w="2200" w:type="dxa"/>
            <w:shd w:fill="FFFFFF"/>
          </w:tcPr>
          <w:p>
            <w:pPr>
              <w:spacing w:after="0" w:line="240"/>
            </w:pPr>
            <w:r>
              <w:rPr>
                <w:rFonts w:ascii="Aptos" w:hAnsi="Aptos"/>
                <w:b/>
                <w:color w:val="15324B"/>
                <w:sz w:val="19"/>
              </w:rPr>
              <w:t xml:space="preserve">Handoff</w:t>
            </w:r>
          </w:p>
        </w:tc>
        <w:tc>
          <w:tcPr>
            <w:tcW w:w="3600" w:type="dxa"/>
            <w:shd w:fill="FFFFFF"/>
          </w:tcPr>
          <w:p>
            <w:pPr>
              <w:spacing w:after="0" w:line="240"/>
            </w:pPr>
            <w:r>
              <w:rPr>
                <w:rFonts w:ascii="Aptos" w:hAnsi="Aptos"/>
                <w:sz w:val="19"/>
              </w:rPr>
              <w:t xml:space="preserve">One-time in-memory code</w:t>
            </w:r>
          </w:p>
        </w:tc>
        <w:tc>
          <w:tcPr>
            <w:tcW w:w="3800" w:type="dxa"/>
            <w:shd w:fill="FFFFFF"/>
          </w:tcPr>
          <w:p>
            <w:pPr>
              <w:spacing w:after="0" w:line="240"/>
            </w:pPr>
            <w:r>
              <w:rPr>
                <w:rFonts w:ascii="Aptos" w:hAnsi="Aptos"/>
                <w:sz w:val="19"/>
              </w:rPr>
              <w:t xml:space="preserve">Browser-bound handoff and secure application session</w:t>
            </w:r>
          </w:p>
        </w:tc>
      </w:tr>
      <w:tr>
        <w:tc>
          <w:tcPr>
            <w:tcW w:w="2200" w:type="dxa"/>
            <w:shd w:fill="F5F8FA"/>
          </w:tcPr>
          <w:p>
            <w:pPr>
              <w:spacing w:after="0" w:line="240"/>
            </w:pPr>
            <w:r>
              <w:rPr>
                <w:rFonts w:ascii="Aptos" w:hAnsi="Aptos"/>
                <w:b/>
                <w:color w:val="15324B"/>
                <w:sz w:val="19"/>
              </w:rPr>
              <w:t xml:space="preserve">Course data</w:t>
            </w:r>
          </w:p>
        </w:tc>
        <w:tc>
          <w:tcPr>
            <w:tcW w:w="3600" w:type="dxa"/>
            <w:shd w:fill="F5F8FA"/>
          </w:tcPr>
          <w:p>
            <w:pPr>
              <w:spacing w:after="0" w:line="240"/>
            </w:pPr>
            <w:r>
              <w:rPr>
                <w:rFonts w:ascii="Aptos" w:hAnsi="Aptos"/>
                <w:sz w:val="19"/>
              </w:rPr>
              <w:t xml:space="preserve">MockCourseProvider</w:t>
            </w:r>
          </w:p>
        </w:tc>
        <w:tc>
          <w:tcPr>
            <w:tcW w:w="3800" w:type="dxa"/>
            <w:shd w:fill="F5F8FA"/>
          </w:tcPr>
          <w:p>
            <w:pPr>
              <w:spacing w:after="0" w:line="240"/>
            </w:pPr>
            <w:r>
              <w:rPr>
                <w:rFonts w:ascii="Aptos" w:hAnsi="Aptos"/>
                <w:sz w:val="19"/>
              </w:rPr>
              <w:t xml:space="preserve">Moodle or Open edX CourseProvider with permitted API access</w:t>
            </w:r>
          </w:p>
        </w:tc>
      </w:tr>
      <w:tr>
        <w:tc>
          <w:tcPr>
            <w:tcW w:w="2200" w:type="dxa"/>
            <w:shd w:fill="FFFFFF"/>
          </w:tcPr>
          <w:p>
            <w:pPr>
              <w:spacing w:after="0" w:line="240"/>
            </w:pPr>
            <w:r>
              <w:rPr>
                <w:rFonts w:ascii="Aptos" w:hAnsi="Aptos"/>
                <w:b/>
                <w:color w:val="15324B"/>
                <w:sz w:val="19"/>
              </w:rPr>
              <w:t xml:space="preserve">Chat</w:t>
            </w:r>
          </w:p>
        </w:tc>
        <w:tc>
          <w:tcPr>
            <w:tcW w:w="3600" w:type="dxa"/>
            <w:shd w:fill="FFFFFF"/>
          </w:tcPr>
          <w:p>
            <w:pPr>
              <w:spacing w:after="0" w:line="240"/>
            </w:pPr>
            <w:r>
              <w:rPr>
                <w:rFonts w:ascii="Aptos" w:hAnsi="Aptos"/>
                <w:sz w:val="19"/>
              </w:rPr>
              <w:t xml:space="preserve">Placeholder mock reply</w:t>
            </w:r>
          </w:p>
        </w:tc>
        <w:tc>
          <w:tcPr>
            <w:tcW w:w="3800" w:type="dxa"/>
            <w:shd w:fill="FFFFFF"/>
          </w:tcPr>
          <w:p>
            <w:pPr>
              <w:spacing w:after="0" w:line="240"/>
            </w:pPr>
            <w:r>
              <w:rPr>
                <w:rFonts w:ascii="Aptos" w:hAnsi="Aptos"/>
                <w:sz w:val="19"/>
              </w:rPr>
              <w:t xml:space="preserve">Student Assist agent with scoped retrieval and policy controls</w:t>
            </w:r>
          </w:p>
        </w:tc>
      </w:tr>
      <w:tr>
        <w:tc>
          <w:tcPr>
            <w:tcW w:w="2200" w:type="dxa"/>
            <w:shd w:fill="F5F8FA"/>
          </w:tcPr>
          <w:p>
            <w:pPr>
              <w:spacing w:after="0" w:line="240"/>
            </w:pPr>
            <w:r>
              <w:rPr>
                <w:rFonts w:ascii="Aptos" w:hAnsi="Aptos"/>
                <w:b/>
                <w:color w:val="15324B"/>
                <w:sz w:val="19"/>
              </w:rPr>
              <w:t xml:space="preserve">Hosting</w:t>
            </w:r>
          </w:p>
        </w:tc>
        <w:tc>
          <w:tcPr>
            <w:tcW w:w="3600" w:type="dxa"/>
            <w:shd w:fill="F5F8FA"/>
          </w:tcPr>
          <w:p>
            <w:pPr>
              <w:spacing w:after="0" w:line="240"/>
            </w:pPr>
            <w:r>
              <w:rPr>
                <w:rFonts w:ascii="Aptos" w:hAnsi="Aptos"/>
                <w:sz w:val="19"/>
              </w:rPr>
              <w:t xml:space="preserve">Local Streamlit and FastAPI</w:t>
            </w:r>
          </w:p>
        </w:tc>
        <w:tc>
          <w:tcPr>
            <w:tcW w:w="3800" w:type="dxa"/>
            <w:shd w:fill="F5F8FA"/>
          </w:tcPr>
          <w:p>
            <w:pPr>
              <w:spacing w:after="0" w:line="240"/>
            </w:pPr>
            <w:r>
              <w:rPr>
                <w:rFonts w:ascii="Aptos" w:hAnsi="Aptos"/>
                <w:sz w:val="19"/>
              </w:rPr>
              <w:t xml:space="preserve">HTTPS deployment, managed secrets, monitoring, scaling and operational ownership</w:t>
            </w:r>
          </w:p>
        </w:tc>
      </w:tr>
    </w:tbl>
    <w:p>
      <w:pPr>
        <w:spacing w:before="0" w:after="6" w:line="276" w:lineRule="auto"/>
      </w:pPr>
      <w:r>
        <w:rPr>
          <w:rFonts w:ascii="Aptos" w:hAnsi="Aptos"/>
        </w:rPr>
        <w:t xml:space="preserve">The sample is a starting point for integration, not a production security certification. Before launch, review the implementation against the selected LMS's LTI conformance requirements, the organization's identity and privacy policies, and the production threat model.</w:t>
      </w:r>
    </w:p>
    <w:sectPr>
      <w:pgSz w:w="12240" w:h="15840"/>
      <w:pgMar w:top="1000" w:right="1100" w:bottom="1000" w:left="1100" w:header="500" w:footer="500" w:gutter="0"/>
    </w:sectPr>
  </w:body>
</w:document>
</file>

<file path=word/styles.xml><?xml version="1.0" encoding="utf-8"?>
<w:styles xmlns:w="http://schemas.openxmlformats.org/wordprocessingml/2006/main">
  <w:docDefaults>
    <w:rPrDefault>
      <w:rPr>
        <w:rFonts w:ascii="Aptos" w:hAnsi="Aptos"/>
        <w:sz w:val="21"/>
        <w:color w:val="263746"/>
      </w:rPr>
    </w:rPrDefault>
    <w:pPrDefault>
      <w:pPr>
        <w:spacing w:after="100" w:line="276" w:lineRule="auto"/>
      </w:pPr>
    </w:pPrDefault>
  </w:docDefaults>
  <w:style w:type="paragraph" w:styleId="Normal">
    <w:name w:val="Normal"/>
    <w:qFormat/>
  </w:style>
  <w:style w:type="paragraph" w:styleId="Title">
    <w:name w:val="Title"/>
    <w:qFormat/>
    <w:pPr>
      <w:keepNext/>
    </w:pPr>
  </w:style>
  <w:style w:type="paragraph" w:styleId="Subtitle">
    <w:name w:val="Subtitle"/>
    <w:qFormat/>
  </w:style>
  <w:style w:type="paragraph" w:styleId="Heading1">
    <w:name w:val="heading 1"/>
    <w:basedOn w:val="Normal"/>
    <w:qFormat/>
    <w:pPr>
      <w:keepNext/>
      <w:spacing w:before="240" w:after="90"/>
    </w:pPr>
  </w:style>
  <w:style w:type="paragraph" w:styleId="Heading2">
    <w:name w:val="heading 2"/>
    <w:basedOn w:val="Normal"/>
    <w:qFormat/>
    <w:pPr>
      <w:keepNext/>
      <w:spacing w:before="160" w:after="60"/>
    </w:pPr>
  </w:style>
  <w:style w:type="paragraph" w:styleId="ListParagraph">
    <w:name w:val="List Paragraph"/>
    <w:basedOn w:val="Normal"/>
    <w:pPr>
      <w:spacing w:after="60"/>
    </w:pPr>
  </w:style>
  <w:style w:type="paragraph" w:styleId="Code">
    <w:name w:val="Code"/>
    <w:basedOn w:val="Normal"/>
    <w:pPr>
      <w:spacing w:after="0"/>
    </w:pPr>
    <w:rPr>
      <w:rFonts w:ascii="Consolas" w:hAnsi="Consolas"/>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Student Assist LTI 1.3 Production Integration Guide</dc:title>
  <dc:subject>Production integration steps for Moodle and Open edX</dc:subject>
  <dc:creator>Student Assist Solution Architecture</dc:creator>
</cp:coreProperties>
</file>