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</w:r>
      <w:r>
        <w:rPr>
          <w:b/>
        </w:rPr>
        <w:t>Draft for owner review (2026-10-29): not yet reviewed by the owner.</w:t>
      </w:r>
      <w:r>
        <w:rPr/>
      </w:r>
    </w:p>
    <w:p>
      <w:pPr>
        <w:pStyle w:val="Title"/>
      </w:pPr>
      <w:r>
        <w:rPr/>
        <w:t>Earnings and implied volatility: an event study</w:t>
      </w:r>
    </w:p>
    <w:p>
      <w:pPr>
        <w:pStyle w:val="Quote"/>
      </w:pPr>
      <w:r>
        <w:rPr/>
      </w:r>
      <w:r>
        <w:rPr>
          <w:b/>
        </w:rPr>
        <w:t>Not investment advice.</w:t>
      </w:r>
      <w:r>
        <w:rPr/>
        <w:t xml:space="preserve"> This report describes how option prices behaved around past earnings announcements of</w:t>
      </w:r>
      <w:r>
        <w:t xml:space="preserve"> </w:t>
      </w:r>
      <w:r>
        <w:rPr/>
        <w:t>50 large US companies. It recommends no trade, no position and no size. It ignores transaction</w:t>
      </w:r>
      <w:r>
        <w:t xml:space="preserve"> </w:t>
      </w:r>
      <w:r>
        <w:rPr/>
        <w:t>costs. Past patterns in implied volatility do not predict future returns.</w:t>
      </w:r>
    </w:p>
    <w:p>
      <w:pPr>
        <w:pStyle w:val="Quote"/>
      </w:pPr>
      <w:r>
        <w:rPr/>
      </w:r>
      <w:r>
        <w:rPr>
          <w:b/>
        </w:rPr>
        <w:t>Every result here is provisional.</w:t>
      </w:r>
      <w:r>
        <w:rPr/>
        <w:t xml:space="preserve"> The session that each announcement reached the option market ("day 0")</w:t>
      </w:r>
      <w:r>
        <w:t xml:space="preserve"> </w:t>
      </w:r>
      <w:r>
        <w:rPr/>
        <w:t>depends on a before-open or after-close label. ADR 0002 requires 473 of these labels to be checked</w:t>
      </w:r>
      <w:r>
        <w:t xml:space="preserve"> </w:t>
      </w:r>
      <w:r>
        <w:rPr/>
        <w:t>against a document. 20 are checked. The other 453 wait for SEC EDGAR filing times, which</w:t>
      </w:r>
      <w:r>
        <w:t xml:space="preserve"> </w:t>
      </w:r>
      <w:r>
        <w:rPr/>
        <w:t>need the owner's contact string before the first request. Until then, those events keep the earnings calendar's</w:t>
      </w:r>
      <w:r>
        <w:t xml:space="preserve"> </w:t>
      </w:r>
      <w:r>
        <w:rPr/>
        <w:t>label, and a few of them may sit on the wrong day 0.</w:t>
      </w:r>
    </w:p>
    <w:p>
      <w:r>
        <w:rPr/>
        <w:t xml:space="preserve">Data: DoltHub </w:t>
      </w:r>
      <w:r>
        <w:rPr>
          <w:rFonts w:ascii="Consolas" w:hAnsi="Consolas"/>
          <w:sz w:val="17"/>
        </w:rPr>
        <w:t>post-no-preference/earnings</w:t>
      </w:r>
      <w:r>
        <w:rPr/>
        <w:t xml:space="preserve"> at </w:t>
      </w:r>
      <w:r>
        <w:rPr>
          <w:rFonts w:ascii="Consolas" w:hAnsi="Consolas"/>
          <w:sz w:val="17"/>
        </w:rPr>
        <w:t>fjrb6h5le9h1qiif2j4pl6cpaas7pnee</w:t>
      </w:r>
      <w:r>
        <w:rPr/>
        <w:t xml:space="preserve"> and </w:t>
      </w:r>
      <w:r>
        <w:rPr>
          <w:rFonts w:ascii="Consolas" w:hAnsi="Consolas"/>
          <w:sz w:val="17"/>
        </w:rPr>
        <w:t>post-no-preference/options</w:t>
      </w:r>
      <w:r>
        <w:rPr/>
        <w:t xml:space="preserve"> at</w:t>
      </w:r>
      <w:r>
        <w:t xml:space="preserve"> </w:t>
      </w:r>
      <w:r>
        <w:rPr>
          <w:rFonts w:ascii="Consolas" w:hAnsi="Consolas"/>
          <w:sz w:val="17"/>
        </w:rPr>
        <w:t>msfqpodh24viv7prdqdan8517rkjp861</w:t>
      </w:r>
      <w:r>
        <w:rPr/>
        <w:t xml:space="preserve">; parameters hash </w:t>
      </w:r>
      <w:r>
        <w:rPr>
          <w:rFonts w:ascii="Consolas" w:hAnsi="Consolas"/>
          <w:sz w:val="17"/>
        </w:rPr>
        <w:t>74bed6f4b1281810</w:t>
      </w:r>
      <w:r>
        <w:rPr/>
        <w:t>; app data contract 0.5.0, exported from</w:t>
      </w:r>
      <w:r>
        <w:t xml:space="preserve"> </w:t>
      </w:r>
      <w:r>
        <w:rPr/>
        <w:t xml:space="preserve">commit </w:t>
      </w:r>
      <w:r>
        <w:rPr>
          <w:rFonts w:ascii="Consolas" w:hAnsi="Consolas"/>
          <w:sz w:val="17"/>
        </w:rPr>
        <w:t>28e06b3</w:t>
      </w:r>
      <w:r>
        <w:rPr/>
        <w:t xml:space="preserve">. Every measured number in this report is filled in by </w:t>
      </w:r>
      <w:r>
        <w:rPr>
          <w:rFonts w:ascii="Consolas" w:hAnsi="Consolas"/>
          <w:sz w:val="17"/>
        </w:rPr>
        <w:t>tools/report_numbers.py</w:t>
      </w:r>
      <w:r>
        <w:rPr/>
        <w:t xml:space="preserve"> from</w:t>
      </w:r>
      <w:r>
        <w:t xml:space="preserve"> </w:t>
      </w:r>
      <w:r>
        <w:rPr>
          <w:rFonts w:ascii="Consolas" w:hAnsi="Consolas"/>
          <w:sz w:val="17"/>
        </w:rPr>
        <w:t>data/derived/results.parquet</w:t>
      </w:r>
      <w:r>
        <w:rPr/>
        <w:t>, the app's JSON files and the kept ρ̄ output (section 8); one count, the</w:t>
      </w:r>
      <w:r>
        <w:t xml:space="preserve"> </w:t>
      </w:r>
      <w:r>
        <w:rPr/>
        <w:t>473 required look-ups, is pinned in that script. Design parameters quoted from the ADRs (window</w:t>
      </w:r>
      <w:r>
        <w:t xml:space="preserve"> </w:t>
      </w:r>
      <w:r>
        <w:rPr/>
        <w:t>lengths, minimum counts) are written by hand.</w:t>
      </w:r>
    </w:p>
    <w:p/>
    <w:p>
      <w:pPr>
        <w:pStyle w:val="Heading1"/>
      </w:pPr>
      <w:r>
        <w:rPr/>
        <w:t>Summary</w:t>
      </w:r>
    </w:p>
    <w:p>
      <w:pPr>
        <w:pStyle w:val="ListBullet"/>
      </w:pPr>
      <w:r>
        <w:rPr/>
      </w:r>
      <w:r>
        <w:rPr>
          <w:b/>
        </w:rPr>
        <w:t>The crush is large and almost universal.</w:t>
      </w:r>
      <w:r>
        <w:rPr/>
        <w:t xml:space="preserve"> From the last close before the news (day −1) to the first close after</w:t>
      </w:r>
      <w:r>
        <w:t xml:space="preserve"> </w:t>
      </w:r>
      <w:r>
        <w:rPr/>
        <w:t>it (day 0), the 30-day implied volatility (IV) falls by 0.199 log points on average, net of the market's</w:t>
      </w:r>
      <w:r>
        <w:t xml:space="preserve"> </w:t>
      </w:r>
      <w:r>
        <w:rPr/>
        <w:t>volatility: about 18.1%. The market-adjusted change is negative in 99.1% of the 347 events. The test that allows</w:t>
      </w:r>
      <w:r>
        <w:t xml:space="preserve"> </w:t>
      </w:r>
      <w:r>
        <w:rPr/>
        <w:t>for events on the same date and for one company's events being alike gives p = 5.8e−23 (Holm 4.1e−22).</w:t>
      </w:r>
    </w:p>
    <w:p>
      <w:pPr>
        <w:pStyle w:val="ListBullet"/>
      </w:pPr>
      <w:r>
        <w:rPr/>
      </w:r>
      <w:r>
        <w:rPr>
          <w:b/>
        </w:rPr>
        <w:t>The crush is the event leaving the 30-day horizon.</w:t>
      </w:r>
      <w:r>
        <w:rPr/>
        <w:t xml:space="preserve"> Ordinary volatility (σ_d, the volatility outside the event</w:t>
      </w:r>
      <w:r>
        <w:t xml:space="preserve"> </w:t>
      </w:r>
      <w:r>
        <w:rPr/>
        <w:t>day) does not change measurably (+0.003 log points, p = 0.782), and IV is back at its baseline ten sessions</w:t>
      </w:r>
      <w:r>
        <w:t xml:space="preserve"> </w:t>
      </w:r>
      <w:r>
        <w:rPr/>
        <w:t>later (+0.008, p = 0.743).</w:t>
      </w:r>
    </w:p>
    <w:p>
      <w:pPr>
        <w:pStyle w:val="ListBullet"/>
      </w:pPr>
      <w:r>
        <w:rPr/>
      </w:r>
      <w:r>
        <w:rPr>
          <w:b/>
        </w:rPr>
        <w:t>IV is high before the news.</w:t>
      </w:r>
      <w:r>
        <w:rPr/>
        <w:t xml:space="preserve"> At day −1 the 30-day IV sits +0.232 log points above its own quiet baseline. The</w:t>
      </w:r>
      <w:r>
        <w:t xml:space="preserve"> </w:t>
      </w:r>
      <w:r>
        <w:rPr/>
        <w:t>direction is not in doubt. Whether it passes the multiple-testing correction depends on how many earnings seasons the</w:t>
      </w:r>
      <w:r>
        <w:t xml:space="preserve"> </w:t>
      </w:r>
      <w:r>
        <w:rPr/>
        <w:t>sample is cut into (section 4.3).</w:t>
      </w:r>
    </w:p>
    <w:p>
      <w:pPr>
        <w:pStyle w:val="ListBullet"/>
      </w:pPr>
      <w:r>
        <w:rPr/>
      </w:r>
      <w:r>
        <w:rPr>
          <w:b/>
        </w:rPr>
        <w:t>The options priced the earnings-day move about right on average.</w:t>
      </w:r>
      <w:r>
        <w:rPr/>
        <w:t xml:space="preserve"> The realised squared move is 0.77 times the</w:t>
      </w:r>
      <w:r>
        <w:t xml:space="preserve"> </w:t>
      </w:r>
      <w:r>
        <w:rPr/>
        <w:t>implied variance (95% interval [0.46, 1.07], so 1 is inside). 40.1% of the moves were larger than the</w:t>
      </w:r>
      <w:r>
        <w:t xml:space="preserve"> </w:t>
      </w:r>
      <w:r>
        <w:rPr/>
        <w:t>expected move, against the 42.5% that fair pricing of a normal move gives.</w:t>
      </w:r>
    </w:p>
    <w:p>
      <w:pPr>
        <w:pStyle w:val="ListBullet"/>
      </w:pPr>
      <w:r>
        <w:rPr/>
      </w:r>
      <w:r>
        <w:rPr>
          <w:b/>
        </w:rPr>
        <w:t>Neither the earnings surprise nor the prior volatility level explains the size of the crush in a way that</w:t>
      </w:r>
      <w:r>
        <w:t xml:space="preserve"> </w:t>
      </w:r>
      <w:r>
        <w:rPr>
          <w:b/>
        </w:rPr>
        <w:t>survives the checks.</w:t>
      </w:r>
      <w:r>
        <w:rPr/>
        <w:t xml:space="preserve"> The statistics for these driver tests are liberal at this design (they reject 9.55%,</w:t>
      </w:r>
      <w:r>
        <w:t xml:space="preserve"> </w:t>
      </w:r>
      <w:r>
        <w:rPr/>
        <w:t>8.10% and 16.15% of the time under a true null at 5%), and none is rejected.</w:t>
      </w:r>
    </w:p>
    <w:p/>
    <w:p>
      <w:pPr>
        <w:pStyle w:val="Heading1"/>
      </w:pPr>
      <w:r>
        <w:rPr/>
        <w:t>1. The question</w:t>
      </w:r>
    </w:p>
    <w:p>
      <w:r>
        <w:rPr/>
        <w:t>A stock's implied volatility usually rises before an earnings announcement and falls once the news is out. Traders</w:t>
      </w:r>
      <w:r>
        <w:t xml:space="preserve"> </w:t>
      </w:r>
      <w:r>
        <w:rPr/>
        <w:t>call the fall the IV crush. This study measures five things for large US companies:</w:t>
      </w:r>
    </w:p>
    <w:p>
      <w:pPr>
        <w:ind w:left="397" w:hanging="283"/>
      </w:pPr>
      <w:r>
        <w:t xml:space="preserve">1. </w:t>
      </w:r>
      <w:r>
        <w:rPr/>
        <w:t>Does IV run up before the announcement? (H2)</w:t>
      </w:r>
    </w:p>
    <w:p>
      <w:pPr>
        <w:ind w:left="397" w:hanging="283"/>
      </w:pPr>
      <w:r>
        <w:t xml:space="preserve">2. </w:t>
      </w:r>
      <w:r>
        <w:rPr/>
        <w:t>How large is the crush from day −1 to day 0? (H1)</w:t>
      </w:r>
    </w:p>
    <w:p>
      <w:pPr>
        <w:ind w:left="397" w:hanging="283"/>
      </w:pPr>
      <w:r>
        <w:t xml:space="preserve">3. </w:t>
      </w:r>
      <w:r>
        <w:rPr/>
        <w:t>Is IV back at its baseline ten sessions later? (H3)</w:t>
      </w:r>
    </w:p>
    <w:p>
      <w:pPr>
        <w:ind w:left="397" w:hanging="283"/>
      </w:pPr>
      <w:r>
        <w:t xml:space="preserve">4. </w:t>
      </w:r>
      <w:r>
        <w:rPr/>
        <w:t>Does ordinary volatility change across the event? (H4)</w:t>
      </w:r>
    </w:p>
    <w:p>
      <w:pPr>
        <w:ind w:left="397" w:hanging="283"/>
      </w:pPr>
      <w:r>
        <w:t xml:space="preserve">5. </w:t>
      </w:r>
      <w:r>
        <w:rPr/>
        <w:t>What changes the size of the crush (H5: the earnings surprise; H6: the prior volatility level), and did the</w:t>
      </w:r>
      <w:r>
        <w:t xml:space="preserve"> </w:t>
      </w:r>
      <w:r>
        <w:rPr/>
        <w:t>options price the earnings-day move correctly (H7)?</w:t>
      </w:r>
    </w:p>
    <w:p>
      <w:r>
        <w:rPr/>
        <w:t>The seven hypotheses were declared in ADR 0005 before any data was seen. They are corrected together for multiple</w:t>
      </w:r>
      <w:r>
        <w:t xml:space="preserve"> </w:t>
      </w:r>
      <w:r>
        <w:rPr/>
        <w:t>testing (Holm, 7 hypotheses). Everything else in this report is labelled robustness or exploratory.</w:t>
      </w:r>
    </w:p>
    <w:p>
      <w:pPr>
        <w:pStyle w:val="Heading1"/>
      </w:pPr>
      <w:r>
        <w:rPr/>
        <w:t>2. Data and the sample funnel</w:t>
      </w:r>
    </w:p>
    <w:p>
      <w:r>
        <w:rPr/>
      </w:r>
      <w:r>
        <w:rPr>
          <w:b/>
        </w:rPr>
        <w:t>Sources.</w:t>
      </w:r>
      <w:r>
        <w:rPr/>
        <w:t xml:space="preserve"> The earnings calendar (with before-open and after-close labels) and the EPS history come from DoltHub's</w:t>
      </w:r>
      <w:r>
        <w:t xml:space="preserve"> </w:t>
      </w:r>
      <w:r>
        <w:rPr/>
        <w:t xml:space="preserve">open </w:t>
      </w:r>
      <w:r>
        <w:rPr>
          <w:rFonts w:ascii="Consolas" w:hAnsi="Consolas"/>
          <w:sz w:val="17"/>
        </w:rPr>
        <w:t>post-no-preference/earnings</w:t>
      </w:r>
      <w:r>
        <w:rPr/>
        <w:t xml:space="preserve"> dataset. The option chains come from DoltHub's </w:t>
      </w:r>
      <w:r>
        <w:rPr>
          <w:rFonts w:ascii="Consolas" w:hAnsi="Consolas"/>
          <w:sz w:val="17"/>
        </w:rPr>
        <w:t>post-no-preference/options</w:t>
      </w:r>
      <w:r>
        <w:rPr/>
        <w:t>. Both</w:t>
      </w:r>
      <w:r>
        <w:t xml:space="preserve"> </w:t>
      </w:r>
      <w:r>
        <w:rPr/>
        <w:t>are CC BY-SA 4.0. Company names and GICS sectors come from Wikipedia's list of S&amp;P 500 companies. The risk-free rate is</w:t>
      </w:r>
      <w:r>
        <w:t xml:space="preserve"> </w:t>
      </w:r>
      <w:r>
        <w:rPr/>
        <w:t>FRED's 3-month Treasury bill (</w:t>
      </w:r>
      <w:r>
        <w:rPr>
          <w:rFonts w:ascii="Consolas" w:hAnsi="Consolas"/>
          <w:sz w:val="17"/>
        </w:rPr>
        <w:t>DTB3</w:t>
      </w:r>
      <w:r>
        <w:rPr/>
        <w:t xml:space="preserve">). The market adjustment uses the VIX close (FRED </w:t>
      </w:r>
      <w:r>
        <w:rPr>
          <w:rFonts w:ascii="Consolas" w:hAnsi="Consolas"/>
          <w:sz w:val="17"/>
        </w:rPr>
        <w:t>VIXCLS</w:t>
      </w:r>
      <w:r>
        <w:rPr/>
        <w:t>, a Cboe index); only</w:t>
      </w:r>
      <w:r>
        <w:t xml:space="preserve"> </w:t>
      </w:r>
      <w:r>
        <w:rPr/>
        <w:t>aggregates of VIX-adjusted values are published. Yahoo Finance prices are used locally for the size regressor and a</w:t>
      </w:r>
      <w:r>
        <w:t xml:space="preserve"> </w:t>
      </w:r>
      <w:r>
        <w:rPr/>
        <w:t xml:space="preserve">timing diagnostic. </w:t>
      </w:r>
      <w:r>
        <w:rPr>
          <w:color w:val="0B5CAD"/>
        </w:rPr>
        <w:t>DATA.md</w:t>
      </w:r>
      <w:r>
        <w:rPr/>
        <w:t xml:space="preserve"> gives each source's terms.</w:t>
      </w:r>
    </w:p>
    <w:p>
      <w:r>
        <w:rPr/>
      </w:r>
      <w:r>
        <w:rPr>
          <w:b/>
        </w:rPr>
        <w:t>Universe.</w:t>
      </w:r>
      <w:r>
        <w:rPr/>
        <w:t xml:space="preserve"> Today's 50 largest S&amp;P 500 members by market capitalisation. This has survivorship</w:t>
      </w:r>
      <w:r>
        <w:t xml:space="preserve"> </w:t>
      </w:r>
      <w:r>
        <w:rPr/>
        <w:t>bias: companies that shrank or left the index since 2020 are missing.</w:t>
      </w:r>
    </w:p>
    <w:p>
      <w:r>
        <w:rPr/>
      </w:r>
      <w:r>
        <w:rPr>
          <w:b/>
        </w:rPr>
        <w:t>The daily sample.</w:t>
      </w:r>
      <w:r>
        <w:rPr/>
        <w:t xml:space="preserve"> DoltHub's option snapshots are daily only from September 2024 (weekly, then Monday, Wednesday</w:t>
      </w:r>
      <w:r>
        <w:t xml:space="preserve"> </w:t>
      </w:r>
      <w:r>
        <w:rPr/>
        <w:t>and Friday, before that). The baseline needs 60 sessions before day 0, so the primary sample's day-0 window runs from</w:t>
      </w:r>
      <w:r>
        <w:t xml:space="preserve"> </w:t>
      </w:r>
      <w:r>
        <w:rPr/>
        <w:t>2024-12-05 to 2026-10-26; its 347 events have day 0 from 2024-12-10 to</w:t>
      </w:r>
      <w:r>
        <w:t xml:space="preserve"> </w:t>
      </w:r>
      <w:r>
        <w:rPr/>
        <w:t>2026-10-22. The older coarse snapshots form a lower-resolution robustness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jc w:val="left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b/>
                <w:sz w:val="16"/>
              </w:rPr>
              <w:t>Events left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b/>
                <w:sz w:val="16"/>
              </w:rPr>
              <w:t>Removed</w:t>
            </w:r>
          </w:p>
        </w:tc>
        <w:tc>
          <w:tcPr>
            <w:tcW w:type="dxa" w:w="2466"/>
          </w:tcPr>
          <w:p>
            <w:pPr>
              <w:jc w:val="left"/>
            </w:pPr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Calendar events of the 50 companies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1,353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–</w:t>
            </w:r>
          </w:p>
        </w:tc>
        <w:tc>
          <w:tcPr>
            <w:tcW w:type="dxa" w:w="2466"/>
          </w:tcPr>
          <w:p>
            <w:pPr>
              <w:jc w:val="left"/>
            </w:pPr>
          </w:p>
        </w:tc>
      </w:tr>
      <w:tr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One row per release, and day 0 can be placed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1,320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33</w:t>
            </w:r>
          </w:p>
        </w:tc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duplicate rows, timing not placeable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Day 0 in the daily range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366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954</w:t>
            </w:r>
          </w:p>
        </w:tc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outside 2024-12-05 to 2026-10-26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Option snapshots on day −1 and day 0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356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10</w:t>
            </w:r>
          </w:p>
        </w:tc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a missing snapshot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A 30-day IV on day −1 and day 0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353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3</w:t>
            </w:r>
          </w:p>
        </w:tc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no 30-day IV</w:t>
            </w:r>
          </w:p>
        </w:tc>
      </w:tr>
      <w:tr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At least 20 clean baseline sessions and 15 changes</w:t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347</w:t>
            </w:r>
            <w:r>
              <w:rPr>
                <w:sz w:val="16"/>
              </w:rPr>
            </w:r>
          </w:p>
        </w:tc>
        <w:tc>
          <w:tcPr>
            <w:tcW w:type="dxa" w:w="2466"/>
          </w:tcPr>
          <w:p>
            <w:pPr>
              <w:jc w:val="right"/>
            </w:pPr>
            <w:r>
              <w:rPr>
                <w:sz w:val="16"/>
              </w:rPr>
              <w:t>6</w:t>
            </w:r>
          </w:p>
        </w:tc>
        <w:tc>
          <w:tcPr>
            <w:tcW w:type="dxa" w:w="2466"/>
          </w:tcPr>
          <w:p>
            <w:pPr>
              <w:jc w:val="left"/>
            </w:pPr>
            <w:r>
              <w:rPr>
                <w:sz w:val="16"/>
              </w:rPr>
              <w:t>short baseline</w:t>
            </w:r>
          </w:p>
        </w:tc>
      </w:tr>
    </w:tbl>
    <w:p/>
    <w:p>
      <w:r>
        <w:rPr/>
        <w:t>The 1,353 calendar events split into 368 daily-era, 49 mixed-era,</w:t>
      </w:r>
      <w:r>
        <w:t xml:space="preserve"> </w:t>
      </w:r>
      <w:r>
        <w:rPr/>
        <w:t>868 coarse-era and 68 outside every sample's date range. Each hypothesis then has its own eligibility</w:t>
      </w:r>
      <w:r>
        <w:t xml:space="preserve"> </w:t>
      </w:r>
      <w:r>
        <w:rPr/>
        <w:t xml:space="preserve">rules, so its event count (the </w:t>
      </w:r>
      <w:r>
        <w:rPr>
          <w:rFonts w:ascii="Consolas" w:hAnsi="Consolas"/>
          <w:sz w:val="17"/>
        </w:rPr>
        <w:t>n</w:t>
      </w:r>
      <w:r>
        <w:rPr/>
        <w:t xml:space="preserve"> in section 4) differs a little from 347.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2854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5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The sample funnel, as the app draws it from sample_funnel.json</w:t>
      </w:r>
    </w:p>
    <w:p>
      <w:r>
        <w:rPr/>
      </w:r>
      <w:r>
        <w:rPr>
          <w:b/>
        </w:rPr>
        <w:t>Timing labels.</w:t>
      </w:r>
      <w:r>
        <w:rPr/>
        <w:t xml:space="preserve"> 20 labels were checked against press releases (16 confirmed,</w:t>
      </w:r>
      <w:r>
        <w:t xml:space="preserve"> </w:t>
      </w:r>
      <w:r>
        <w:rPr/>
        <w:t>2 corrected, 1 with a corrected date and 1 inferred).</w:t>
      </w:r>
      <w:r>
        <w:t xml:space="preserve"> </w:t>
      </w:r>
      <w:r>
        <w:rPr/>
        <w:t>1,333 events keep the calendar's label. A wrong label puts the crush on the wrong day, which makes a</w:t>
      </w:r>
      <w:r>
        <w:t xml:space="preserve"> </w:t>
      </w:r>
      <w:r>
        <w:rPr/>
        <w:t>crush look smaller and a run-up look longer.</w:t>
      </w:r>
    </w:p>
    <w:p>
      <w:pPr>
        <w:pStyle w:val="Heading1"/>
      </w:pPr>
      <w:r>
        <w:rPr/>
        <w:t>3. Method</w:t>
      </w:r>
    </w:p>
    <w:p>
      <w:pPr>
        <w:pStyle w:val="Heading2"/>
      </w:pPr>
      <w:r>
        <w:rPr/>
        <w:t>3.1 Day 0</w:t>
      </w:r>
    </w:p>
    <w:p>
      <w:r>
        <w:rPr/>
        <w:t>Day 0 is the first session close after the news reaches the market: the announcement day for a before-open report,</w:t>
      </w:r>
      <w:r>
        <w:t xml:space="preserve"> </w:t>
      </w:r>
      <w:r>
        <w:rPr/>
        <w:t>the next session for an after-close one (</w:t>
      </w:r>
      <w:r>
        <w:rPr>
          <w:color w:val="0B5CAD"/>
        </w:rPr>
        <w:t>ADR 0002</w:t>
      </w:r>
      <w:r>
        <w:rPr/>
        <w:t>). The label comes from a</w:t>
      </w:r>
      <w:r>
        <w:t xml:space="preserve"> </w:t>
      </w:r>
      <w:r>
        <w:rPr/>
        <w:t>document, never from the size of the stock's move: a price-gap rule would fix the labels of big movers and leave the</w:t>
      </w:r>
      <w:r>
        <w:t xml:space="preserve"> </w:t>
      </w:r>
      <w:r>
        <w:rPr/>
        <w:t>quiet events wrong. Time is counted in NYSE sessions.</w:t>
      </w:r>
    </w:p>
    <w:p>
      <w:pPr>
        <w:pStyle w:val="Heading2"/>
      </w:pPr>
      <w:r>
        <w:rPr/>
        <w:t>3.2 IV measures</w:t>
      </w:r>
    </w:p>
    <w:p>
      <w:r>
        <w:rPr/>
        <w:t>Every IV is recomputed from bid/ask mid prices with Black-76 on the forward price implied by put-call parity, so no</w:t>
      </w:r>
      <w:r>
        <w:t xml:space="preserve"> </w:t>
      </w:r>
      <w:r>
        <w:rPr/>
        <w:t>spot price, dividend or snapshot time is needed (</w:t>
      </w:r>
      <w:r>
        <w:rPr>
          <w:color w:val="0B5CAD"/>
        </w:rPr>
        <w:t>ADR 0003</w:t>
      </w:r>
      <w:r>
        <w:rPr/>
        <w:t>). The stored quantity is the</w:t>
      </w:r>
      <w:r>
        <w:t xml:space="preserve"> </w:t>
      </w:r>
      <w:r>
        <w:rPr/>
        <w:t>at-the-money total variance w = σ²T of each expiry. From it:</w:t>
      </w:r>
    </w:p>
    <w:p>
      <w:pPr>
        <w:pStyle w:val="ListBullet"/>
      </w:pPr>
      <w:r>
        <w:rPr/>
      </w:r>
      <w:r>
        <w:rPr>
          <w:b/>
        </w:rPr>
        <w:t>The 30-day IV</w:t>
      </w:r>
      <w:r>
        <w:rPr/>
        <w:t xml:space="preserve"> (the primary series): constant maturity of 21 sessions, interpolated only</w:t>
      </w:r>
      <w:r>
        <w:t xml:space="preserve"> </w:t>
      </w:r>
      <w:r>
        <w:rPr/>
        <w:t>between expiries on the same side of the event, so it never borrows event variance from an expiry on the wrong side.</w:t>
      </w:r>
      <w:r>
        <w:t xml:space="preserve"> </w:t>
      </w:r>
      <w:r>
        <w:rPr/>
        <w:t>The vendor's chain lists only a few expiries, so the weekly expiry right after an announcement is usually absent.</w:t>
      </w:r>
    </w:p>
    <w:p>
      <w:pPr>
        <w:pStyle w:val="ListBullet"/>
      </w:pPr>
      <w:r>
        <w:rPr/>
      </w:r>
      <w:r>
        <w:rPr>
          <w:b/>
        </w:rPr>
        <w:t>The front-expiry IV</w:t>
      </w:r>
      <w:r>
        <w:rPr/>
        <w:t>: the first listed expiry after the event, followed through the window (exploratory).</w:t>
      </w:r>
    </w:p>
    <w:p>
      <w:pPr>
        <w:pStyle w:val="Heading2"/>
      </w:pPr>
      <w:r>
        <w:rPr/>
        <w:t>3.3 Event variance and the implied move</w:t>
      </w:r>
    </w:p>
    <w:p>
      <w:r>
        <w:rPr/>
        <w:t>For two expiries that both span the event, w_j = σ_d² τ_j + E, where τ_j is the time to expiry in sessions, σ_d² the</w:t>
      </w:r>
      <w:r>
        <w:t xml:space="preserve"> </w:t>
      </w:r>
      <w:r>
        <w:rPr/>
        <w:t>ordinary variance per session and E the extra variance of the event day. Two expiries give both unknowns: σ_d² is the</w:t>
      </w:r>
      <w:r>
        <w:t xml:space="preserve"> </w:t>
      </w:r>
      <w:r>
        <w:rPr/>
        <w:t xml:space="preserve">forward variance between them, and E = w₁ − σ_d² τ₁. The </w:t>
      </w:r>
      <w:r>
        <w:rPr>
          <w:b/>
        </w:rPr>
        <w:t>implied move</w:t>
      </w:r>
      <w:r>
        <w:rPr/>
        <w:t xml:space="preserve"> is √E, the standard deviation of the</w:t>
      </w:r>
      <w:r>
        <w:t xml:space="preserve"> </w:t>
      </w:r>
      <w:r>
        <w:rPr/>
        <w:t>earnings-day move that the options price. E is read at day −1. Its median over the 343 events with E &gt; 0 is</w:t>
      </w:r>
      <w:r>
        <w:t xml:space="preserve"> </w:t>
      </w:r>
      <w:r>
        <w:rPr/>
        <w:t>a move of 6.5% (10% of events below 3.3%, 10% above 11.1%). 4</w:t>
      </w:r>
      <w:r>
        <w:t xml:space="preserve"> </w:t>
      </w:r>
      <w:r>
        <w:rPr/>
        <w:t>of the 347 primary events have E ≤ 0 and no implied move.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28892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implied-mo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89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The implied move √E at day −1 (iv_measures.json)</w:t>
      </w:r>
    </w:p>
    <w:p>
      <w:pPr>
        <w:pStyle w:val="Heading2"/>
      </w:pPr>
      <w:r>
        <w:rPr/>
        <w:t>3.4 Abnormal IV</w:t>
      </w:r>
    </w:p>
    <w:p>
      <w:r>
        <w:rPr/>
        <w:t>Abnormal IV is log IV against the event's own quiet baseline (</w:t>
      </w:r>
      <w:r>
        <w:rPr>
          <w:color w:val="0B5CAD"/>
        </w:rPr>
        <w:t>ADR 0004</w:t>
      </w:r>
      <w:r>
        <w:rPr/>
        <w:t>):</w:t>
      </w:r>
    </w:p>
    <w:p>
      <w:pPr>
        <w:pStyle w:val="ListBullet"/>
      </w:pPr>
      <w:r>
        <w:rPr/>
        <w:t xml:space="preserve">The </w:t>
      </w:r>
      <w:r>
        <w:rPr>
          <w:b/>
        </w:rPr>
        <w:t>baseline</w:t>
      </w:r>
      <w:r>
        <w:rPr/>
        <w:t xml:space="preserve"> is sessions [−60, −22] before day 0, minus every session within [−21, +10] of another</w:t>
      </w:r>
      <w:r>
        <w:t xml:space="preserve"> </w:t>
      </w:r>
      <w:r>
        <w:rPr/>
        <w:t>announcement by the same company. It must keep at least 20 clean sessions. It ends at −22 because from −21 on the</w:t>
      </w:r>
      <w:r>
        <w:t xml:space="preserve"> </w:t>
      </w:r>
      <w:r>
        <w:rPr/>
        <w:t>30-day horizon already contains day 0.</w:t>
      </w:r>
    </w:p>
    <w:p>
      <w:pPr>
        <w:pStyle w:val="ListBullet"/>
      </w:pPr>
      <w:r>
        <w:rPr/>
        <w:t xml:space="preserve">The </w:t>
      </w:r>
      <w:r>
        <w:rPr>
          <w:b/>
        </w:rPr>
        <w:t>market adjustment</w:t>
      </w:r>
      <w:r>
        <w:rPr/>
        <w:t xml:space="preserve"> removes β × the change in ln VIX, with β estimated for each company from its pooled clean</w:t>
      </w:r>
      <w:r>
        <w:t xml:space="preserve"> </w:t>
      </w:r>
      <w:r>
        <w:rPr/>
        <w:t>baseline changes. A mean-adjusted twin (no VIX) is kept as a check.</w:t>
      </w:r>
    </w:p>
    <w:p>
      <w:pPr>
        <w:pStyle w:val="ListBullet"/>
      </w:pPr>
      <w:r>
        <w:rPr/>
        <w:t>The tested quantities are levels and one-session changes in log points, not cumulated abnormal IV: IV is a level, so</w:t>
      </w:r>
      <w:r>
        <w:t xml:space="preserve"> </w:t>
      </w:r>
      <w:r>
        <w:rPr/>
        <w:t>summing abnormal levels counts one persistent shift many times. RUNUP is the abnormal level at day −1, CRUSH the</w:t>
      </w:r>
      <w:r>
        <w:t xml:space="preserve"> </w:t>
      </w:r>
      <w:r>
        <w:rPr/>
        <w:t>abnormal change from day −1 to day 0, PERSIST_10 the abnormal level at day +10, ΔSIGMA_D the abnormal change in ln σ_d</w:t>
      </w:r>
      <w:r>
        <w:t xml:space="preserve"> </w:t>
      </w:r>
      <w:r>
        <w:rPr/>
        <w:t>from day −1 to day 0. The event window is [−10, +10].</w:t>
      </w:r>
    </w:p>
    <w:p>
      <w:pPr>
        <w:pStyle w:val="Heading2"/>
      </w:pPr>
      <w:r>
        <w:rPr/>
        <w:t>3.5 The test suite</w:t>
      </w:r>
    </w:p>
    <w:p>
      <w:r>
        <w:rPr/>
        <w:t>Events are not independent. Many companies report in the same weeks, so one market move hits many events at once, and</w:t>
      </w:r>
      <w:r>
        <w:t xml:space="preserve"> </w:t>
      </w:r>
      <w:r>
        <w:rPr/>
        <w:t xml:space="preserve">one company's events resemble each other. The </w:t>
      </w:r>
      <w:r>
        <w:rPr>
          <w:b/>
        </w:rPr>
        <w:t>primary statistic</w:t>
      </w:r>
      <w:r>
        <w:rPr/>
        <w:t xml:space="preserve"> is a t-test of the equal-weighted mean with</w:t>
      </w:r>
      <w:r>
        <w:t xml:space="preserve"> </w:t>
      </w:r>
      <w:r>
        <w:rPr/>
        <w:t>two-way cluster-robust standard errors (</w:t>
      </w:r>
      <w:r>
        <w:rPr>
          <w:color w:val="0B5CAD"/>
        </w:rPr>
        <w:t>ADR 0005</w:t>
      </w:r>
      <w:r>
        <w:rPr/>
        <w:t>):</w:t>
      </w:r>
    </w:p>
    <w:p>
      <w:pPr>
        <w:pStyle w:val="ListBullet"/>
      </w:pPr>
      <w:r>
        <w:rPr/>
        <w:t>for the one-session measures (CRUSH, ΔSIGMA_D): clusters by day-0 date and by company;</w:t>
      </w:r>
    </w:p>
    <w:p>
      <w:pPr>
        <w:pStyle w:val="ListBullet"/>
      </w:pPr>
      <w:r>
        <w:rPr/>
        <w:t>for the multi-week measures (RUNUP, PERSIST_10): clusters by earnings season and by company;</w:t>
      </w:r>
    </w:p>
    <w:p>
      <w:pPr>
        <w:pStyle w:val="ListBullet"/>
      </w:pPr>
      <w:r>
        <w:rPr/>
        <w:t>t on min(G) − 1 degrees of freedom; when the seasons are very unbalanced, a randomisation (Rademacher) p-value by</w:t>
      </w:r>
      <w:r>
        <w:t xml:space="preserve"> </w:t>
      </w:r>
      <w:r>
        <w:rPr/>
        <w:t>season replaces the t, as the ADR declared in advance.</w:t>
      </w:r>
    </w:p>
    <w:p>
      <w:r>
        <w:rPr/>
        <w:t>The drivers (H5, H6) are coefficients in a regression of CRUSH on z-scored regressors: |surprise| (the EPS surprise</w:t>
      </w:r>
      <w:r>
        <w:t xml:space="preserve"> </w:t>
      </w:r>
      <w:r>
        <w:rPr/>
        <w:t>over the option forward price), ln σ_d at day −1, the term-structure slope at day −1 and size (ln market cap), with</w:t>
      </w:r>
      <w:r>
        <w:t xml:space="preserve"> </w:t>
      </w:r>
      <w:r>
        <w:rPr/>
        <w:t>sector and season fixed effects. H7 regresses the squared realised move r₀² on the implied variance E + σ_d²/252</w:t>
      </w:r>
      <w:r>
        <w:t xml:space="preserve"> </w:t>
      </w:r>
      <w:r>
        <w:rPr/>
        <w:t>(σ_d annualised) and tests a = 0 and b = 1 jointly. Both use two-way clustering by day-0 date and company.</w:t>
      </w:r>
    </w:p>
    <w:p>
      <w:r>
        <w:rPr/>
      </w:r>
      <w:r>
        <w:rPr>
          <w:b/>
        </w:rPr>
        <w:t>Robustness rows</w:t>
      </w:r>
      <w:r>
        <w:rPr/>
        <w:t xml:space="preserve"> (one-way clustering, BMP, Kolari-Pynnönen, Patell, sign and rank tests, mean-adjusted twins) are</w:t>
      </w:r>
      <w:r>
        <w:t xml:space="preserve"> </w:t>
      </w:r>
      <w:r>
        <w:rPr/>
        <w:t xml:space="preserve">reported but never decide a hypothesis. </w:t>
      </w:r>
      <w:r>
        <w:rPr>
          <w:b/>
        </w:rPr>
        <w:t>Holm</w:t>
      </w:r>
      <w:r>
        <w:rPr/>
        <w:t xml:space="preserve"> corrects the seven primaries together; </w:t>
      </w:r>
      <w:r>
        <w:rPr>
          <w:b/>
        </w:rPr>
        <w:t>Benjamini-Hochberg</w:t>
      </w:r>
      <w:r>
        <w:rPr/>
        <w:t xml:space="preserve"> gives</w:t>
      </w:r>
      <w:r>
        <w:t xml:space="preserve"> </w:t>
      </w:r>
      <w:r>
        <w:rPr/>
        <w:t>q-values within each family of exploratory rows.</w:t>
      </w:r>
    </w:p>
    <w:p>
      <w:pPr>
        <w:pStyle w:val="Heading2"/>
      </w:pPr>
      <w:r>
        <w:rPr/>
        <w:t>3.6 Gate G1: checking the tests before trusting them</w:t>
      </w:r>
    </w:p>
    <w:p>
      <w:r>
        <w:rPr/>
        <w:t xml:space="preserve">A test at 5% should reject a true null 5% of the time. Gate G1 checks this on the real event structure </w:t>
      </w:r>
      <w:r>
        <w:rPr>
          <w:b/>
        </w:rPr>
        <w:t>before the</w:t>
      </w:r>
      <w:r>
        <w:t xml:space="preserve"> </w:t>
      </w:r>
      <w:r>
        <w:rPr>
          <w:b/>
        </w:rPr>
        <w:t>results run</w:t>
      </w:r>
      <w:r>
        <w:rPr/>
        <w:t>: the results run refuses to start without the gate's report, and the milestone pages record that each</w:t>
      </w:r>
      <w:r>
        <w:t xml:space="preserve"> </w:t>
      </w:r>
      <w:r>
        <w:rPr/>
        <w:t>gate ran before its hypotheses' results (an order the files themselves cannot prove). It simulates 2,000 null data sets per design with the real dates, companies, gaps and</w:t>
      </w:r>
      <w:r>
        <w:t xml:space="preserve"> </w:t>
      </w:r>
      <w:r>
        <w:rPr/>
        <w:t>baselines, re-estimates every input with the package's own code, and counts how often each statistic rejects. A</w:t>
      </w:r>
      <w:r>
        <w:t xml:space="preserve"> </w:t>
      </w:r>
      <w:r>
        <w:rPr/>
        <w:t>statistic passes when its rate is at most 6.30%, the top of the exact 99% binomial band</w:t>
      </w:r>
      <w:r>
        <w:t xml:space="preserve"> </w:t>
      </w:r>
      <w:r>
        <w:rPr/>
        <w:t>[3.80%, 6.30%] for 2,000 replications.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left"/>
            </w:pP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H1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H2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H3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H4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H5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H6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H7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Primary rejects under the null (target 5%)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4.60%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0.40%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0.50%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4.60%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9.55%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8.10%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16.15%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Verdict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pass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pass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pass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pass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fail</w:t>
            </w:r>
            <w:r>
              <w:rPr>
                <w:sz w:val="16"/>
              </w:rPr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fail</w:t>
            </w:r>
            <w:r>
              <w:rPr>
                <w:sz w:val="16"/>
              </w:rPr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fail</w:t>
            </w:r>
            <w:r>
              <w:rPr>
                <w:sz w:val="16"/>
              </w:rPr>
            </w:r>
          </w:p>
        </w:tc>
      </w:tr>
    </w:tbl>
    <w:p/>
    <w:p>
      <w:r>
        <w:rPr/>
        <w:t xml:space="preserve">H1–H4 pass (H2 and H3 are conservative). </w:t>
      </w:r>
      <w:r>
        <w:rPr>
          <w:b/>
        </w:rPr>
        <w:t>H5–H7 fail: their statistics are liberal at this design</w:t>
      </w:r>
      <w:r>
        <w:rPr/>
        <w:t>, so a rejection</w:t>
      </w:r>
      <w:r>
        <w:t xml:space="preserve"> </w:t>
      </w:r>
      <w:r>
        <w:rPr/>
        <w:t>by them would not be trusted. They stay in the declared Holm family with their real p-values (section 4.1). A</w:t>
      </w:r>
      <w:r>
        <w:t xml:space="preserve"> </w:t>
      </w:r>
      <w:r>
        <w:rPr/>
        <w:t>robustness row that G1 finds oversized keeps its estimate and loses its p-value: 14 rows are withheld this</w:t>
      </w:r>
      <w:r>
        <w:t xml:space="preserve"> </w:t>
      </w:r>
      <w:r>
        <w:rPr/>
        <w:t xml:space="preserve">way (H1: </w:t>
      </w:r>
      <w:r>
        <w:rPr>
          <w:rFonts w:ascii="Consolas" w:hAnsi="Consolas"/>
          <w:sz w:val="17"/>
        </w:rPr>
        <w:t>bmp_t</w:t>
      </w:r>
      <w:r>
        <w:rPr/>
        <w:t xml:space="preserve">, </w:t>
      </w:r>
      <w:r>
        <w:rPr>
          <w:rFonts w:ascii="Consolas" w:hAnsi="Consolas"/>
          <w:sz w:val="17"/>
        </w:rPr>
        <w:t>cluster_date_t</w:t>
      </w:r>
      <w:r>
        <w:rPr/>
        <w:t xml:space="preserve">, </w:t>
      </w:r>
      <w:r>
        <w:rPr>
          <w:rFonts w:ascii="Consolas" w:hAnsi="Consolas"/>
          <w:sz w:val="17"/>
        </w:rPr>
        <w:t>gen_sign_z</w:t>
      </w:r>
      <w:r>
        <w:rPr/>
        <w:t xml:space="preserve">, </w:t>
      </w:r>
      <w:r>
        <w:rPr>
          <w:rFonts w:ascii="Consolas" w:hAnsi="Consolas"/>
          <w:sz w:val="17"/>
        </w:rPr>
        <w:t>kp_ow_t</w:t>
      </w:r>
      <w:r>
        <w:rPr/>
        <w:t xml:space="preserve">, </w:t>
      </w:r>
      <w:r>
        <w:rPr>
          <w:rFonts w:ascii="Consolas" w:hAnsi="Consolas"/>
          <w:sz w:val="17"/>
        </w:rPr>
        <w:t>kpp_t</w:t>
      </w:r>
      <w:r>
        <w:rPr/>
        <w:t xml:space="preserve">, </w:t>
      </w:r>
      <w:r>
        <w:rPr>
          <w:rFonts w:ascii="Consolas" w:hAnsi="Consolas"/>
          <w:sz w:val="17"/>
        </w:rPr>
        <w:t>patell_z</w:t>
      </w:r>
      <w:r>
        <w:rPr/>
        <w:t xml:space="preserve">, </w:t>
      </w:r>
      <w:r>
        <w:rPr>
          <w:rFonts w:ascii="Consolas" w:hAnsi="Consolas"/>
          <w:sz w:val="17"/>
        </w:rPr>
        <w:t>rank_t</w:t>
      </w:r>
      <w:r>
        <w:rPr/>
        <w:t xml:space="preserve">; H4: </w:t>
      </w:r>
      <w:r>
        <w:rPr>
          <w:rFonts w:ascii="Consolas" w:hAnsi="Consolas"/>
          <w:sz w:val="17"/>
        </w:rPr>
        <w:t>gen_sign_z</w:t>
      </w:r>
      <w:r>
        <w:rPr/>
        <w:t xml:space="preserve">, </w:t>
      </w:r>
      <w:r>
        <w:rPr>
          <w:rFonts w:ascii="Consolas" w:hAnsi="Consolas"/>
          <w:sz w:val="17"/>
        </w:rPr>
        <w:t>rank_t</w:t>
      </w:r>
      <w:r>
        <w:rPr/>
        <w:t xml:space="preserve">; H5: </w:t>
      </w:r>
      <w:r>
        <w:rPr>
          <w:rFonts w:ascii="Consolas" w:hAnsi="Consolas"/>
          <w:sz w:val="17"/>
        </w:rPr>
        <w:t>cluster_date_t</w:t>
      </w:r>
      <w:r>
        <w:rPr/>
        <w:t xml:space="preserve">, </w:t>
      </w:r>
      <w:r>
        <w:rPr>
          <w:rFonts w:ascii="Consolas" w:hAnsi="Consolas"/>
          <w:sz w:val="17"/>
        </w:rPr>
        <w:t>twoway_date_t</w:t>
      </w:r>
      <w:r>
        <w:rPr/>
        <w:t xml:space="preserve"> (mean-adjusted twin); H6: </w:t>
      </w:r>
      <w:r>
        <w:rPr>
          <w:rFonts w:ascii="Consolas" w:hAnsi="Consolas"/>
          <w:sz w:val="17"/>
        </w:rPr>
        <w:t>cluster_date_t</w:t>
      </w:r>
      <w:r>
        <w:rPr/>
        <w:t xml:space="preserve">, </w:t>
      </w:r>
      <w:r>
        <w:rPr>
          <w:rFonts w:ascii="Consolas" w:hAnsi="Consolas"/>
          <w:sz w:val="17"/>
        </w:rPr>
        <w:t>twoway_date_t</w:t>
      </w:r>
      <w:r>
        <w:rPr/>
        <w:t xml:space="preserve"> (mean-adjusted twin); H7: </w:t>
      </w:r>
      <w:r>
        <w:rPr>
          <w:rFonts w:ascii="Consolas" w:hAnsi="Consolas"/>
          <w:sz w:val="17"/>
        </w:rPr>
        <w:t>cluster_date_wald</w:t>
      </w:r>
      <w:r>
        <w:rPr/>
        <w:t>).</w:t>
      </w:r>
    </w:p>
    <w:p>
      <w:pPr>
        <w:pStyle w:val="Heading1"/>
      </w:pPr>
      <w:r>
        <w:rPr/>
        <w:t>4. Results</w:t>
      </w:r>
    </w:p>
    <w:p>
      <w:pPr>
        <w:pStyle w:val="Heading2"/>
      </w:pPr>
      <w:r>
        <w:rPr/>
        <w:t>4.1 The seven hypotheses</w:t>
      </w:r>
    </w:p>
    <w:p>
      <w:r>
        <w:rPr/>
        <w:t>Daily sample, market-adjusted, equal-weighted means (H1–H4) and two-way clustered regressions (H5–H7). Estimates are</w:t>
      </w:r>
      <w:r>
        <w:t xml:space="preserve"> </w:t>
      </w:r>
      <w:r>
        <w:rPr/>
        <w:t>in log points; H5 and H6 are log points of crush per standard deviation of the regressor.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</w:tcPr>
          <w:p>
            <w:pPr>
              <w:jc w:val="left"/>
            </w:pP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Estimate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b/>
                <w:sz w:val="16"/>
              </w:rPr>
              <w:t>95% interval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p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G1 size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b/>
                <w:sz w:val="16"/>
              </w:rPr>
              <w:t>Holm p (H1–H7, binding)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H1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Does the 30-day IV fall from day −1 to day 0?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347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−0.199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[−0.222, −0.177]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5.8e−23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4.60%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4.1e−22</w:t>
            </w:r>
            <w:r>
              <w:rPr>
                <w:sz w:val="16"/>
              </w:rPr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H2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Is IV abnormally high at day −1?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356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+0.232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–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0.0078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0.40%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0.0469</w:t>
            </w:r>
            <w:r>
              <w:rPr>
                <w:sz w:val="16"/>
              </w:rPr>
              <w:t xml:space="preserve"> (G = 7: 0.0781)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H3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Is IV back at its baseline at day +10?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329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+0.008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[−0.049, 0.065]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0.743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0.50%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H4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Does ordinary volatility change?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262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+0.003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[−0.019, 0.026]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0.782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4.60%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H5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Does a bigger surprise change the crush?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347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+0.013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[0.003, 0.023]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0.0102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9.55%</w:t>
            </w:r>
            <w:r>
              <w:rPr>
                <w:sz w:val="16"/>
              </w:rPr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0.0511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H6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Does the prior volatility level change it?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347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−0.001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[−0.023, 0.020]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0.895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8.10%</w:t>
            </w:r>
            <w:r>
              <w:rPr>
                <w:sz w:val="16"/>
              </w:rPr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H7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Is the implied variance unbiased (a = 0, b = 1)?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336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b = 0.77</w:t>
            </w:r>
          </w:p>
        </w:tc>
        <w:tc>
          <w:tcPr>
            <w:tcW w:type="dxa" w:w="1233"/>
          </w:tcPr>
          <w:p>
            <w:pPr>
              <w:jc w:val="left"/>
            </w:pPr>
            <w:r>
              <w:rPr>
                <w:sz w:val="16"/>
              </w:rPr>
              <w:t>[0.46, 1.07] (b)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0.275</w:t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16.15%</w:t>
            </w:r>
            <w:r>
              <w:rPr>
                <w:sz w:val="16"/>
              </w:rPr>
            </w:r>
          </w:p>
        </w:tc>
        <w:tc>
          <w:tcPr>
            <w:tcW w:type="dxa" w:w="1233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</w:tr>
    </w:tbl>
    <w:p/>
    <w:p>
      <w:r>
        <w:rPr/>
      </w:r>
      <w:r>
        <w:rPr>
          <w:b/>
        </w:rPr>
        <w:t>Rejected at 5% after Holm: H1 and H2.</w:t>
      </w:r>
      <w:r>
        <w:rPr/>
        <w:t xml:space="preserve"> H2's verdict depends on the season count (section 4.3). H3–H7 are not</w:t>
      </w:r>
      <w:r>
        <w:t xml:space="preserve"> </w:t>
      </w:r>
      <w:r>
        <w:rPr/>
        <w:t>rejected. Bold G1 sizes failed the gate.</w:t>
      </w:r>
    </w:p>
    <w:p>
      <w:r>
        <w:rPr/>
      </w:r>
      <w:r>
        <w:rPr>
          <w:b/>
        </w:rPr>
        <w:t>Which Holm family binds is an open owner decision.</w:t>
      </w:r>
      <w:r>
        <w:rPr/>
        <w:t xml:space="preserve"> The binding family is the one declared at milestone 0, H1–H7.</w:t>
      </w:r>
      <w:r>
        <w:t xml:space="preserve"> </w:t>
      </w:r>
      <w:r>
        <w:rPr/>
        <w:t>A descriptive sensitivity drops the three hypotheses whose size check failed and corrects over H1–H4 only: H1</w:t>
      </w:r>
      <w:r>
        <w:t xml:space="preserve"> </w:t>
      </w:r>
      <w:r>
        <w:rPr/>
        <w:t>2.3e−22, H2 0.0234, and H2 with 7 seasons 0.0469, which would be rejected.</w:t>
      </w:r>
      <w:r>
        <w:t xml:space="preserve"> </w:t>
      </w:r>
      <w:r>
        <w:rPr/>
        <w:t>Dropping hypotheses after seeing their size check can only lower the others' Holm p, so it is not used as binding</w:t>
      </w:r>
      <w:r>
        <w:t xml:space="preserve"> </w:t>
      </w:r>
      <w:r>
        <w:rPr/>
        <w:t>here (milestone 4, decisions table row 24).</w:t>
      </w:r>
    </w:p>
    <w:p>
      <w:pPr>
        <w:pStyle w:val="Heading2"/>
      </w:pPr>
      <w:r>
        <w:rPr/>
        <w:t>4.2 H1: the crush</w:t>
      </w:r>
    </w:p>
    <w:p>
      <w:r>
        <w:rPr/>
        <w:t>The 30-day IV falls by 0.1994 log points from day −1 to day 0 (se 0.0112, t = −17.73 on 49 df,</w:t>
      </w:r>
      <w:r>
        <w:t xml:space="preserve"> </w:t>
      </w:r>
      <w:r>
        <w:rPr/>
        <w:t>172 day-0 dates and 50 companies). The mean-adjusted twin, with no VIX adjustment, is −0.201.</w:t>
      </w:r>
      <w:r>
        <w:t xml:space="preserve"> </w:t>
      </w:r>
      <w:r>
        <w:rPr/>
        <w:t>The median log change of the 30-day IV with no VIX adjustment (the mean-adjusted crush, which for one session is the</w:t>
      </w:r>
      <w:r>
        <w:t xml:space="preserve"> </w:t>
      </w:r>
      <w:r>
        <w:rPr/>
        <w:t>plain change of ln IV) is −0.189; 10% of events are below −0.343 and 10% above</w:t>
      </w:r>
      <w:r>
        <w:t xml:space="preserve"> </w:t>
      </w:r>
      <w:r>
        <w:rPr/>
        <w:t>−0.063.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2467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rush-histo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467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The distribution of the crush (iv_measures.json)</w:t>
      </w:r>
    </w:p>
    <w:p>
      <w:r>
        <w:rPr/>
        <w:t>The crush is larger for after-close reporters (−0.230, n = 182) than for before-open ones</w:t>
      </w:r>
      <w:r>
        <w:t xml:space="preserve"> </w:t>
      </w:r>
      <w:r>
        <w:rPr/>
        <w:t>(−0.165, n = 165); this split is exploratory. The front-expiry IV, which holds a larger share of event</w:t>
      </w:r>
      <w:r>
        <w:t xml:space="preserve"> </w:t>
      </w:r>
      <w:r>
        <w:rPr/>
        <w:t>variance, falls by 0.299 (mean-adjusted, n = 264). The older samples agree in sign and size:</w:t>
      </w:r>
      <w:r>
        <w:t xml:space="preserve"> </w:t>
      </w:r>
      <w:r>
        <w:rPr/>
        <w:t>−0.250 in the mixed era (n = 33) and −0.190 in the coarse era (n = 110,</w:t>
      </w:r>
      <w:r>
        <w:t xml:space="preserve"> </w:t>
      </w:r>
      <w:r>
        <w:rPr/>
        <w:t>where the crush can span two sessions), both exploratory.</w:t>
      </w:r>
    </w:p>
    <w:p>
      <w:pPr>
        <w:pStyle w:val="Heading2"/>
      </w:pPr>
      <w:r>
        <w:rPr/>
        <w:t>4.3 H2: the run-up, and its season-count dependence</w:t>
      </w:r>
    </w:p>
    <w:p>
      <w:r>
        <w:rPr/>
        <w:t>At day −1 the abnormal 30-day IV is +0.2319 log points. The primary statistic is the randomisation p-value by</w:t>
      </w:r>
      <w:r>
        <w:t xml:space="preserve"> </w:t>
      </w:r>
      <w:r>
        <w:rPr/>
        <w:t>season, because the 8 seasons are unbalanced. With 8 seasons and every season mean on the</w:t>
      </w:r>
      <w:r>
        <w:t xml:space="preserve"> </w:t>
      </w:r>
      <w:r>
        <w:rPr/>
        <w:t>same side, the p-value sits on its floor 2/2^8 = 0.0078, and Holm's multiplier for the second-smallest</w:t>
      </w:r>
      <w:r>
        <w:t xml:space="preserve"> </w:t>
      </w:r>
      <w:r>
        <w:rPr/>
        <w:t xml:space="preserve">p gives </w:t>
      </w:r>
      <w:r>
        <w:rPr>
          <w:b/>
        </w:rPr>
        <w:t>0.0469</w:t>
      </w:r>
      <w:r>
        <w:rPr/>
        <w:t>: rejected.</w:t>
      </w:r>
    </w:p>
    <w:p>
      <w:r>
        <w:rPr/>
      </w:r>
      <w:r>
        <w:rPr>
          <w:b/>
        </w:rPr>
        <w:t>This verdict is a property of the season count, not of the data's strength.</w:t>
      </w:r>
      <w:r>
        <w:rPr/>
        <w:t xml:space="preserve"> ADR 0005 expected the October 2026</w:t>
      </w:r>
      <w:r>
        <w:t xml:space="preserve"> </w:t>
      </w:r>
      <w:r>
        <w:rPr/>
        <w:t>tail to be merged into July, which gives 7 seasons. Then the floor is 0.0156 and the Holm p is</w:t>
      </w:r>
      <w:r>
        <w:t xml:space="preserve"> </w:t>
      </w:r>
      <w:r>
        <w:rPr/>
      </w:r>
      <w:r>
        <w:rPr>
          <w:b/>
        </w:rPr>
        <w:t>0.0781: not rejected</w:t>
      </w:r>
      <w:r>
        <w:rPr/>
        <w:t>. The direction is not in doubt: the two-way season × company t, a robustness row,</w:t>
      </w:r>
      <w:r>
        <w:t xml:space="preserve"> </w:t>
      </w:r>
      <w:r>
        <w:rPr/>
        <w:t>is 13.43 (p 3.0e−6), and every season mean is positive (milestone 3 §6.2).</w:t>
      </w:r>
    </w:p>
    <w:p>
      <w:r>
        <w:rPr/>
        <w:t>The mean path shows where the run-up sits. The abnormal IV is already +0.239 [0.197, 0.280] at day −10 and</w:t>
      </w:r>
      <w:r>
        <w:t xml:space="preserve"> </w:t>
      </w:r>
      <w:r>
        <w:rPr/>
        <w:t>+0.232 [0.191, 0.274] at day −1: the 30-day IV holds the event from day −21 on, and the last ten sessions add</w:t>
      </w:r>
      <w:r>
        <w:t xml:space="preserve"> </w:t>
      </w:r>
      <w:r>
        <w:rPr/>
        <w:t>nothing on average. After-close reporters run higher at day −1 (+0.270) than before-open ones</w:t>
      </w:r>
      <w:r>
        <w:t xml:space="preserve"> </w:t>
      </w:r>
      <w:r>
        <w:rPr/>
        <w:t>(+0.191).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894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mean-pa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894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The mean abnormal path with its 95% band (event_paths.json, market-adjusted aggregate)</w:t>
      </w:r>
    </w:p>
    <w:p>
      <w:pPr>
        <w:pStyle w:val="Heading2"/>
      </w:pPr>
      <w:r>
        <w:rPr/>
        <w:t>4.4 H3 and H4: what is left after the event</w:t>
      </w:r>
    </w:p>
    <w:p>
      <w:r>
        <w:rPr/>
        <w:t>At day +10 the abnormal IV is +0.0080 (interval [−0.049, 0.065], 7 seasons, 6 df). The path is</w:t>
      </w:r>
      <w:r>
        <w:t xml:space="preserve"> </w:t>
      </w:r>
      <w:r>
        <w:rPr/>
        <w:t>+0.033 at day 0, +0.012 at day +1, +0.002 at day +5 and +0.007 at day +10. Under the calibrated</w:t>
      </w:r>
      <w:r>
        <w:t xml:space="preserve"> </w:t>
      </w:r>
      <w:r>
        <w:rPr/>
        <w:t>design the test detects a persistence of 0.121 log points 80% of the time, so a smaller lasting effect could</w:t>
      </w:r>
      <w:r>
        <w:t xml:space="preserve"> </w:t>
      </w:r>
      <w:r>
        <w:rPr/>
        <w:t>go undetected.</w:t>
      </w:r>
    </w:p>
    <w:p>
      <w:r>
        <w:rPr/>
        <w:t>Ordinary volatility changes by +0.0031 log points (interval [−0.019, 0.026], n = 262); the test has 80% power at</w:t>
      </w:r>
      <w:r>
        <w:t xml:space="preserve"> </w:t>
      </w:r>
      <w:r>
        <w:rPr/>
        <w:t>0.036 log points. So the crush is the event variance leaving the 30-day horizon, not the market becoming calmer about the</w:t>
      </w:r>
      <w:r>
        <w:t xml:space="preserve"> </w:t>
      </w:r>
      <w:r>
        <w:rPr/>
        <w:t>stock.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93123" cy="43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3123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Abnormal log IV by company and event day (heatmap.json; mean-adjusted, descriptive)</w:t>
      </w:r>
    </w:p>
    <w:p>
      <w:pPr>
        <w:pStyle w:val="Heading2"/>
      </w:pPr>
      <w:r>
        <w:rPr/>
        <w:t>4.5 H5–H7: the drivers, with liberal statistics</w:t>
      </w:r>
    </w:p>
    <w:p>
      <w:r>
        <w:rPr/>
        <w:t>The crush regression has R² 0.427 on 347 events. A positive coefficient means a smaller fall.</w:t>
      </w:r>
    </w:p>
    <w:p>
      <w:pPr>
        <w:pStyle w:val="ListBullet"/>
      </w:pPr>
      <w:r>
        <w:rPr/>
      </w:r>
      <w:r>
        <w:rPr>
          <w:b/>
        </w:rPr>
        <w:t>H5, the surprise:</w:t>
      </w:r>
      <w:r>
        <w:rPr/>
        <w:t xml:space="preserve"> +0.0132 per sd (interval [0.003, 0.023], p 0.0102, Holm 0.0511): a bigger surprise</w:t>
      </w:r>
      <w:r>
        <w:t xml:space="preserve"> </w:t>
      </w:r>
      <w:r>
        <w:rPr/>
        <w:t>goes with a slightly smaller crush. The statistic rejects 9.55% of the time under the null, so the p is weaker</w:t>
      </w:r>
      <w:r>
        <w:t xml:space="preserve"> </w:t>
      </w:r>
      <w:r>
        <w:rPr/>
        <w:t>than it looks, and Holm does not reject. The effect does not survive other surprise measures: with the surprise</w:t>
      </w:r>
      <w:r>
        <w:t xml:space="preserve"> </w:t>
      </w:r>
      <w:r>
        <w:rPr/>
        <w:t>scaled by its own history it is +0.002 (q 0.750), with analyst dispersion +0.003</w:t>
      </w:r>
      <w:r>
        <w:t xml:space="preserve"> </w:t>
      </w:r>
      <w:r>
        <w:rPr/>
        <w:t>(q 0.773), and with company fixed effects +0.008 (q 0.587).</w:t>
      </w:r>
    </w:p>
    <w:p>
      <w:pPr>
        <w:pStyle w:val="ListBullet"/>
      </w:pPr>
      <w:r>
        <w:rPr/>
      </w:r>
      <w:r>
        <w:rPr>
          <w:b/>
        </w:rPr>
        <w:t>H6, the prior volatility level:</w:t>
      </w:r>
      <w:r>
        <w:rPr/>
        <w:t xml:space="preserve"> −0.0014 per sd (interval [−0.023, 0.020], p 0.895): no measurable effect.</w:t>
      </w:r>
    </w:p>
    <w:p>
      <w:pPr>
        <w:pStyle w:val="ListBullet"/>
      </w:pPr>
      <w:r>
        <w:rPr/>
      </w:r>
      <w:r>
        <w:rPr>
          <w:b/>
        </w:rPr>
        <w:t>The slope (exploratory):</w:t>
      </w:r>
      <w:r>
        <w:rPr/>
        <w:t xml:space="preserve"> a steeper term structure at day −1 goes with a larger crush, −0.032 per sd</w:t>
      </w:r>
      <w:r>
        <w:t xml:space="preserve"> </w:t>
      </w:r>
      <w:r>
        <w:rPr/>
        <w:t>(p 3.9e−5, q 0.0006). That is expected and partly mechanical: the slope proxies the event's share of the</w:t>
      </w:r>
      <w:r>
        <w:t xml:space="preserve"> </w:t>
      </w:r>
      <w:r>
        <w:rPr/>
        <w:t>30-day variance. Its p and q come from the same two-way t that G1 found liberal for H5 and H6; G1 never sized the</w:t>
      </w:r>
      <w:r>
        <w:t xml:space="preserve"> </w:t>
      </w:r>
      <w:r>
        <w:rPr/>
        <w:t>slope's own coefficient, so read it as an indication, not a test at 5%.</w:t>
      </w:r>
    </w:p>
    <w:p>
      <w:pPr>
        <w:pStyle w:val="ListBullet"/>
      </w:pPr>
      <w:r>
        <w:rPr/>
      </w:r>
      <w:r>
        <w:rPr>
          <w:b/>
        </w:rPr>
        <w:t>Size (exploratory):</w:t>
      </w:r>
      <w:r>
        <w:rPr/>
        <w:t xml:space="preserve"> +0.013 per sd (q 0.177).</w:t>
      </w:r>
    </w:p>
    <w:p>
      <w:r>
        <w:rPr/>
        <w:t>Power, from G1's calibrated design: H5's test detects 0.026 log points per sd 80% of the time, H6's</w:t>
      </w:r>
      <w:r>
        <w:t xml:space="preserve"> </w:t>
      </w:r>
      <w:r>
        <w:rPr/>
        <w:t>0.042. These powers belong to oversized tests.</w:t>
      </w:r>
    </w:p>
    <w:p>
      <w:pPr>
        <w:pStyle w:val="Heading1"/>
      </w:pPr>
      <w:r>
        <w:rPr/>
        <w:t>5. Implied against realised moves</w:t>
      </w:r>
    </w:p>
    <w:p>
      <w:r>
        <w:rPr/>
        <w:t>On day −1 the options price the event variance E and the ordinary variance σ_d²/252 of one session. If the day-0 move</w:t>
      </w:r>
      <w:r>
        <w:t xml:space="preserve"> </w:t>
      </w:r>
      <w:r>
        <w:rPr/>
        <w:t>is normal with that variance, its expected absolute size is √(2/π)·√(E + σ_d²/252), and fair pricing exceeds it</w:t>
      </w:r>
      <w:r>
        <w:t xml:space="preserve"> </w:t>
      </w:r>
      <w:r>
        <w:rPr/>
        <w:t>42.5% of the time, not 50%. The realised move r₀ is the change of the option-implied forward from day −1 to</w:t>
      </w:r>
      <w:r>
        <w:t xml:space="preserve"> </w:t>
      </w:r>
      <w:r>
        <w:rPr/>
        <w:t>day 0, on the same expiry both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jc w:val="left"/>
            </w:pPr>
            <w:r>
              <w:rPr>
                <w:b/>
                <w:sz w:val="16"/>
              </w:rPr>
              <w:t>Measure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Events (E, σ_d and r₀ all present)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336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Events with E &gt; 0, so with an expected move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332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Median expected |move|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5.4%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Median realised |move| (all 336 events)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4.4%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Median ratio realised / expected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0.82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Share of moves beyond the expected |move| (fair: 42.5%)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40.1% (p 0.319)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Mean r₀² over mean implied variance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0.90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H7 regression r₀² = a + b(E + σ_d²/252): b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0.767, interval [0.46, 1.07]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H7 joint test a = 0, b = 1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F(2, 49) = 1.33, p 0.275, Holm 1</w:t>
            </w:r>
          </w:p>
        </w:tc>
      </w:tr>
      <w:tr>
        <w:tc>
          <w:tcPr>
            <w:tcW w:type="dxa" w:w="4933"/>
          </w:tcPr>
          <w:p>
            <w:pPr>
              <w:jc w:val="left"/>
            </w:pPr>
            <w:r>
              <w:rPr>
                <w:sz w:val="16"/>
              </w:rPr>
              <w:t>The same with E read at day −2 (n = 331): b; joint p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6"/>
              </w:rPr>
              <w:t>0.92; 0.822</w:t>
            </w:r>
          </w:p>
        </w:tc>
      </w:tr>
    </w:tbl>
    <w:p/>
    <w:p>
      <w:r>
        <w:rPr/>
        <w:t>The typical realised move is smaller than the expected one (median ratio 0.82), but the mean squared</w:t>
      </w:r>
      <w:r>
        <w:t xml:space="preserve"> </w:t>
      </w:r>
      <w:r>
        <w:rPr/>
        <w:t>move is 0.90 of the mean implied variance, so large moves weigh heavily in the average. On variance the</w:t>
      </w:r>
      <w:r>
        <w:t xml:space="preserve"> </w:t>
      </w:r>
      <w:r>
        <w:rPr/>
        <w:t>options are close to unbiased: b = 0.77 with 1 inside its interval, and the share of moves beyond the expected size</w:t>
      </w:r>
      <w:r>
        <w:t xml:space="preserve"> </w:t>
      </w:r>
      <w:r>
        <w:rPr/>
        <w:t>(40.1%) is close to the fair 42.5%. With E read one session</w:t>
      </w:r>
      <w:r>
        <w:t xml:space="preserve"> </w:t>
      </w:r>
      <w:r>
        <w:rPr/>
        <w:t>earlier, b is 0.92: day −1 quotes are often wide on after-close announcement days, which may inflate E a little.</w:t>
      </w:r>
      <w:r>
        <w:t xml:space="preserve"> </w:t>
      </w:r>
      <w:r>
        <w:rPr/>
        <w:t>The joint test's G1 size is 16.15%, so even a rejection would not have been trusted; the b and share rows come from</w:t>
      </w:r>
      <w:r>
        <w:t xml:space="preserve"> </w:t>
      </w:r>
      <w:r>
        <w:rPr/>
        <w:t>the same kind of two-way statistic.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03873" cy="43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implied-realis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3873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Expected against realised move, one dot per event (implied_vs_realised.json)</w:t>
      </w:r>
    </w:p>
    <w:p>
      <w:pPr>
        <w:pStyle w:val="Heading1"/>
      </w:pPr>
      <w:r>
        <w:rPr/>
        <w:t>6. Trading implications: observations and their limits</w:t>
      </w:r>
    </w:p>
    <w:p>
      <w:r>
        <w:rPr/>
      </w:r>
      <w:r>
        <w:rPr>
          <w:b/>
        </w:rPr>
        <w:t>This section is not investment advice.</w:t>
      </w:r>
      <w:r>
        <w:rPr/>
        <w:t xml:space="preserve"> It gives no recommendation, no position and no size. It says what the</w:t>
      </w:r>
      <w:r>
        <w:t xml:space="preserve"> </w:t>
      </w:r>
      <w:r>
        <w:rPr/>
        <w:t>measured numbers describe about the past, and what they cannot say.</w:t>
      </w:r>
    </w:p>
    <w:p>
      <w:r>
        <w:rPr/>
      </w:r>
      <w:r>
        <w:rPr>
          <w:b/>
        </w:rPr>
        <w:t>What the numbers describe.</w:t>
      </w:r>
      <w:r>
        <w:rPr/>
      </w:r>
    </w:p>
    <w:p>
      <w:pPr>
        <w:ind w:left="397" w:hanging="283"/>
      </w:pPr>
      <w:r>
        <w:t xml:space="preserve">1. </w:t>
      </w:r>
      <w:r>
        <w:rPr/>
      </w:r>
      <w:r>
        <w:rPr>
          <w:b/>
        </w:rPr>
        <w:t>The IV fall was near-universal in direction in this sample.</w:t>
      </w:r>
      <w:r>
        <w:rPr/>
        <w:t xml:space="preserve"> In this sample the market-adjusted 30-day IV</w:t>
      </w:r>
      <w:r>
        <w:t xml:space="preserve"> </w:t>
      </w:r>
      <w:r>
        <w:rPr/>
        <w:t>fell from day −1 to day 0 in 99.1% of events, by 0.199 log points on average. But the fall is the</w:t>
      </w:r>
      <w:r>
        <w:t xml:space="preserve"> </w:t>
      </w:r>
      <w:r>
        <w:rPr/>
        <w:t>event variance leaving the horizon (H4: ordinary volatility unchanged), and the term structure showed that variance</w:t>
      </w:r>
      <w:r>
        <w:t xml:space="preserve"> </w:t>
      </w:r>
      <w:r>
        <w:rPr/>
        <w:t>in advance: E is read from it at day −1. A falling</w:t>
      </w:r>
      <w:r>
        <w:t xml:space="preserve"> </w:t>
      </w:r>
      <w:r>
        <w:rPr/>
        <w:t>IV is not by itself a gain for anyone short options: that position's result depends on the realised move against</w:t>
      </w:r>
      <w:r>
        <w:t xml:space="preserve"> </w:t>
      </w:r>
      <w:r>
        <w:rPr/>
        <w:t>the implied one, plus costs.</w:t>
      </w:r>
    </w:p>
    <w:p>
      <w:pPr>
        <w:ind w:left="397" w:hanging="283"/>
      </w:pPr>
      <w:r>
        <w:t xml:space="preserve">2. </w:t>
      </w:r>
      <w:r>
        <w:rPr/>
      </w:r>
      <w:r>
        <w:rPr>
          <w:b/>
        </w:rPr>
        <w:t>On average the options priced the move about right.</w:t>
      </w:r>
      <w:r>
        <w:rPr/>
        <w:t xml:space="preserve"> b = 0.77 [0.46, 1.07], 40.1% of moves beyond the</w:t>
      </w:r>
      <w:r>
        <w:t xml:space="preserve"> </w:t>
      </w:r>
      <w:r>
        <w:rPr/>
        <w:t>expected size against 42.5% for fair pricing. The data show no reliable average over- or</w:t>
      </w:r>
      <w:r>
        <w:t xml:space="preserve"> </w:t>
      </w:r>
      <w:r>
        <w:rPr/>
        <w:t>under-pricing of the earnings-day move in this sample. The typical move was smaller than expected</w:t>
      </w:r>
      <w:r>
        <w:t xml:space="preserve"> </w:t>
      </w:r>
      <w:r>
        <w:rPr/>
        <w:t>(median ratio 0.82), while the mean squared move was 0.90 of the mean implied variance.</w:t>
      </w:r>
    </w:p>
    <w:p>
      <w:pPr>
        <w:ind w:left="397" w:hanging="283"/>
      </w:pPr>
      <w:r>
        <w:t xml:space="preserve">3. </w:t>
      </w:r>
      <w:r>
        <w:rPr/>
      </w:r>
      <w:r>
        <w:rPr>
          <w:b/>
        </w:rPr>
        <w:t>The run-up is in place ten sessions early.</w:t>
      </w:r>
      <w:r>
        <w:rPr/>
        <w:t xml:space="preserve"> The 30-day IV already holds the event from 21 sessions before</w:t>
      </w:r>
      <w:r>
        <w:t xml:space="preserve"> </w:t>
      </w:r>
      <w:r>
        <w:rPr/>
        <w:t>day 0; the abnormal level at day −10 (+0.239) and at day −1 (+0.232) are about the same on average.</w:t>
      </w:r>
    </w:p>
    <w:p>
      <w:pPr>
        <w:ind w:left="397" w:hanging="283"/>
      </w:pPr>
      <w:r>
        <w:t xml:space="preserve">4. </w:t>
      </w:r>
      <w:r>
        <w:rPr/>
      </w:r>
      <w:r>
        <w:rPr>
          <w:b/>
        </w:rPr>
        <w:t>A steeper term structure went with a larger crush</w:t>
      </w:r>
      <w:r>
        <w:rPr/>
        <w:t xml:space="preserve"> (−0.032 per sd). This is exploratory, partly</w:t>
      </w:r>
      <w:r>
        <w:t xml:space="preserve"> </w:t>
      </w:r>
      <w:r>
        <w:rPr/>
        <w:t>mechanical, and from a statistic that is liberal at this design.</w:t>
      </w:r>
    </w:p>
    <w:p>
      <w:pPr>
        <w:ind w:left="397" w:hanging="283"/>
      </w:pPr>
      <w:r>
        <w:t xml:space="preserve">5. </w:t>
      </w:r>
      <w:r>
        <w:rPr/>
      </w:r>
      <w:r>
        <w:rPr>
          <w:b/>
        </w:rPr>
        <w:t>The surprise does not reliably size the crush</w:t>
      </w:r>
      <w:r>
        <w:rPr/>
        <w:t>, and the surprise is unknown before the event anyway.</w:t>
      </w:r>
    </w:p>
    <w:p>
      <w:r>
        <w:rPr/>
      </w:r>
      <w:r>
        <w:rPr>
          <w:b/>
        </w:rPr>
        <w:t>What they cannot say.</w:t>
      </w:r>
      <w:r>
        <w:rPr/>
      </w:r>
    </w:p>
    <w:p>
      <w:pPr>
        <w:pStyle w:val="ListBullet"/>
      </w:pPr>
      <w:r>
        <w:rPr/>
      </w:r>
      <w:r>
        <w:rPr>
          <w:b/>
        </w:rPr>
        <w:t>Nothing about profit.</w:t>
      </w:r>
      <w:r>
        <w:rPr/>
        <w:t xml:space="preserve"> There are no bid-ask spreads, commissions, margin, slippage or position limits here. Day −1</w:t>
      </w:r>
      <w:r>
        <w:t xml:space="preserve"> </w:t>
      </w:r>
      <w:r>
        <w:rPr/>
        <w:t>quotes on after-close days are often wide. A cost-aware test belongs to the sibling project</w:t>
      </w:r>
      <w:r>
        <w:t xml:space="preserve"> </w:t>
      </w:r>
      <w:r>
        <w:rPr>
          <w:rFonts w:ascii="Consolas" w:hAnsi="Consolas"/>
          <w:sz w:val="17"/>
        </w:rPr>
        <w:t>vol-strategy-backtester</w:t>
      </w:r>
      <w:r>
        <w:rPr/>
        <w:t>.</w:t>
      </w:r>
    </w:p>
    <w:p>
      <w:pPr>
        <w:pStyle w:val="ListBullet"/>
      </w:pPr>
      <w:r>
        <w:rPr/>
      </w:r>
      <w:r>
        <w:rPr>
          <w:b/>
        </w:rPr>
        <w:t>Nothing intraday.</w:t>
      </w:r>
      <w:r>
        <w:rPr/>
        <w:t xml:space="preserve"> The data are daily closes, so they cannot say when during day 0 the IV falls or how the stock</w:t>
      </w:r>
      <w:r>
        <w:t xml:space="preserve"> </w:t>
      </w:r>
      <w:r>
        <w:rPr/>
        <w:t>moves on the way.</w:t>
      </w:r>
    </w:p>
    <w:p>
      <w:pPr>
        <w:pStyle w:val="ListBullet"/>
      </w:pPr>
      <w:r>
        <w:rPr/>
      </w:r>
      <w:r>
        <w:rPr>
          <w:b/>
        </w:rPr>
        <w:t>A narrow, survivor sample.</w:t>
      </w:r>
      <w:r>
        <w:rPr/>
        <w:t xml:space="preserve"> 50 of today's largest S&amp;P 500 companies, day 0 from</w:t>
      </w:r>
      <w:r>
        <w:t xml:space="preserve"> </w:t>
      </w:r>
      <w:r>
        <w:rPr/>
        <w:t>2024-12-10 to 2026-10-22. Smaller, less liquid names and other periods may behave differently.</w:t>
      </w:r>
    </w:p>
    <w:p>
      <w:pPr>
        <w:pStyle w:val="ListBullet"/>
      </w:pPr>
      <w:r>
        <w:rPr/>
      </w:r>
      <w:r>
        <w:rPr>
          <w:b/>
        </w:rPr>
        <w:t>Provisional timing labels.</w:t>
      </w:r>
      <w:r>
        <w:rPr/>
        <w:t xml:space="preserve"> 453 of 473 required look-ups are not done.</w:t>
      </w:r>
    </w:p>
    <w:p>
      <w:pPr>
        <w:pStyle w:val="ListBullet"/>
      </w:pPr>
      <w:r>
        <w:rPr/>
      </w:r>
      <w:r>
        <w:rPr>
          <w:b/>
        </w:rPr>
        <w:t>Liberal driver statistics.</w:t>
      </w:r>
      <w:r>
        <w:rPr/>
        <w:t xml:space="preserve"> H5–H7's tests reject 9.55%, 8.10% and 16.15% of the time under a true</w:t>
      </w:r>
      <w:r>
        <w:t xml:space="preserve"> </w:t>
      </w:r>
      <w:r>
        <w:rPr/>
        <w:t>null at 5%.</w:t>
      </w:r>
    </w:p>
    <w:p>
      <w:pPr>
        <w:pStyle w:val="ListBullet"/>
      </w:pPr>
      <w:r>
        <w:rPr/>
      </w:r>
      <w:r>
        <w:rPr>
          <w:b/>
        </w:rPr>
        <w:t>The averages hide the spread.</w:t>
      </w:r>
      <w:r>
        <w:rPr/>
        <w:t xml:space="preserve"> The heaviest-tailed events drive the squared-move regression, and a single event</w:t>
      </w:r>
      <w:r>
        <w:t xml:space="preserve"> </w:t>
      </w:r>
      <w:r>
        <w:rPr/>
        <w:t>can move far more than its options priced (the scatter in section 5).</w:t>
      </w:r>
    </w:p>
    <w:p>
      <w:pPr>
        <w:pStyle w:val="Heading1"/>
      </w:pPr>
      <w:r>
        <w:rPr/>
        <w:t>7. Caveats, in one place</w:t>
      </w:r>
    </w:p>
    <w:p>
      <w:pPr>
        <w:ind w:left="397" w:hanging="283"/>
      </w:pPr>
      <w:r>
        <w:t xml:space="preserve">1. </w:t>
      </w:r>
      <w:r>
        <w:rPr/>
      </w:r>
      <w:r>
        <w:rPr>
          <w:b/>
        </w:rPr>
        <w:t>Provisional timing labels:</w:t>
      </w:r>
      <w:r>
        <w:rPr/>
        <w:t xml:space="preserve"> 20 of 473 required look-ups are done; 453</w:t>
      </w:r>
      <w:r>
        <w:t xml:space="preserve"> </w:t>
      </w:r>
      <w:r>
        <w:rPr/>
        <w:t>wait for SEC EDGAR (accepted as the timing source on 2026-10-28; no request has been made, because the client needs</w:t>
      </w:r>
      <w:r>
        <w:t xml:space="preserve"> </w:t>
      </w:r>
      <w:r>
        <w:rPr/>
        <w:t>the owner's contact string).</w:t>
      </w:r>
    </w:p>
    <w:p>
      <w:pPr>
        <w:ind w:left="397" w:hanging="283"/>
      </w:pPr>
      <w:r>
        <w:t xml:space="preserve">2. </w:t>
      </w:r>
      <w:r>
        <w:rPr/>
      </w:r>
      <w:r>
        <w:rPr>
          <w:b/>
        </w:rPr>
        <w:t>H2 depends on the season count:</w:t>
      </w:r>
      <w:r>
        <w:rPr/>
        <w:t xml:space="preserve"> rejected with 8 seasons (Holm 0.0469), not rejected with the</w:t>
      </w:r>
      <w:r>
        <w:t xml:space="preserve"> </w:t>
      </w:r>
      <w:r>
        <w:rPr/>
        <w:t>7 that ADR 0005 expected (Holm 0.0781).</w:t>
      </w:r>
    </w:p>
    <w:p>
      <w:pPr>
        <w:ind w:left="397" w:hanging="283"/>
      </w:pPr>
      <w:r>
        <w:t xml:space="preserve">3. </w:t>
      </w:r>
      <w:r>
        <w:rPr/>
      </w:r>
      <w:r>
        <w:rPr>
          <w:b/>
        </w:rPr>
        <w:t>H5–H7's statistics are liberal:</w:t>
      </w:r>
      <w:r>
        <w:rPr/>
        <w:t xml:space="preserve"> G1 sizes 9.55%, 8.10% and 16.15% at 5% (one-way versions</w:t>
      </w:r>
      <w:r>
        <w:t xml:space="preserve"> </w:t>
      </w:r>
      <w:r>
        <w:rPr/>
        <w:t>18.45%, 20.10%, 17.00%). Every exploratory regression p and q comes from the same</w:t>
      </w:r>
      <w:r>
        <w:t xml:space="preserve"> </w:t>
      </w:r>
      <w:r>
        <w:rPr/>
        <w:t>two-way t.</w:t>
      </w:r>
    </w:p>
    <w:p>
      <w:pPr>
        <w:ind w:left="397" w:hanging="283"/>
      </w:pPr>
      <w:r>
        <w:t xml:space="preserve">4. </w:t>
      </w:r>
      <w:r>
        <w:rPr/>
      </w:r>
      <w:r>
        <w:rPr>
          <w:b/>
        </w:rPr>
        <w:t>Withheld robustness rows:</w:t>
      </w:r>
      <w:r>
        <w:rPr/>
        <w:t xml:space="preserve"> 14 rows keep their estimates but not their p-values, because G1 found</w:t>
      </w:r>
      <w:r>
        <w:t xml:space="preserve"> </w:t>
      </w:r>
      <w:r>
        <w:rPr/>
        <w:t>them oversized.</w:t>
      </w:r>
    </w:p>
    <w:p>
      <w:pPr>
        <w:ind w:left="397" w:hanging="283"/>
      </w:pPr>
      <w:r>
        <w:t xml:space="preserve">5. </w:t>
      </w:r>
      <w:r>
        <w:rPr/>
      </w:r>
      <w:r>
        <w:rPr>
          <w:b/>
        </w:rPr>
        <w:t>A common date component:</w:t>
      </w:r>
      <w:r>
        <w:rPr/>
        <w:t xml:space="preserve"> after the VIX adjustment the crush's average same-date correlation ρ̄ is</w:t>
      </w:r>
      <w:r>
        <w:t xml:space="preserve"> </w:t>
      </w:r>
      <w:r>
        <w:rPr/>
        <w:t>0.30 (above ADR 0005's warning line of about 0.2). It is spread over most dates (0.19 without</w:t>
      </w:r>
      <w:r>
        <w:t xml:space="preserve"> </w:t>
      </w:r>
      <w:r>
        <w:rPr/>
        <w:t>the ten largest), not a stale snapshot, and a leave-one-company-out IV factor removes it (−0.028). It is</w:t>
      </w:r>
      <w:r>
        <w:t xml:space="preserve"> </w:t>
      </w:r>
      <w:r>
        <w:rPr/>
        <w:t>linearly unrelated to the change in ln VIX, which is close to automatic because β is fitted on that change. H1's</w:t>
      </w:r>
      <w:r>
        <w:t xml:space="preserve"> </w:t>
      </w:r>
      <w:r>
        <w:rPr/>
        <w:t>two-way statistic is robust to same-date dependence; the Kolari-Pynnönen rows, which model it, are withheld for</w:t>
      </w:r>
      <w:r>
        <w:t xml:space="preserve"> </w:t>
      </w:r>
      <w:r>
        <w:rPr/>
        <w:t>the crush. Adding a second market factor would change every market-adjusted number and is an owner decision.</w:t>
      </w:r>
    </w:p>
    <w:p>
      <w:pPr>
        <w:ind w:left="397" w:hanging="283"/>
      </w:pPr>
      <w:r>
        <w:t xml:space="preserve">6. </w:t>
      </w:r>
      <w:r>
        <w:rPr/>
      </w:r>
      <w:r>
        <w:rPr>
          <w:b/>
        </w:rPr>
        <w:t>Which Holm family binds</w:t>
      </w:r>
      <w:r>
        <w:rPr/>
        <w:t xml:space="preserve"> (H1–H7 declared, or H1–H4 after the gate) is an owner decision (section 4.1).</w:t>
      </w:r>
    </w:p>
    <w:p>
      <w:pPr>
        <w:ind w:left="397" w:hanging="283"/>
      </w:pPr>
      <w:r>
        <w:t xml:space="preserve">7. </w:t>
      </w:r>
      <w:r>
        <w:rPr/>
      </w:r>
      <w:r>
        <w:rPr>
          <w:b/>
        </w:rPr>
        <w:t>Survivorship:</w:t>
      </w:r>
      <w:r>
        <w:rPr/>
        <w:t xml:space="preserve"> the universe is today's largest companies.</w:t>
      </w:r>
    </w:p>
    <w:p>
      <w:pPr>
        <w:ind w:left="397" w:hanging="283"/>
      </w:pPr>
      <w:r>
        <w:t xml:space="preserve">8. </w:t>
      </w:r>
      <w:r>
        <w:rPr/>
      </w:r>
      <w:r>
        <w:rPr>
          <w:b/>
        </w:rPr>
        <w:t>Not built:</w:t>
      </w:r>
      <w:r>
        <w:rPr/>
        <w:t xml:space="preserve"> the Cboe single-stock volatility index cross-check (VXAPL and others), the coarse-sample scale</w:t>
      </w:r>
      <w:r>
        <w:t xml:space="preserve"> </w:t>
      </w:r>
      <w:r>
        <w:rPr/>
        <w:t>correction, the SPY placebo and the drop-the-largest-companies check of ADR 0004.</w:t>
      </w:r>
    </w:p>
    <w:p>
      <w:pPr>
        <w:ind w:left="397" w:hanging="283"/>
      </w:pPr>
      <w:r>
        <w:t xml:space="preserve">9. </w:t>
      </w:r>
      <w:r>
        <w:rPr/>
      </w:r>
      <w:r>
        <w:rPr>
          <w:b/>
        </w:rPr>
        <w:t>No 3D hero render:</w:t>
      </w:r>
      <w:r>
        <w:rPr/>
        <w:t xml:space="preserve"> Blender was unreachable on 2026-10-29, so the Blender script</w:t>
      </w:r>
      <w:r>
        <w:t xml:space="preserve"> </w:t>
      </w:r>
      <w:r>
        <w:rPr/>
        <w:t>(</w:t>
      </w:r>
      <w:r>
        <w:rPr>
          <w:rFonts w:ascii="Consolas" w:hAnsi="Consolas"/>
          <w:sz w:val="17"/>
        </w:rPr>
        <w:t>tools/blender/event_terrain.py</w:t>
      </w:r>
      <w:r>
        <w:rPr/>
        <w:t>) has not run. The 3D figures are three.js stills of the app's terrain 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42264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in-defa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22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The 3D terrain: each company's mean abnormal log IV (mean-adjusted) by event day, a three.js still from the app</w:t>
      </w:r>
    </w:p>
    <w:p>
      <w:pPr>
        <w:pStyle w:val="Heading1"/>
      </w:pPr>
      <w:r>
        <w:rPr/>
        <w:t>8. How this report is built</w:t>
      </w:r>
    </w:p>
    <w:p>
      <w:r>
        <w:rPr/>
        <w:t xml:space="preserve">The report is written in </w:t>
      </w:r>
      <w:r>
        <w:rPr>
          <w:rFonts w:ascii="Consolas" w:hAnsi="Consolas"/>
          <w:sz w:val="17"/>
        </w:rPr>
        <w:t>docs/report/templates/earnings-vol-report.md</w:t>
      </w:r>
      <w:r>
        <w:rPr/>
        <w:t xml:space="preserve">. </w:t>
      </w:r>
      <w:r>
        <w:rPr>
          <w:rFonts w:ascii="Consolas" w:hAnsi="Consolas"/>
          <w:sz w:val="17"/>
        </w:rPr>
        <w:t>tools/report_numbers.py</w:t>
      </w:r>
      <w:r>
        <w:rPr/>
        <w:t xml:space="preserve"> fills every</w:t>
      </w:r>
      <w:r>
        <w:t xml:space="preserve"> </w:t>
      </w:r>
      <w:r>
        <w:rPr/>
        <w:t xml:space="preserve">placeholder in it (a key in double braces) from </w:t>
      </w:r>
      <w:r>
        <w:rPr>
          <w:rFonts w:ascii="Consolas" w:hAnsi="Consolas"/>
          <w:sz w:val="17"/>
        </w:rPr>
        <w:t>data/derived/results.parquet</w:t>
      </w:r>
      <w:r>
        <w:rPr/>
        <w:t>, the app's JSON files and the kept output</w:t>
      </w:r>
      <w:r>
        <w:t xml:space="preserve"> </w:t>
      </w:r>
      <w:r>
        <w:rPr>
          <w:rFonts w:ascii="Consolas" w:hAnsi="Consolas"/>
          <w:sz w:val="17"/>
        </w:rPr>
        <w:t>research/prototypes/rhobar_crush.out.txt</w:t>
      </w:r>
      <w:r>
        <w:rPr/>
        <w:t>, and writes this file. One number is pinned instead of read: the</w:t>
      </w:r>
      <w:r>
        <w:t xml:space="preserve"> </w:t>
      </w:r>
      <w:r>
        <w:rPr/>
        <w:t>473 required look-ups, which need a Yahoo flag that stays local (</w:t>
      </w:r>
      <w:r>
        <w:rPr>
          <w:rFonts w:ascii="Consolas" w:hAnsi="Consolas"/>
          <w:sz w:val="17"/>
        </w:rPr>
        <w:t>--check</w:t>
      </w:r>
      <w:r>
        <w:rPr/>
        <w:t xml:space="preserve"> compares it with the local</w:t>
      </w:r>
      <w:r>
        <w:t xml:space="preserve"> </w:t>
      </w:r>
      <w:r>
        <w:rPr/>
        <w:t>stage report when one exists). The same script fills the results blocks of the README and the PR/FAQ.</w:t>
      </w:r>
    </w:p>
    <w:p>
      <w:pPr>
        <w:spacing w:after="0"/>
      </w:pPr>
      <w:r>
        <w:rPr>
          <w:rFonts w:ascii="Consolas" w:hAnsi="Consolas"/>
          <w:sz w:val="15"/>
        </w:rPr>
        <w:t>uv sync --frozen --group report                                      # once: python-docx and markdown-it-py</w:t>
      </w:r>
    </w:p>
    <w:p>
      <w:pPr>
        <w:spacing w:after="0"/>
      </w:pPr>
      <w:r>
        <w:rPr>
          <w:rFonts w:ascii="Consolas" w:hAnsi="Consolas"/>
          <w:sz w:val="15"/>
        </w:rPr>
        <w:t>uv run --frozen python tools/report_numbers.py                       # fill the numbers (--check: verify only)</w:t>
      </w:r>
    </w:p>
    <w:p>
      <w:pPr>
        <w:spacing w:after="0"/>
      </w:pPr>
      <w:r>
        <w:rPr>
          <w:rFonts w:ascii="Consolas" w:hAnsi="Consolas"/>
          <w:sz w:val="15"/>
        </w:rPr>
        <w:t>uv run --frozen --with playwright==1.64.1 python tools/screenshots.py   # app screenshots, figures, 3D stills</w:t>
      </w:r>
    </w:p>
    <w:p>
      <w:pPr>
        <w:spacing w:after="0"/>
      </w:pPr>
      <w:r>
        <w:rPr>
          <w:rFonts w:ascii="Consolas" w:hAnsi="Consolas"/>
          <w:sz w:val="15"/>
        </w:rPr>
        <w:t>uv run --frozen --group report --with playwright==1.64.1 python tools/build_report.py   # PDF and DOCX</w:t>
      </w:r>
    </w:p>
    <w:p/>
    <w:p>
      <w:r>
        <w:rPr>
          <w:rFonts w:ascii="Consolas" w:hAnsi="Consolas"/>
          <w:sz w:val="17"/>
        </w:rPr>
        <w:t>tools/build_report.py</w:t>
      </w:r>
      <w:r>
        <w:rPr/>
        <w:t xml:space="preserve"> turns this Markdown into </w:t>
      </w:r>
      <w:r>
        <w:rPr>
          <w:rFonts w:ascii="Consolas" w:hAnsi="Consolas"/>
          <w:sz w:val="17"/>
        </w:rPr>
        <w:t>earnings-vol-report.docx</w:t>
      </w:r>
      <w:r>
        <w:rPr/>
        <w:t xml:space="preserve"> (python-docx) and</w:t>
      </w:r>
      <w:r>
        <w:t xml:space="preserve"> </w:t>
      </w:r>
      <w:r>
        <w:rPr>
          <w:rFonts w:ascii="Consolas" w:hAnsi="Consolas"/>
          <w:sz w:val="17"/>
        </w:rPr>
        <w:t>earnings-vol-report.pdf</w:t>
      </w:r>
      <w:r>
        <w:rPr/>
        <w:t xml:space="preserve"> (Chromium's print-to-PDF through Playwright). pandoc is not installed on the build machine.</w:t>
      </w:r>
    </w:p>
    <w:p>
      <w:pPr>
        <w:pStyle w:val="Heading1"/>
      </w:pPr>
      <w:r>
        <w:rPr/>
        <w:t>9. Questions for the owner</w:t>
      </w:r>
    </w:p>
    <w:p>
      <w:pPr>
        <w:ind w:left="397" w:hanging="283"/>
      </w:pPr>
      <w:r>
        <w:t xml:space="preserve">1. </w:t>
      </w:r>
      <w:r>
        <w:rPr/>
      </w:r>
      <w:r>
        <w:rPr>
          <w:b/>
        </w:rPr>
        <w:t>Audience.</w:t>
      </w:r>
      <w:r>
        <w:rPr/>
        <w:t xml:space="preserve"> Who is this report for: interviewers reading a portfolio, practitioners who know event studies, or a</w:t>
      </w:r>
      <w:r>
        <w:t xml:space="preserve"> </w:t>
      </w:r>
      <w:r>
        <w:rPr/>
        <w:t>record for yourself? The answer decides how much of section 3 stays in the body.</w:t>
      </w:r>
    </w:p>
    <w:p>
      <w:pPr>
        <w:ind w:left="397" w:hanging="283"/>
      </w:pPr>
      <w:r>
        <w:t xml:space="preserve">2. </w:t>
      </w:r>
      <w:r>
        <w:rPr/>
      </w:r>
      <w:r>
        <w:rPr>
          <w:b/>
        </w:rPr>
        <w:t>Tone.</w:t>
      </w:r>
      <w:r>
        <w:rPr/>
        <w:t xml:space="preserve"> Keep the cautious "measured and provisional" voice throughout, or open with a plainer executive summary</w:t>
      </w:r>
      <w:r>
        <w:t xml:space="preserve"> </w:t>
      </w:r>
      <w:r>
        <w:rPr/>
        <w:t>and move the caveats to the end?</w:t>
      </w:r>
    </w:p>
    <w:p>
      <w:pPr>
        <w:ind w:left="397" w:hanging="283"/>
      </w:pPr>
      <w:r>
        <w:t xml:space="preserve">3. </w:t>
      </w:r>
      <w:r>
        <w:rPr/>
      </w:r>
      <w:r>
        <w:rPr>
          <w:b/>
        </w:rPr>
        <w:t>What to cut.</w:t>
      </w:r>
      <w:r>
        <w:rPr/>
        <w:t xml:space="preserve"> Candidates: the robustness-row list (section 3.6), the exploratory driver variants (section 4.5),</w:t>
      </w:r>
      <w:r>
        <w:t xml:space="preserve"> </w:t>
      </w:r>
      <w:r>
        <w:rPr/>
        <w:t>the older-sample numbers (section 4.2), the ρ̄ paragraph (section 7, item 5). Should any of them move to an</w:t>
      </w:r>
      <w:r>
        <w:t xml:space="preserve"> </w:t>
      </w:r>
      <w:r>
        <w:rPr/>
        <w:t>appendix or out?</w:t>
      </w:r>
    </w:p>
    <w:p>
      <w:pPr>
        <w:ind w:left="397" w:hanging="283"/>
      </w:pPr>
      <w:r>
        <w:t xml:space="preserve">4. </w:t>
      </w:r>
      <w:r>
        <w:rPr/>
      </w:r>
      <w:r>
        <w:rPr>
          <w:b/>
        </w:rPr>
        <w:t>The Holm family (milestone 4, decisions table row 24).</w:t>
      </w:r>
      <w:r>
        <w:rPr/>
        <w:t xml:space="preserve"> Keep the declared family H1–H7 as binding (H2 rejected</w:t>
      </w:r>
      <w:r>
        <w:t xml:space="preserve"> </w:t>
      </w:r>
      <w:r>
        <w:rPr/>
        <w:t>with 8 seasons, not with 7), or adopt the post-gate family H1–H4 (H2 rejected either way)?</w:t>
      </w:r>
    </w:p>
    <w:p>
      <w:pPr>
        <w:ind w:left="397" w:hanging="283"/>
      </w:pPr>
      <w:r>
        <w:t xml:space="preserve">5. </w:t>
      </w:r>
      <w:r>
        <w:rPr/>
      </w:r>
      <w:r>
        <w:rPr>
          <w:b/>
        </w:rPr>
        <w:t>Trading implications.</w:t>
      </w:r>
      <w:r>
        <w:rPr/>
        <w:t xml:space="preserve"> Keep section 6 as observations with their limits, shorten it to the "cannot say" list,</w:t>
      </w:r>
      <w:r>
        <w:t xml:space="preserve"> </w:t>
      </w:r>
      <w:r>
        <w:rPr/>
        <w:t xml:space="preserve">or drop it? Should it point to </w:t>
      </w:r>
      <w:r>
        <w:rPr>
          <w:rFonts w:ascii="Consolas" w:hAnsi="Consolas"/>
          <w:sz w:val="17"/>
        </w:rPr>
        <w:t>vol-strategy-backtester</w:t>
      </w:r>
      <w:r>
        <w:rPr/>
        <w:t xml:space="preserve"> for a cost-aware test?</w:t>
      </w:r>
    </w:p>
    <w:p>
      <w:pPr>
        <w:ind w:left="397" w:hanging="283"/>
      </w:pPr>
      <w:r>
        <w:t xml:space="preserve">6. </w:t>
      </w:r>
      <w:r>
        <w:rPr/>
      </w:r>
      <w:r>
        <w:rPr>
          <w:b/>
        </w:rPr>
        <w:t>Timing labels.</w:t>
      </w:r>
      <w:r>
        <w:rPr/>
        <w:t xml:space="preserve"> Publish with 20 of 473 labels checked, or wait until SEC EDGAR has</w:t>
      </w:r>
      <w:r>
        <w:t xml:space="preserve"> </w:t>
      </w:r>
      <w:r>
        <w:rPr/>
        <w:t xml:space="preserve">run (it needs your contact string in </w:t>
      </w:r>
      <w:r>
        <w:rPr>
          <w:rFonts w:ascii="Consolas" w:hAnsi="Consolas"/>
          <w:sz w:val="17"/>
        </w:rPr>
        <w:t>SEC_EDGAR_USER_AGENT</w:t>
      </w:r>
      <w:r>
        <w:rPr/>
        <w:t>)?</w:t>
      </w:r>
    </w:p>
    <w:p>
      <w:pPr>
        <w:ind w:left="397" w:hanging="283"/>
      </w:pPr>
      <w:r>
        <w:t xml:space="preserve">7. </w:t>
      </w:r>
      <w:r>
        <w:rPr/>
      </w:r>
      <w:r>
        <w:rPr>
          <w:b/>
        </w:rPr>
        <w:t>The common date component.</w:t>
      </w:r>
      <w:r>
        <w:rPr/>
        <w:t xml:space="preserve"> Add an equal-weighted single-stock IV factor next to VIX in the market model? It would</w:t>
      </w:r>
      <w:r>
        <w:t xml:space="preserve"> </w:t>
      </w:r>
      <w:r>
        <w:rPr/>
        <w:t>change every market-adjusted number.</w:t>
      </w:r>
    </w:p>
    <w:p>
      <w:pPr>
        <w:ind w:left="397" w:hanging="283"/>
      </w:pPr>
      <w:r>
        <w:t xml:space="preserve">8. </w:t>
      </w:r>
      <w:r>
        <w:rPr/>
      </w:r>
      <w:r>
        <w:rPr>
          <w:b/>
        </w:rPr>
        <w:t>Exports.</w:t>
      </w:r>
      <w:r>
        <w:rPr/>
        <w:t xml:space="preserve"> Are a PDF and a DOCX the right formats, and is the app's dark theme right for the printed figures?</w:t>
      </w:r>
    </w:p>
    <w:sectPr w:rsidR="00FC693F" w:rsidRPr="0006063C" w:rsidSect="00034616">
      <w:footerReference w:type="default" r:id="rId9"/>
      <w:pgSz w:w="11906" w:h="16838"/>
      <w:pgMar w:top="102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Draft for owner review (2026-10-29) · not investment advice · results provisional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Earnings and implied volatility: an event study</dc:title>
  <dc:subject/>
  <dc:creator>earnings-vol-study</dc:creator>
  <cp:keywords/>
  <dc:description>Draft for owner review (2026-10-29) · not investment advice · results provisional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