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50"/>
      </w:pPr>
      <w:r>
        <w:rPr>
          <w:rFonts w:ascii="Calibri" w:cs="Calibri" w:eastAsia="Calibri" w:hAnsi="Calibri"/>
          <w:b/>
          <w:bCs/>
          <w:color w:val="1B3F6E"/>
          <w:sz w:val="68"/>
          <w:szCs w:val="68"/>
        </w:rPr>
        <w:t xml:space="preserve">DocSignerHub</w:t>
      </w:r>
    </w:p>
    <w:p>
      <w:pPr>
        <w:spacing w:after="70"/>
      </w:pPr>
      <w:r>
        <w:rPr>
          <w:rFonts w:ascii="Calibri" w:cs="Calibri" w:eastAsia="Calibri" w:hAnsi="Calibri"/>
          <w:b/>
          <w:bCs/>
          <w:color w:val="2563EB"/>
          <w:sz w:val="38"/>
          <w:szCs w:val="38"/>
        </w:rPr>
        <w:t xml:space="preserve">SaaS Growth Document</w:t>
      </w:r>
    </w:p>
    <w:p>
      <w:pPr>
        <w:spacing w:after="110"/>
      </w:pPr>
      <w:r>
        <w:rPr>
          <w:rFonts w:ascii="Calibri" w:cs="Calibri" w:eastAsia="Calibri" w:hAnsi="Calibri"/>
          <w:i/>
          <w:iCs/>
          <w:color w:val="64748B"/>
          <w:sz w:val="23"/>
          <w:szCs w:val="23"/>
        </w:rPr>
        <w:t xml:space="preserve">Feature Roadmap  ·  Workflow Architecture  ·  Market Research  ·  Blog Strategy  ·  Gap Analysis</w:t>
      </w:r>
    </w:p>
    <w:p>
      <w:pPr>
        <w:shd w:fill="EFF6FF" w:val="clear"/>
        <w:spacing w:after="300"/>
        <w:ind w:left="200"/>
      </w:pPr>
      <w:r>
        <w:rPr>
          <w:rFonts w:ascii="Consolas" w:cs="Consolas" w:eastAsia="Consolas" w:hAnsi="Consolas"/>
          <w:color w:val="374151"/>
          <w:sz w:val="19"/>
          <w:szCs w:val="19"/>
        </w:rPr>
        <w:t xml:space="preserve">Version 2.0  ·  April 2026  ·  Senior Architect Edition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7"/>
        <w:gridCol w:w="2436"/>
        <w:gridCol w:w="2437"/>
      </w:tblGrid>
      <w:tr>
        <w:tc>
          <w:tcPr>
            <w:tcW w:type="dxa" w:w="2436"/>
            <w:tcBorders>
              <w:top w:val="none" w:color="FFFFFF" w:sz="0"/>
              <w:left w:val="none" w:color="FFFFFF" w:sz="0"/>
              <w:bottom w:val="none" w:color="FFFFFF" w:sz="0"/>
              <w:right w:val="none" w:color="FFFFFF" w:sz="0"/>
            </w:tcBorders>
            <w:shd w:fill="1B3F6E" w:val="clear"/>
            <w:tcMar>
              <w:top w:type="dxa" w:w="180"/>
              <w:left w:type="dxa" w:w="160"/>
              <w:bottom w:type="dxa" w:w="180"/>
              <w:right w:type="dxa" w:w="160"/>
            </w:tcMar>
          </w:tcPr>
          <w:p>
            <w:pPr>
              <w:jc w:val="center"/>
            </w:pPr>
            <w:r>
              <w:rPr>
                <w:rFonts w:ascii="Calibri" w:cs="Calibri" w:eastAsia="Calibri" w:hAnsi="Calibri"/>
                <w:b/>
                <w:bCs/>
                <w:color w:val="FFFFFF"/>
                <w:sz w:val="48"/>
                <w:szCs w:val="48"/>
              </w:rPr>
              <w:t xml:space="preserve">30+</w:t>
            </w:r>
          </w:p>
          <w:p>
            <w:pPr>
              <w:jc w:val="center"/>
            </w:pPr>
            <w:r>
              <w:rPr>
                <w:rFonts w:ascii="Calibri" w:cs="Calibri" w:eastAsia="Calibri" w:hAnsi="Calibri"/>
                <w:color w:val="BFDBFE"/>
                <w:sz w:val="20"/>
                <w:szCs w:val="20"/>
              </w:rPr>
              <w:t xml:space="preserve">API Endpoints</w:t>
            </w:r>
          </w:p>
        </w:tc>
        <w:tc>
          <w:tcPr>
            <w:tcW w:type="dxa" w:w="2437"/>
            <w:tcBorders>
              <w:top w:val="none" w:color="FFFFFF" w:sz="0"/>
              <w:left w:val="none" w:color="FFFFFF" w:sz="0"/>
              <w:bottom w:val="none" w:color="FFFFFF" w:sz="0"/>
              <w:right w:val="none" w:color="FFFFFF" w:sz="0"/>
            </w:tcBorders>
            <w:shd w:fill="2563EB" w:val="clear"/>
            <w:tcMar>
              <w:top w:type="dxa" w:w="180"/>
              <w:left w:type="dxa" w:w="160"/>
              <w:bottom w:type="dxa" w:w="180"/>
              <w:right w:type="dxa" w:w="160"/>
            </w:tcMar>
          </w:tcPr>
          <w:p>
            <w:pPr>
              <w:jc w:val="center"/>
            </w:pPr>
            <w:r>
              <w:rPr>
                <w:rFonts w:ascii="Calibri" w:cs="Calibri" w:eastAsia="Calibri" w:hAnsi="Calibri"/>
                <w:b/>
                <w:bCs/>
                <w:color w:val="FFFFFF"/>
                <w:sz w:val="48"/>
                <w:szCs w:val="48"/>
              </w:rPr>
              <w:t xml:space="preserve">8</w:t>
            </w:r>
          </w:p>
          <w:p>
            <w:pPr>
              <w:jc w:val="center"/>
            </w:pPr>
            <w:r>
              <w:rPr>
                <w:rFonts w:ascii="Calibri" w:cs="Calibri" w:eastAsia="Calibri" w:hAnsi="Calibri"/>
                <w:color w:val="BFDBFE"/>
                <w:sz w:val="20"/>
                <w:szCs w:val="20"/>
              </w:rPr>
              <w:t xml:space="preserve">Envelope statuses</w:t>
            </w:r>
          </w:p>
        </w:tc>
        <w:tc>
          <w:tcPr>
            <w:tcW w:type="dxa" w:w="2436"/>
            <w:tcBorders>
              <w:top w:val="none" w:color="FFFFFF" w:sz="0"/>
              <w:left w:val="none" w:color="FFFFFF" w:sz="0"/>
              <w:bottom w:val="none" w:color="FFFFFF" w:sz="0"/>
              <w:right w:val="none" w:color="FFFFFF" w:sz="0"/>
            </w:tcBorders>
            <w:shd w:fill="0F766E" w:val="clear"/>
            <w:tcMar>
              <w:top w:type="dxa" w:w="180"/>
              <w:left w:type="dxa" w:w="160"/>
              <w:bottom w:type="dxa" w:w="180"/>
              <w:right w:type="dxa" w:w="160"/>
            </w:tcMar>
          </w:tcPr>
          <w:p>
            <w:pPr>
              <w:jc w:val="center"/>
            </w:pPr>
            <w:r>
              <w:rPr>
                <w:rFonts w:ascii="Calibri" w:cs="Calibri" w:eastAsia="Calibri" w:hAnsi="Calibri"/>
                <w:b/>
                <w:bCs/>
                <w:color w:val="FFFFFF"/>
                <w:sz w:val="48"/>
                <w:szCs w:val="48"/>
              </w:rPr>
              <w:t xml:space="preserve">$13B</w:t>
            </w:r>
          </w:p>
          <w:p>
            <w:pPr>
              <w:jc w:val="center"/>
            </w:pPr>
            <w:r>
              <w:rPr>
                <w:rFonts w:ascii="Calibri" w:cs="Calibri" w:eastAsia="Calibri" w:hAnsi="Calibri"/>
                <w:color w:val="99F6E4"/>
                <w:sz w:val="20"/>
                <w:szCs w:val="20"/>
              </w:rPr>
              <w:t xml:space="preserve">Market size 2025</w:t>
            </w:r>
          </w:p>
        </w:tc>
        <w:tc>
          <w:tcPr>
            <w:tcW w:type="dxa" w:w="2437"/>
            <w:tcBorders>
              <w:top w:val="none" w:color="FFFFFF" w:sz="0"/>
              <w:left w:val="none" w:color="FFFFFF" w:sz="0"/>
              <w:bottom w:val="none" w:color="FFFFFF" w:sz="0"/>
              <w:right w:val="none" w:color="FFFFFF" w:sz="0"/>
            </w:tcBorders>
            <w:shd w:fill="7C3AED" w:val="clear"/>
            <w:tcMar>
              <w:top w:type="dxa" w:w="180"/>
              <w:left w:type="dxa" w:w="160"/>
              <w:bottom w:type="dxa" w:w="180"/>
              <w:right w:type="dxa" w:w="160"/>
            </w:tcMar>
          </w:tcPr>
          <w:p>
            <w:pPr>
              <w:jc w:val="center"/>
            </w:pPr>
            <w:r>
              <w:rPr>
                <w:rFonts w:ascii="Calibri" w:cs="Calibri" w:eastAsia="Calibri" w:hAnsi="Calibri"/>
                <w:b/>
                <w:bCs/>
                <w:color w:val="FFFFFF"/>
                <w:sz w:val="48"/>
                <w:szCs w:val="48"/>
              </w:rPr>
              <w:t xml:space="preserve">31%</w:t>
            </w:r>
          </w:p>
          <w:p>
            <w:pPr>
              <w:jc w:val="center"/>
            </w:pPr>
            <w:r>
              <w:rPr>
                <w:rFonts w:ascii="Calibri" w:cs="Calibri" w:eastAsia="Calibri" w:hAnsi="Calibri"/>
                <w:color w:val="EDE9FE"/>
                <w:sz w:val="20"/>
                <w:szCs w:val="20"/>
              </w:rPr>
              <w:t xml:space="preserve">CAGR to 2030</w:t>
            </w:r>
          </w:p>
        </w:tc>
      </w:tr>
    </w:tbl>
    <w:p>
      <w:pPr>
        <w:spacing w:after="300"/>
      </w:pPr>
    </w:p>
    <w:p>
      <w:r>
        <w:br w:type="page"/>
      </w:r>
    </w:p>
    <w:p>
      <w:pPr>
        <w:pStyle w:val="Heading1"/>
        <w:pBdr>
          <w:bottom w:val="single" w:color="2563EB" w:sz="10"/>
        </w:pBdr>
        <w:spacing w:after="140" w:before="340"/>
      </w:pPr>
      <w:r>
        <w:rPr>
          <w:rFonts w:ascii="Calibri" w:cs="Calibri" w:eastAsia="Calibri" w:hAnsi="Calibri"/>
          <w:b/>
          <w:bCs/>
          <w:color w:val="1B3F6E"/>
          <w:sz w:val="34"/>
          <w:szCs w:val="34"/>
        </w:rPr>
        <w:t xml:space="preserve">PART 1 — What DocSignerHub Already Has (Full Audit)</w:t>
      </w:r>
    </w:p>
    <w:p>
      <w:pPr>
        <w:spacing w:after="100"/>
      </w:pPr>
      <w:r>
        <w:rPr>
          <w:rFonts w:ascii="Calibri" w:cs="Calibri" w:eastAsia="Calibri" w:hAnsi="Calibri"/>
          <w:color w:val="0F172A"/>
          <w:sz w:val="20"/>
          <w:szCs w:val="20"/>
        </w:rPr>
        <w:t xml:space="preserve">Before planning extensions, it is critical to understand the full depth of what is already built. The platform is significantly more capable than a basic e-sign service — it has a complete operational backbone.</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546"/>
      </w:tblGrid>
      <w:tr>
        <w:trPr>
          <w:tblHeader/>
        </w:trPr>
        <w:tc>
          <w:tcPr>
            <w:tcW w:type="dxa" w:w="22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Module</w:t>
            </w:r>
          </w:p>
        </w:tc>
        <w:tc>
          <w:tcPr>
            <w:tcW w:type="dxa" w:w="5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Capability</w:t>
            </w:r>
          </w:p>
        </w:tc>
        <w:tc>
          <w:tcPr>
            <w:tcW w:type="dxa" w:w="25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Maturity</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Authentication</w:t>
            </w:r>
          </w:p>
        </w:tc>
        <w:tc>
          <w:tcPr>
            <w:tcW w:type="dxa" w:w="5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Register, Login, JWT, Email verify, Forgot/Reset password</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Merchant management</w:t>
            </w:r>
          </w:p>
        </w:tc>
        <w:tc>
          <w:tcPr>
            <w:tcW w:type="dxa" w:w="5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Create, read, update, multiple per user, quota system (0=unlimited), API key rotation</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 creation</w:t>
            </w:r>
          </w:p>
        </w:tc>
        <w:tc>
          <w:tcPr>
            <w:tcW w:type="dxa" w:w="5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Multi-doc, multi-signer, signing order, roles, custom messages, PDF/DOC/DOCX</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 lifecycle</w:t>
            </w:r>
          </w:p>
        </w:tc>
        <w:tc>
          <w:tcPr>
            <w:tcW w:type="dxa" w:w="5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Processing→Sent→Signed→Completed / Cancelled / Expired / Rejected / Failed</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 actions</w:t>
            </w:r>
          </w:p>
        </w:tc>
        <w:tc>
          <w:tcPr>
            <w:tcW w:type="dxa" w:w="5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Cancel, Resend invitation (regenerates token), Activity timeline per envelope</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Document stamping</w:t>
            </w:r>
          </w:p>
        </w:tc>
        <w:tc>
          <w:tcPr>
            <w:tcW w:type="dxa" w:w="5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HMAC-signed token, PDF/DOC/DOCX stamped with sig PNG + date at placeholder</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Portal (signer view)</w:t>
            </w:r>
          </w:p>
        </w:tc>
        <w:tc>
          <w:tcPr>
            <w:tcW w:type="dxa" w:w="5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Validate token, stream document, submit signature, reject with reason</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My Envelopes</w:t>
            </w:r>
          </w:p>
        </w:tc>
        <w:tc>
          <w:tcPr>
            <w:tcW w:type="dxa" w:w="5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Signed-in signer sees all their pending/completed envelopes with signing tokens</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Signer Contacts</w:t>
            </w:r>
          </w:p>
        </w:tc>
        <w:tc>
          <w:tcPr>
            <w:tcW w:type="dxa" w:w="5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CRUD, soft-delete, CSV import/export, search autocomplete, auto-upsert on envelope create</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Webhook system</w:t>
            </w:r>
          </w:p>
        </w:tc>
        <w:tc>
          <w:tcPr>
            <w:tcW w:type="dxa" w:w="5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Register, list, delete; 10 event types; HMAC payload signing; retry with backoff; delivery history</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Support tickets</w:t>
            </w:r>
          </w:p>
        </w:tc>
        <w:tc>
          <w:tcPr>
            <w:tcW w:type="dxa" w:w="5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Create (Bug/Feedback/FeatureRequest), thread messaging, priority, admin status management</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Audit log (admin)</w:t>
            </w:r>
          </w:p>
        </w:tc>
        <w:tc>
          <w:tcPr>
            <w:tcW w:type="dxa" w:w="5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Paged, filterable by action/entity/user/merchant/status/date range, 30+ action types</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Entity timeline</w:t>
            </w:r>
          </w:p>
        </w:tc>
        <w:tc>
          <w:tcPr>
            <w:tcW w:type="dxa" w:w="5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Full history for Envelope, Document, User, Merchant, Ticket, Portal</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Analytics</w:t>
            </w:r>
          </w:p>
        </w:tc>
        <w:tc>
          <w:tcPr>
            <w:tcW w:type="dxa" w:w="5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Platform summary + daily trends (7-90 days): users, envelopes, documents, tickets</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User management</w:t>
            </w:r>
          </w:p>
        </w:tc>
        <w:tc>
          <w:tcPr>
            <w:tcW w:type="dxa" w:w="5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list all users, get by ID, update name/role</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w:t>
            </w:r>
          </w:p>
        </w:tc>
      </w:tr>
    </w:tbl>
    <w:p>
      <w:pPr>
        <w:spacing w:after="200"/>
      </w:pPr>
    </w:p>
    <w:p>
      <w:r>
        <w:br w:type="page"/>
      </w:r>
    </w:p>
    <w:p>
      <w:pPr>
        <w:pStyle w:val="Heading1"/>
        <w:pBdr>
          <w:bottom w:val="single" w:color="2563EB" w:sz="10"/>
        </w:pBdr>
        <w:spacing w:after="140" w:before="340"/>
      </w:pPr>
      <w:r>
        <w:rPr>
          <w:rFonts w:ascii="Calibri" w:cs="Calibri" w:eastAsia="Calibri" w:hAnsi="Calibri"/>
          <w:b/>
          <w:bCs/>
          <w:color w:val="1B3F6E"/>
          <w:sz w:val="34"/>
          <w:szCs w:val="34"/>
        </w:rPr>
        <w:t xml:space="preserve">PART 2 — Market Research</w:t>
      </w:r>
    </w:p>
    <w:p>
      <w:pPr>
        <w:pStyle w:val="Heading2"/>
        <w:spacing w:after="90" w:before="240"/>
      </w:pPr>
      <w:r>
        <w:rPr>
          <w:rFonts w:ascii="Calibri" w:cs="Calibri" w:eastAsia="Calibri" w:hAnsi="Calibri"/>
          <w:b/>
          <w:bCs/>
          <w:color w:val="0F766E"/>
          <w:sz w:val="27"/>
          <w:szCs w:val="27"/>
        </w:rPr>
        <w:t xml:space="preserve">2.1  Market size and growth</w:t>
      </w:r>
    </w:p>
    <w:p>
      <w:pPr>
        <w:spacing w:after="100"/>
      </w:pPr>
      <w:r>
        <w:rPr>
          <w:rFonts w:ascii="Calibri" w:cs="Calibri" w:eastAsia="Calibri" w:hAnsi="Calibri"/>
          <w:color w:val="0F172A"/>
          <w:sz w:val="20"/>
          <w:szCs w:val="20"/>
        </w:rPr>
        <w:t xml:space="preserve">The e-signature platform market is one of the fastest-growing segments in enterprise software. </w:t>
      </w:r>
      <w:r>
        <w:rPr>
          <w:rFonts w:ascii="Calibri" w:cs="Calibri" w:eastAsia="Calibri" w:hAnsi="Calibri"/>
          <w:b/>
          <w:bCs/>
          <w:color w:val="0F172A"/>
          <w:sz w:val="22"/>
          <w:szCs w:val="22"/>
        </w:rPr>
        <w:t xml:space="preserve">The global market reached $7.04 billion in 2025</w:t>
      </w:r>
      <w:r>
        <w:rPr>
          <w:rFonts w:ascii="Calibri" w:cs="Calibri" w:eastAsia="Calibri" w:hAnsi="Calibri"/>
          <w:color w:val="0F172A"/>
          <w:sz w:val="20"/>
          <w:szCs w:val="20"/>
        </w:rPr>
        <w:t xml:space="preserve"> and is forecast to hit </w:t>
      </w:r>
      <w:r>
        <w:rPr>
          <w:rFonts w:ascii="Calibri" w:cs="Calibri" w:eastAsia="Calibri" w:hAnsi="Calibri"/>
          <w:b/>
          <w:bCs/>
          <w:color w:val="0F172A"/>
          <w:sz w:val="22"/>
          <w:szCs w:val="22"/>
        </w:rPr>
        <w:t xml:space="preserve">$24.5 billion by 2030</w:t>
      </w:r>
      <w:r>
        <w:rPr>
          <w:rFonts w:ascii="Calibri" w:cs="Calibri" w:eastAsia="Calibri" w:hAnsi="Calibri"/>
          <w:color w:val="0F172A"/>
          <w:sz w:val="20"/>
          <w:szCs w:val="20"/>
        </w:rPr>
        <w:t xml:space="preserve"> at a 28.3% CAGR. The broader digital signature market (including hardware and PKI infrastructure) is estimated at </w:t>
      </w:r>
      <w:r>
        <w:rPr>
          <w:rFonts w:ascii="Calibri" w:cs="Calibri" w:eastAsia="Calibri" w:hAnsi="Calibri"/>
          <w:b/>
          <w:bCs/>
          <w:color w:val="0F172A"/>
          <w:sz w:val="22"/>
          <w:szCs w:val="22"/>
        </w:rPr>
        <w:t xml:space="preserve">$13.32 billion in 2025</w:t>
      </w:r>
      <w:r>
        <w:rPr>
          <w:rFonts w:ascii="Calibri" w:cs="Calibri" w:eastAsia="Calibri" w:hAnsi="Calibri"/>
          <w:color w:val="0F172A"/>
          <w:sz w:val="20"/>
          <w:szCs w:val="20"/>
        </w:rPr>
        <w:t xml:space="preserve">, growing to $51.16 billion by 2030 at a 30.9% CAGR.</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146"/>
      </w:tblGrid>
      <w:tr>
        <w:trPr>
          <w:tblHeader/>
        </w:trPr>
        <w:tc>
          <w:tcPr>
            <w:tcW w:type="dxa" w:w="3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Data point</w:t>
            </w:r>
          </w:p>
        </w:tc>
        <w:tc>
          <w:tcPr>
            <w:tcW w:type="dxa" w:w="22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Figure</w:t>
            </w:r>
          </w:p>
        </w:tc>
        <w:tc>
          <w:tcPr>
            <w:tcW w:type="dxa" w:w="41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Source</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E-signature platform market size 2025</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$7.04 billion</w:t>
            </w:r>
          </w:p>
        </w:tc>
        <w:tc>
          <w:tcPr>
            <w:tcW w:type="dxa" w:w="4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Mordor Intelligence 2025</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E-signature platform market size 2030</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$24.50 billion</w:t>
            </w:r>
          </w:p>
        </w:tc>
        <w:tc>
          <w:tcPr>
            <w:tcW w:type="dxa" w:w="4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Mordor Intelligence 2025</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E-signature platform CAGR 2025–2030</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28.31%</w:t>
            </w:r>
          </w:p>
        </w:tc>
        <w:tc>
          <w:tcPr>
            <w:tcW w:type="dxa" w:w="4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Mordor Intelligence 2025</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Digital signature market size 2025</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$13.32 billion</w:t>
            </w:r>
          </w:p>
        </w:tc>
        <w:tc>
          <w:tcPr>
            <w:tcW w:type="dxa" w:w="4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Mordor Intelligence 2025</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Digital signature market size 2030</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$51.16 billion</w:t>
            </w:r>
          </w:p>
        </w:tc>
        <w:tc>
          <w:tcPr>
            <w:tcW w:type="dxa" w:w="4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Mordor Intelligence 2025</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Digital signature CAGR 2025–2030</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30.89%</w:t>
            </w:r>
          </w:p>
        </w:tc>
        <w:tc>
          <w:tcPr>
            <w:tcW w:type="dxa" w:w="4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Mordor Intelligence 2025</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DocuSign global e-signature market share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67–75%</w:t>
            </w:r>
          </w:p>
        </w:tc>
        <w:tc>
          <w:tcPr>
            <w:tcW w:type="dxa" w:w="4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Multiple analysts 2025</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North America share of market</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46%</w:t>
            </w:r>
          </w:p>
        </w:tc>
        <w:tc>
          <w:tcPr>
            <w:tcW w:type="dxa" w:w="4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Electroiq 2025</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Europe share of market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25%</w:t>
            </w:r>
          </w:p>
        </w:tc>
        <w:tc>
          <w:tcPr>
            <w:tcW w:type="dxa" w:w="4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Electroiq 2025</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Asia-Pacific growth rate 2024–2030</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27% CAGR</w:t>
            </w:r>
          </w:p>
        </w:tc>
        <w:tc>
          <w:tcPr>
            <w:tcW w:type="dxa" w:w="4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PS Market Research</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Healthcare segment CAGR 2025–2030</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35%</w:t>
            </w:r>
          </w:p>
        </w:tc>
        <w:tc>
          <w:tcPr>
            <w:tcW w:type="dxa" w:w="4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Mordor Intelligence 2025</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Simple Electronic Signature (SES) share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Largest segment</w:t>
            </w:r>
          </w:p>
        </w:tc>
        <w:tc>
          <w:tcPr>
            <w:tcW w:type="dxa" w:w="4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MarketsandMarkets 2025</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BFSI industry digital sig market share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26.2%</w:t>
            </w:r>
          </w:p>
        </w:tc>
        <w:tc>
          <w:tcPr>
            <w:tcW w:type="dxa" w:w="4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Electroiq 2025</w:t>
            </w:r>
          </w:p>
        </w:tc>
      </w:tr>
    </w:tbl>
    <w:p>
      <w:pPr>
        <w:spacing w:after="80"/>
      </w:pPr>
    </w:p>
    <w:p>
      <w:pPr>
        <w:pBdr>
          <w:top w:val="single" w:color="2563EB" w:sz="6"/>
          <w:left w:val="single" w:color="2563EB" w:sz="18"/>
          <w:bottom w:val="single" w:color="2563EB" w:sz="6"/>
          <w:right w:val="single" w:color="2563EB" w:sz="6"/>
        </w:pBdr>
        <w:shd w:fill="EFF6FF" w:val="clear"/>
        <w:spacing w:after="130"/>
        <w:ind w:left="260" w:right="260"/>
      </w:pPr>
      <w:r>
        <w:rPr>
          <w:rFonts w:ascii="Calibri" w:cs="Calibri" w:eastAsia="Calibri" w:hAnsi="Calibri"/>
          <w:i/>
          <w:iCs/>
          <w:color w:val="1B3F6E"/>
          <w:sz w:val="20"/>
          <w:szCs w:val="20"/>
        </w:rPr>
        <w:t xml:space="preserve">Key insight: DocuSign controls 67-75% of the e-signature market yet its per-user, per-envelope pricing excludes a massive SMB and developer-integrator segment. A 10-user DocuSign Business Pro team pays over $4,800/year before API add-ons. DocSignerHub's merchant-quota model costs a fraction of that for the same volume.</w:t>
      </w:r>
    </w:p>
    <w:p>
      <w:pPr>
        <w:spacing w:after="80"/>
      </w:pPr>
    </w:p>
    <w:p>
      <w:pPr>
        <w:pStyle w:val="Heading2"/>
        <w:spacing w:after="90" w:before="240"/>
      </w:pPr>
      <w:r>
        <w:rPr>
          <w:rFonts w:ascii="Calibri" w:cs="Calibri" w:eastAsia="Calibri" w:hAnsi="Calibri"/>
          <w:b/>
          <w:bCs/>
          <w:color w:val="0F766E"/>
          <w:sz w:val="27"/>
          <w:szCs w:val="27"/>
        </w:rPr>
        <w:t xml:space="preserve">2.2  Competitor pricing — the gap DocSignerHub fills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2346"/>
      </w:tblGrid>
      <w:tr>
        <w:trPr>
          <w:tblHeader/>
        </w:trPr>
        <w:tc>
          <w:tcPr>
            <w:tcW w:type="dxa" w:w="18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Platform</w:t>
            </w:r>
          </w:p>
        </w:tc>
        <w:tc>
          <w:tcPr>
            <w:tcW w:type="dxa" w:w="16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Entry price</w:t>
            </w:r>
          </w:p>
        </w:tc>
        <w:tc>
          <w:tcPr>
            <w:tcW w:type="dxa" w:w="2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Envelope model</w:t>
            </w:r>
          </w:p>
        </w:tc>
        <w:tc>
          <w:tcPr>
            <w:tcW w:type="dxa" w:w="2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API access</w:t>
            </w:r>
          </w:p>
        </w:tc>
        <w:tc>
          <w:tcPr>
            <w:tcW w:type="dxa" w:w="23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Key weakness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DocuSign Personal</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$10/month</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5/month (60/year)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Business Pro only ($40+/user)</w:t>
            </w:r>
          </w:p>
        </w:tc>
        <w:tc>
          <w:tcPr>
            <w:tcW w:type="dxa" w:w="2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Severe volume caps; API costs extra</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DocuSign Standard</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$25/user/month</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100/user/year</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Business Pro only</w:t>
            </w:r>
          </w:p>
        </w:tc>
        <w:tc>
          <w:tcPr>
            <w:tcW w:type="dxa" w:w="2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10-user team = $3,000+/year</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Adobe Sign</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$10/month</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5/month individual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Separate developer tier</w:t>
            </w:r>
          </w:p>
        </w:tc>
        <w:tc>
          <w:tcPr>
            <w:tcW w:type="dxa" w:w="2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Adobe ecosystem lock-in</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SignNow</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$8/user/month</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Varies by plan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Standard and above</w:t>
            </w:r>
          </w:p>
        </w:tc>
        <w:tc>
          <w:tcPr>
            <w:tcW w:type="dxa" w:w="2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Less enterprise trust</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HelloSign/Dropbox</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$15/user/month</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Limited free tier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Standard plans</w:t>
            </w:r>
          </w:p>
        </w:tc>
        <w:tc>
          <w:tcPr>
            <w:tcW w:type="dxa" w:w="2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Basic workflow</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Signable (UK)</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£21+/month</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Per envelope pricing</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Additional cost</w:t>
            </w:r>
          </w:p>
        </w:tc>
        <w:tc>
          <w:tcPr>
            <w:tcW w:type="dxa" w:w="2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Per-envelope pricing unpredictable</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DocSignerHub Free</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Free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100/merchant forever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Full API included</w:t>
            </w:r>
          </w:p>
        </w:tc>
        <w:tc>
          <w:tcPr>
            <w:tcW w:type="dxa" w:w="2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New brand — requires trust building</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DocSignerHub Paid</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Custom</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Quota-based flat fee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Full API included always</w:t>
            </w:r>
          </w:p>
        </w:tc>
        <w:tc>
          <w:tcPr>
            <w:tcW w:type="dxa" w:w="2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Positioning story needed</w:t>
            </w:r>
          </w:p>
        </w:tc>
      </w:tr>
    </w:tbl>
    <w:p>
      <w:pPr>
        <w:spacing w:after="80"/>
      </w:pPr>
    </w:p>
    <w:p>
      <w:pPr>
        <w:pStyle w:val="Heading2"/>
        <w:spacing w:after="90" w:before="240"/>
      </w:pPr>
      <w:r>
        <w:rPr>
          <w:rFonts w:ascii="Calibri" w:cs="Calibri" w:eastAsia="Calibri" w:hAnsi="Calibri"/>
          <w:b/>
          <w:bCs/>
          <w:color w:val="0F766E"/>
          <w:sz w:val="27"/>
          <w:szCs w:val="27"/>
        </w:rPr>
        <w:t xml:space="preserve">2.3  Who will benefit — target segments</w:t>
      </w:r>
    </w:p>
    <w:p>
      <w:pPr>
        <w:spacing w:after="100"/>
      </w:pPr>
      <w:r>
        <w:rPr>
          <w:rFonts w:ascii="Calibri" w:cs="Calibri" w:eastAsia="Calibri" w:hAnsi="Calibri"/>
          <w:color w:val="0F172A"/>
          <w:sz w:val="20"/>
          <w:szCs w:val="20"/>
        </w:rPr>
        <w:t xml:space="preserve">The following segments have the clearest ROI from switching to DocSignerHub or integrating its API.</w:t>
      </w:r>
    </w:p>
    <w:p>
      <w:pPr>
        <w:spacing w:after="80"/>
      </w:pPr>
    </w:p>
    <w:p>
      <w:pPr>
        <w:pStyle w:val="Heading3"/>
        <w:spacing w:after="70" w:before="160"/>
      </w:pPr>
      <w:r>
        <w:rPr>
          <w:rFonts w:ascii="Calibri" w:cs="Calibri" w:eastAsia="Calibri" w:hAnsi="Calibri"/>
          <w:b/>
          <w:bCs/>
          <w:color w:val="2563EB"/>
          <w:sz w:val="23"/>
          <w:szCs w:val="23"/>
        </w:rPr>
        <w:t xml:space="preserve">Segment 1 — Law firms and legal services (highest priority)</w:t>
      </w:r>
    </w:p>
    <w:p>
      <w:pPr>
        <w:spacing w:after="100"/>
      </w:pPr>
      <w:r>
        <w:rPr>
          <w:rFonts w:ascii="Calibri" w:cs="Calibri" w:eastAsia="Calibri" w:hAnsi="Calibri"/>
          <w:color w:val="0F172A"/>
          <w:sz w:val="20"/>
          <w:szCs w:val="20"/>
        </w:rPr>
        <w:t xml:space="preserve">The original inspiration for DocSignerHub. Law firms using Signable, DocuSign, or paper-based workflows face </w:t>
      </w:r>
      <w:r>
        <w:rPr>
          <w:rFonts w:ascii="Calibri" w:cs="Calibri" w:eastAsia="Calibri" w:hAnsi="Calibri"/>
          <w:b/>
          <w:bCs/>
          <w:color w:val="0F172A"/>
          <w:sz w:val="22"/>
          <w:szCs w:val="22"/>
        </w:rPr>
        <w:t xml:space="preserve">per-envelope costs that scale painfully with caseload.</w:t>
      </w:r>
      <w:r>
        <w:rPr>
          <w:rFonts w:ascii="Calibri" w:cs="Calibri" w:eastAsia="Calibri" w:hAnsi="Calibri"/>
          <w:color w:val="0F172A"/>
          <w:sz w:val="20"/>
          <w:szCs w:val="20"/>
        </w:rPr>
        <w:t xml:space="preserve"> A personal injury firm sending 200 client letters per month at Signable rates pays significantly more than a flat DocSignerHub subscription. The multi-signer, countersignature, and audit trail features are purpose-built for legal compliance.</w:t>
      </w:r>
    </w:p>
    <w:p>
      <w:pPr>
        <w:pStyle w:val="ListParagraph"/>
        <w:numPr>
          <w:ilvl w:val="0"/>
          <w:numId w:val="2"/>
        </w:numPr>
        <w:spacing w:after="55"/>
      </w:pPr>
      <w:r>
        <w:rPr>
          <w:rFonts w:ascii="Calibri" w:cs="Calibri" w:eastAsia="Calibri" w:hAnsi="Calibri"/>
          <w:color w:val="0F172A"/>
          <w:sz w:val="20"/>
          <w:szCs w:val="20"/>
        </w:rPr>
        <w:t xml:space="preserve">Pain: Signable per-envelope pricing, manual case system integration, no API</w:t>
      </w:r>
    </w:p>
    <w:p>
      <w:pPr>
        <w:pStyle w:val="ListParagraph"/>
        <w:numPr>
          <w:ilvl w:val="0"/>
          <w:numId w:val="2"/>
        </w:numPr>
        <w:spacing w:after="55"/>
      </w:pPr>
      <w:r>
        <w:rPr>
          <w:rFonts w:ascii="Calibri" w:cs="Calibri" w:eastAsia="Calibri" w:hAnsi="Calibri"/>
          <w:color w:val="0F172A"/>
          <w:sz w:val="20"/>
          <w:szCs w:val="20"/>
        </w:rPr>
        <w:t xml:space="preserve">Value: Replace Signable call with one POST /api/envelopes; same workflow, no third-party data</w:t>
      </w:r>
    </w:p>
    <w:p>
      <w:pPr>
        <w:pStyle w:val="ListParagraph"/>
        <w:numPr>
          <w:ilvl w:val="0"/>
          <w:numId w:val="2"/>
        </w:numPr>
        <w:spacing w:after="55"/>
      </w:pPr>
      <w:r>
        <w:rPr>
          <w:rFonts w:ascii="Calibri" w:cs="Calibri" w:eastAsia="Calibri" w:hAnsi="Calibri"/>
          <w:color w:val="0F172A"/>
          <w:sz w:val="20"/>
          <w:szCs w:val="20"/>
        </w:rPr>
        <w:t xml:space="preserve">Key features used: Sequential signing, countersignature roles, activity timeline, audit log, webhook</w:t>
      </w:r>
    </w:p>
    <w:p>
      <w:pPr>
        <w:pStyle w:val="ListParagraph"/>
        <w:numPr>
          <w:ilvl w:val="0"/>
          <w:numId w:val="2"/>
        </w:numPr>
        <w:spacing w:after="55"/>
      </w:pPr>
      <w:r>
        <w:rPr>
          <w:rFonts w:ascii="Calibri" w:cs="Calibri" w:eastAsia="Calibri" w:hAnsi="Calibri"/>
          <w:color w:val="0F172A"/>
          <w:sz w:val="20"/>
          <w:szCs w:val="20"/>
        </w:rPr>
        <w:t xml:space="preserve">Volume: UK personal injury sector processes ~1.2M new claims per year (Ministry of Justice 2025)</w:t>
      </w:r>
    </w:p>
    <w:p>
      <w:pPr>
        <w:spacing w:after="80"/>
      </w:pPr>
    </w:p>
    <w:p>
      <w:pPr>
        <w:pStyle w:val="Heading3"/>
        <w:spacing w:after="70" w:before="160"/>
      </w:pPr>
      <w:r>
        <w:rPr>
          <w:rFonts w:ascii="Calibri" w:cs="Calibri" w:eastAsia="Calibri" w:hAnsi="Calibri"/>
          <w:b/>
          <w:bCs/>
          <w:color w:val="2563EB"/>
          <w:sz w:val="23"/>
          <w:szCs w:val="23"/>
        </w:rPr>
        <w:t xml:space="preserve">Segment 2 — HR departments and recruitment agencies</w:t>
      </w:r>
    </w:p>
    <w:p>
      <w:pPr>
        <w:spacing w:after="100"/>
      </w:pPr>
      <w:r>
        <w:rPr>
          <w:rFonts w:ascii="Calibri" w:cs="Calibri" w:eastAsia="Calibri" w:hAnsi="Calibri"/>
          <w:color w:val="0F172A"/>
          <w:sz w:val="20"/>
          <w:szCs w:val="20"/>
        </w:rPr>
        <w:t xml:space="preserve">Employment contracts, NDAs, offer letters, and onboarding forms require </w:t>
      </w:r>
      <w:r>
        <w:rPr>
          <w:rFonts w:ascii="Calibri" w:cs="Calibri" w:eastAsia="Calibri" w:hAnsi="Calibri"/>
          <w:b/>
          <w:bCs/>
          <w:color w:val="0F172A"/>
          <w:sz w:val="22"/>
          <w:szCs w:val="22"/>
        </w:rPr>
        <w:t xml:space="preserve">multiple signers in a specific order</w:t>
      </w:r>
      <w:r>
        <w:rPr>
          <w:rFonts w:ascii="Calibri" w:cs="Calibri" w:eastAsia="Calibri" w:hAnsi="Calibri"/>
          <w:color w:val="0F172A"/>
          <w:sz w:val="20"/>
          <w:szCs w:val="20"/>
        </w:rPr>
        <w:t xml:space="preserve"> — candidate first, then HR, then legal. DocSignerHub's signing order system and countersignature roles are exactly the workflow HR needs. Signer contacts make it fast to build document packs for repeated signers.</w:t>
      </w:r>
    </w:p>
    <w:p>
      <w:pPr>
        <w:pStyle w:val="ListParagraph"/>
        <w:numPr>
          <w:ilvl w:val="0"/>
          <w:numId w:val="2"/>
        </w:numPr>
        <w:spacing w:after="55"/>
      </w:pPr>
      <w:r>
        <w:rPr>
          <w:rFonts w:ascii="Calibri" w:cs="Calibri" w:eastAsia="Calibri" w:hAnsi="Calibri"/>
          <w:color w:val="0F172A"/>
          <w:sz w:val="20"/>
          <w:szCs w:val="20"/>
        </w:rPr>
        <w:t xml:space="preserve">Pain: DocuSign costs per user seat; many HR teams are not technical</w:t>
      </w:r>
    </w:p>
    <w:p>
      <w:pPr>
        <w:pStyle w:val="ListParagraph"/>
        <w:numPr>
          <w:ilvl w:val="0"/>
          <w:numId w:val="2"/>
        </w:numPr>
        <w:spacing w:after="55"/>
      </w:pPr>
      <w:r>
        <w:rPr>
          <w:rFonts w:ascii="Calibri" w:cs="Calibri" w:eastAsia="Calibri" w:hAnsi="Calibri"/>
          <w:color w:val="0F172A"/>
          <w:sz w:val="20"/>
          <w:szCs w:val="20"/>
        </w:rPr>
        <w:t xml:space="preserve">Value: Simple send form in Blazor portal; API integration with HRIS via webhooks</w:t>
      </w:r>
    </w:p>
    <w:p>
      <w:pPr>
        <w:pStyle w:val="ListParagraph"/>
        <w:numPr>
          <w:ilvl w:val="0"/>
          <w:numId w:val="2"/>
        </w:numPr>
        <w:spacing w:after="55"/>
      </w:pPr>
      <w:r>
        <w:rPr>
          <w:rFonts w:ascii="Calibri" w:cs="Calibri" w:eastAsia="Calibri" w:hAnsi="Calibri"/>
          <w:color w:val="0F172A"/>
          <w:sz w:val="20"/>
          <w:szCs w:val="20"/>
        </w:rPr>
        <w:t xml:space="preserve">Key features used: Multi-signer order, signer contacts, resend invitation, webhook on completion</w:t>
      </w:r>
    </w:p>
    <w:p>
      <w:pPr>
        <w:pStyle w:val="ListParagraph"/>
        <w:numPr>
          <w:ilvl w:val="0"/>
          <w:numId w:val="2"/>
        </w:numPr>
        <w:spacing w:after="55"/>
      </w:pPr>
      <w:r>
        <w:rPr>
          <w:rFonts w:ascii="Calibri" w:cs="Calibri" w:eastAsia="Calibri" w:hAnsi="Calibri"/>
          <w:color w:val="0F172A"/>
          <w:sz w:val="20"/>
          <w:szCs w:val="20"/>
        </w:rPr>
        <w:t xml:space="preserve">Market: 500,000+ UK businesses with 10+ employees each requiring periodic contract signing</w:t>
      </w:r>
    </w:p>
    <w:p>
      <w:pPr>
        <w:spacing w:after="80"/>
      </w:pPr>
    </w:p>
    <w:p>
      <w:pPr>
        <w:pStyle w:val="Heading3"/>
        <w:spacing w:after="70" w:before="160"/>
      </w:pPr>
      <w:r>
        <w:rPr>
          <w:rFonts w:ascii="Calibri" w:cs="Calibri" w:eastAsia="Calibri" w:hAnsi="Calibri"/>
          <w:b/>
          <w:bCs/>
          <w:color w:val="2563EB"/>
          <w:sz w:val="23"/>
          <w:szCs w:val="23"/>
        </w:rPr>
        <w:t xml:space="preserve">Segment 3 — SaaS platforms and ISVs (white-label API customers)</w:t>
      </w:r>
    </w:p>
    <w:p>
      <w:pPr>
        <w:spacing w:after="100"/>
      </w:pPr>
      <w:r>
        <w:rPr>
          <w:rFonts w:ascii="Calibri" w:cs="Calibri" w:eastAsia="Calibri" w:hAnsi="Calibri"/>
          <w:color w:val="0F172A"/>
          <w:sz w:val="20"/>
          <w:szCs w:val="20"/>
        </w:rPr>
        <w:t xml:space="preserve">Software companies building their own products (CRMs, case management systems, property portals, healthcare platforms) </w:t>
      </w:r>
      <w:r>
        <w:rPr>
          <w:rFonts w:ascii="Calibri" w:cs="Calibri" w:eastAsia="Calibri" w:hAnsi="Calibri"/>
          <w:b/>
          <w:bCs/>
          <w:color w:val="0F172A"/>
          <w:sz w:val="22"/>
          <w:szCs w:val="22"/>
        </w:rPr>
        <w:t xml:space="preserve">do not want to build e-signing from scratch.</w:t>
      </w:r>
      <w:r>
        <w:rPr>
          <w:rFonts w:ascii="Calibri" w:cs="Calibri" w:eastAsia="Calibri" w:hAnsi="Calibri"/>
          <w:color w:val="0F172A"/>
          <w:sz w:val="20"/>
          <w:szCs w:val="20"/>
        </w:rPr>
        <w:t xml:space="preserve"> They want to embed an API call and have the signing handled. DocSignerHub is the only product in this analysis that offers </w:t>
      </w:r>
      <w:r>
        <w:rPr>
          <w:rFonts w:ascii="Calibri" w:cs="Calibri" w:eastAsia="Calibri" w:hAnsi="Calibri"/>
          <w:b/>
          <w:bCs/>
          <w:color w:val="0F172A"/>
          <w:sz w:val="22"/>
          <w:szCs w:val="22"/>
        </w:rPr>
        <w:t xml:space="preserve">full API access on the free tier</w:t>
      </w:r>
      <w:r>
        <w:rPr>
          <w:rFonts w:ascii="Calibri" w:cs="Calibri" w:eastAsia="Calibri" w:hAnsi="Calibri"/>
          <w:color w:val="0F172A"/>
          <w:sz w:val="20"/>
          <w:szCs w:val="20"/>
        </w:rPr>
        <w:t xml:space="preserve"> with a merchant-per-customer model that maps perfectly to white-label SaaS.</w:t>
      </w:r>
    </w:p>
    <w:p>
      <w:pPr>
        <w:pStyle w:val="ListParagraph"/>
        <w:numPr>
          <w:ilvl w:val="0"/>
          <w:numId w:val="2"/>
        </w:numPr>
        <w:spacing w:after="55"/>
      </w:pPr>
      <w:r>
        <w:rPr>
          <w:rFonts w:ascii="Calibri" w:cs="Calibri" w:eastAsia="Calibri" w:hAnsi="Calibri"/>
          <w:color w:val="0F172A"/>
          <w:sz w:val="20"/>
          <w:szCs w:val="20"/>
        </w:rPr>
        <w:t xml:space="preserve">Pain: DocuSign API requires Business Pro ($40+/user/month); technical setup takes weeks</w:t>
      </w:r>
    </w:p>
    <w:p>
      <w:pPr>
        <w:pStyle w:val="ListParagraph"/>
        <w:numPr>
          <w:ilvl w:val="0"/>
          <w:numId w:val="2"/>
        </w:numPr>
        <w:spacing w:after="55"/>
      </w:pPr>
      <w:r>
        <w:rPr>
          <w:rFonts w:ascii="Calibri" w:cs="Calibri" w:eastAsia="Calibri" w:hAnsi="Calibri"/>
          <w:color w:val="0F172A"/>
          <w:sz w:val="20"/>
          <w:szCs w:val="20"/>
        </w:rPr>
        <w:t xml:space="preserve">Value: One POST /api/envelopes, full webhook callbacks, per-customer merchant isolation</w:t>
      </w:r>
    </w:p>
    <w:p>
      <w:pPr>
        <w:pStyle w:val="ListParagraph"/>
        <w:numPr>
          <w:ilvl w:val="0"/>
          <w:numId w:val="2"/>
        </w:numPr>
        <w:spacing w:after="55"/>
      </w:pPr>
      <w:r>
        <w:rPr>
          <w:rFonts w:ascii="Calibri" w:cs="Calibri" w:eastAsia="Calibri" w:hAnsi="Calibri"/>
          <w:color w:val="0F172A"/>
          <w:sz w:val="20"/>
          <w:szCs w:val="20"/>
        </w:rPr>
        <w:t xml:space="preserve">Key features used: Merchant API, webhooks, signer contacts API, signed document download</w:t>
      </w:r>
    </w:p>
    <w:p>
      <w:pPr>
        <w:pStyle w:val="ListParagraph"/>
        <w:numPr>
          <w:ilvl w:val="0"/>
          <w:numId w:val="2"/>
        </w:numPr>
        <w:spacing w:after="55"/>
      </w:pPr>
      <w:r>
        <w:rPr>
          <w:rFonts w:ascii="Calibri" w:cs="Calibri" w:eastAsia="Calibri" w:hAnsi="Calibri"/>
          <w:color w:val="0F172A"/>
          <w:sz w:val="20"/>
          <w:szCs w:val="20"/>
        </w:rPr>
        <w:t xml:space="preserve">Target: 50,000+ B2B SaaS products in the UK alone that touch document workflows</w:t>
      </w:r>
    </w:p>
    <w:p>
      <w:pPr>
        <w:spacing w:after="80"/>
      </w:pPr>
    </w:p>
    <w:p>
      <w:pPr>
        <w:pStyle w:val="Heading3"/>
        <w:spacing w:after="70" w:before="160"/>
      </w:pPr>
      <w:r>
        <w:rPr>
          <w:rFonts w:ascii="Calibri" w:cs="Calibri" w:eastAsia="Calibri" w:hAnsi="Calibri"/>
          <w:b/>
          <w:bCs/>
          <w:color w:val="2563EB"/>
          <w:sz w:val="23"/>
          <w:szCs w:val="23"/>
        </w:rPr>
        <w:t xml:space="preserve">Segment 4 — Financial services and insurance</w:t>
      </w:r>
    </w:p>
    <w:p>
      <w:pPr>
        <w:spacing w:after="100"/>
      </w:pPr>
      <w:r>
        <w:rPr>
          <w:rFonts w:ascii="Calibri" w:cs="Calibri" w:eastAsia="Calibri" w:hAnsi="Calibri"/>
          <w:color w:val="0F172A"/>
          <w:sz w:val="20"/>
          <w:szCs w:val="20"/>
        </w:rPr>
        <w:t xml:space="preserve">Mandate forms, SIPP applications, insurance policy schedules, mortgage documents, and KYC documentation all require </w:t>
      </w:r>
      <w:r>
        <w:rPr>
          <w:rFonts w:ascii="Calibri" w:cs="Calibri" w:eastAsia="Calibri" w:hAnsi="Calibri"/>
          <w:b/>
          <w:bCs/>
          <w:color w:val="0F172A"/>
          <w:sz w:val="22"/>
          <w:szCs w:val="22"/>
        </w:rPr>
        <w:t xml:space="preserve">witnessed or countersigned execution.</w:t>
      </w:r>
      <w:r>
        <w:rPr>
          <w:rFonts w:ascii="Calibri" w:cs="Calibri" w:eastAsia="Calibri" w:hAnsi="Calibri"/>
          <w:color w:val="0F172A"/>
          <w:sz w:val="20"/>
          <w:szCs w:val="20"/>
        </w:rPr>
        <w:t xml:space="preserve"> The immutable audit trail (DENY DELETE on AuditLog), eIDAS compliance, HMAC token security, and IP logging make DocSignerHub a credible choice for regulated financial workflows.</w:t>
      </w:r>
    </w:p>
    <w:p>
      <w:pPr>
        <w:pStyle w:val="ListParagraph"/>
        <w:numPr>
          <w:ilvl w:val="0"/>
          <w:numId w:val="2"/>
        </w:numPr>
        <w:spacing w:after="55"/>
      </w:pPr>
      <w:r>
        <w:rPr>
          <w:rFonts w:ascii="Calibri" w:cs="Calibri" w:eastAsia="Calibri" w:hAnsi="Calibri"/>
          <w:color w:val="0F172A"/>
          <w:sz w:val="20"/>
          <w:szCs w:val="20"/>
        </w:rPr>
        <w:t xml:space="preserve">Pain: Wet ink processes for regulated docs; DocuSign enterprise pricing out of reach for mid-market</w:t>
      </w:r>
    </w:p>
    <w:p>
      <w:pPr>
        <w:pStyle w:val="ListParagraph"/>
        <w:numPr>
          <w:ilvl w:val="0"/>
          <w:numId w:val="2"/>
        </w:numPr>
        <w:spacing w:after="55"/>
      </w:pPr>
      <w:r>
        <w:rPr>
          <w:rFonts w:ascii="Calibri" w:cs="Calibri" w:eastAsia="Calibri" w:hAnsi="Calibri"/>
          <w:color w:val="0F172A"/>
          <w:sz w:val="20"/>
          <w:szCs w:val="20"/>
        </w:rPr>
        <w:t xml:space="preserve">Value: eIDAS SES compliance; full audit log with IP/user-agent; reject + cancel workflow</w:t>
      </w:r>
    </w:p>
    <w:p>
      <w:pPr>
        <w:pStyle w:val="ListParagraph"/>
        <w:numPr>
          <w:ilvl w:val="0"/>
          <w:numId w:val="2"/>
        </w:numPr>
        <w:spacing w:after="55"/>
      </w:pPr>
      <w:r>
        <w:rPr>
          <w:rFonts w:ascii="Calibri" w:cs="Calibri" w:eastAsia="Calibri" w:hAnsi="Calibri"/>
          <w:color w:val="0F172A"/>
          <w:sz w:val="20"/>
          <w:szCs w:val="20"/>
        </w:rPr>
        <w:t xml:space="preserve">Key features used: Rejection workflow, full audit log, webhook on rejection/completion, multi-doc envelopes</w:t>
      </w:r>
    </w:p>
    <w:p>
      <w:pPr>
        <w:spacing w:after="80"/>
      </w:pPr>
    </w:p>
    <w:p>
      <w:pPr>
        <w:pStyle w:val="Heading3"/>
        <w:spacing w:after="70" w:before="160"/>
      </w:pPr>
      <w:r>
        <w:rPr>
          <w:rFonts w:ascii="Calibri" w:cs="Calibri" w:eastAsia="Calibri" w:hAnsi="Calibri"/>
          <w:b/>
          <w:bCs/>
          <w:color w:val="2563EB"/>
          <w:sz w:val="23"/>
          <w:szCs w:val="23"/>
        </w:rPr>
        <w:t xml:space="preserve">Segment 5 — Property and conveyancing</w:t>
      </w:r>
    </w:p>
    <w:p>
      <w:pPr>
        <w:spacing w:after="100"/>
      </w:pPr>
      <w:r>
        <w:rPr>
          <w:rFonts w:ascii="Calibri" w:cs="Calibri" w:eastAsia="Calibri" w:hAnsi="Calibri"/>
          <w:color w:val="0F172A"/>
          <w:sz w:val="20"/>
          <w:szCs w:val="20"/>
        </w:rPr>
        <w:t xml:space="preserve">Tenancy agreements, viewing authorisations, and sales memoranda regularly require </w:t>
      </w:r>
      <w:r>
        <w:rPr>
          <w:rFonts w:ascii="Calibri" w:cs="Calibri" w:eastAsia="Calibri" w:hAnsi="Calibri"/>
          <w:b/>
          <w:bCs/>
          <w:color w:val="0F172A"/>
          <w:sz w:val="22"/>
          <w:szCs w:val="22"/>
        </w:rPr>
        <w:t xml:space="preserve">3-4 parties to sign in order</w:t>
      </w:r>
      <w:r>
        <w:rPr>
          <w:rFonts w:ascii="Calibri" w:cs="Calibri" w:eastAsia="Calibri" w:hAnsi="Calibri"/>
          <w:color w:val="0F172A"/>
          <w:sz w:val="20"/>
          <w:szCs w:val="20"/>
        </w:rPr>
        <w:t xml:space="preserve"> — tenant, guarantor, landlord, agent. The sequential multi-signer flow handles this natively. Estate agents and conveyancers who currently print, scan, and email documents back and forth gain enormous time savings.</w:t>
      </w:r>
    </w:p>
    <w:p>
      <w:pPr>
        <w:pStyle w:val="ListParagraph"/>
        <w:numPr>
          <w:ilvl w:val="0"/>
          <w:numId w:val="2"/>
        </w:numPr>
        <w:spacing w:after="55"/>
      </w:pPr>
      <w:r>
        <w:rPr>
          <w:rFonts w:ascii="Calibri" w:cs="Calibri" w:eastAsia="Calibri" w:hAnsi="Calibri"/>
          <w:color w:val="0F172A"/>
          <w:sz w:val="20"/>
          <w:szCs w:val="20"/>
        </w:rPr>
        <w:t xml:space="preserve">Pain: Paper-based processes; DocuSign overkill for small agencies</w:t>
      </w:r>
    </w:p>
    <w:p>
      <w:pPr>
        <w:pStyle w:val="ListParagraph"/>
        <w:numPr>
          <w:ilvl w:val="0"/>
          <w:numId w:val="2"/>
        </w:numPr>
        <w:spacing w:after="55"/>
      </w:pPr>
      <w:r>
        <w:rPr>
          <w:rFonts w:ascii="Calibri" w:cs="Calibri" w:eastAsia="Calibri" w:hAnsi="Calibri"/>
          <w:color w:val="0F172A"/>
          <w:sz w:val="20"/>
          <w:szCs w:val="20"/>
        </w:rPr>
        <w:t xml:space="preserve">Value: 3-4 signer sequential flow; automated email chain; signed doc downloaded by all parties</w:t>
      </w:r>
    </w:p>
    <w:p>
      <w:pPr>
        <w:pStyle w:val="ListParagraph"/>
        <w:numPr>
          <w:ilvl w:val="0"/>
          <w:numId w:val="2"/>
        </w:numPr>
        <w:spacing w:after="55"/>
      </w:pPr>
      <w:r>
        <w:rPr>
          <w:rFonts w:ascii="Calibri" w:cs="Calibri" w:eastAsia="Calibri" w:hAnsi="Calibri"/>
          <w:color w:val="0F172A"/>
          <w:sz w:val="20"/>
          <w:szCs w:val="20"/>
        </w:rPr>
        <w:t xml:space="preserve">UK context: 1.1M property transactions per year; majority still paper-dependent for final sign-off</w:t>
      </w:r>
    </w:p>
    <w:p>
      <w:pPr>
        <w:spacing w:after="80"/>
      </w:pPr>
    </w:p>
    <w:p>
      <w:pPr>
        <w:pStyle w:val="Heading3"/>
        <w:spacing w:after="70" w:before="160"/>
      </w:pPr>
      <w:r>
        <w:rPr>
          <w:rFonts w:ascii="Calibri" w:cs="Calibri" w:eastAsia="Calibri" w:hAnsi="Calibri"/>
          <w:b/>
          <w:bCs/>
          <w:color w:val="2563EB"/>
          <w:sz w:val="23"/>
          <w:szCs w:val="23"/>
        </w:rPr>
        <w:t xml:space="preserve">Segment 6 — Healthcare and clinical research</w:t>
      </w:r>
    </w:p>
    <w:p>
      <w:pPr>
        <w:spacing w:after="100"/>
      </w:pPr>
      <w:r>
        <w:rPr>
          <w:rFonts w:ascii="Calibri" w:cs="Calibri" w:eastAsia="Calibri" w:hAnsi="Calibri"/>
          <w:color w:val="0F172A"/>
          <w:sz w:val="20"/>
          <w:szCs w:val="20"/>
        </w:rPr>
        <w:t xml:space="preserve">Patient consent forms, clinical trial participant agreements, and research ethics documentation require </w:t>
      </w:r>
      <w:r>
        <w:rPr>
          <w:rFonts w:ascii="Calibri" w:cs="Calibri" w:eastAsia="Calibri" w:hAnsi="Calibri"/>
          <w:b/>
          <w:bCs/>
          <w:color w:val="0F172A"/>
          <w:sz w:val="22"/>
          <w:szCs w:val="22"/>
        </w:rPr>
        <w:t xml:space="preserve">witnessed acknowledgement with an immutable audit chain.</w:t>
      </w:r>
      <w:r>
        <w:rPr>
          <w:rFonts w:ascii="Calibri" w:cs="Calibri" w:eastAsia="Calibri" w:hAnsi="Calibri"/>
          <w:color w:val="0F172A"/>
          <w:sz w:val="20"/>
          <w:szCs w:val="20"/>
        </w:rPr>
        <w:t xml:space="preserve"> The EU eIDAS SES standard is explicitly recognised for healthcare consent in most EU member states.</w:t>
      </w:r>
    </w:p>
    <w:p>
      <w:pPr>
        <w:pStyle w:val="ListParagraph"/>
        <w:numPr>
          <w:ilvl w:val="0"/>
          <w:numId w:val="2"/>
        </w:numPr>
        <w:spacing w:after="55"/>
      </w:pPr>
      <w:r>
        <w:rPr>
          <w:rFonts w:ascii="Calibri" w:cs="Calibri" w:eastAsia="Calibri" w:hAnsi="Calibri"/>
          <w:color w:val="0F172A"/>
          <w:sz w:val="20"/>
          <w:szCs w:val="20"/>
        </w:rPr>
        <w:t xml:space="preserve">Healthcare is the fastest-growing segment — 35% CAGR through 2030 (Mordor Intelligence)</w:t>
      </w:r>
    </w:p>
    <w:p>
      <w:pPr>
        <w:pStyle w:val="ListParagraph"/>
        <w:numPr>
          <w:ilvl w:val="0"/>
          <w:numId w:val="2"/>
        </w:numPr>
        <w:spacing w:after="55"/>
      </w:pPr>
      <w:r>
        <w:rPr>
          <w:rFonts w:ascii="Calibri" w:cs="Calibri" w:eastAsia="Calibri" w:hAnsi="Calibri"/>
          <w:color w:val="0F172A"/>
          <w:sz w:val="20"/>
          <w:szCs w:val="20"/>
        </w:rPr>
        <w:t xml:space="preserve">Key features: Witness role signing, full audit trail, reject capability, token expiry control</w:t>
      </w:r>
    </w:p>
    <w:p>
      <w:pPr>
        <w:spacing w:after="200"/>
      </w:pPr>
    </w:p>
    <w:p>
      <w:r>
        <w:br w:type="page"/>
      </w:r>
    </w:p>
    <w:p>
      <w:pPr>
        <w:pStyle w:val="Heading1"/>
        <w:pBdr>
          <w:bottom w:val="single" w:color="2563EB" w:sz="10"/>
        </w:pBdr>
        <w:spacing w:after="140" w:before="340"/>
      </w:pPr>
      <w:r>
        <w:rPr>
          <w:rFonts w:ascii="Calibri" w:cs="Calibri" w:eastAsia="Calibri" w:hAnsi="Calibri"/>
          <w:b/>
          <w:bCs/>
          <w:color w:val="1B3F6E"/>
          <w:sz w:val="34"/>
          <w:szCs w:val="34"/>
        </w:rPr>
        <w:t xml:space="preserve">PART 3 — What Is Missing: Gap Analysis</w:t>
      </w:r>
    </w:p>
    <w:p>
      <w:pPr>
        <w:spacing w:after="100"/>
      </w:pPr>
      <w:r>
        <w:rPr>
          <w:rFonts w:ascii="Calibri" w:cs="Calibri" w:eastAsia="Calibri" w:hAnsi="Calibri"/>
          <w:color w:val="0F172A"/>
          <w:sz w:val="20"/>
          <w:szCs w:val="20"/>
        </w:rPr>
        <w:t xml:space="preserve">This section identifies the capabilities that would meaningfully increase conversion, retention, and revenue. Gaps are prioritised by business impact.</w:t>
      </w:r>
    </w:p>
    <w:p>
      <w:pPr>
        <w:spacing w:after="80"/>
      </w:pPr>
    </w:p>
    <w:p>
      <w:pPr>
        <w:pStyle w:val="Heading2"/>
        <w:spacing w:after="90" w:before="240"/>
      </w:pPr>
      <w:r>
        <w:rPr>
          <w:rFonts w:ascii="Calibri" w:cs="Calibri" w:eastAsia="Calibri" w:hAnsi="Calibri"/>
          <w:b/>
          <w:bCs/>
          <w:color w:val="0F766E"/>
          <w:sz w:val="27"/>
          <w:szCs w:val="27"/>
        </w:rPr>
        <w:t xml:space="preserve">3.1  Critical gaps — block enterprise sales</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200"/>
        <w:gridCol w:w="1346"/>
      </w:tblGrid>
      <w:tr>
        <w:trPr>
          <w:tblHeader/>
        </w:trPr>
        <w:tc>
          <w:tcPr>
            <w:tcW w:type="dxa" w:w="2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Missing feature</w:t>
            </w:r>
          </w:p>
        </w:tc>
        <w:tc>
          <w:tcPr>
            <w:tcW w:type="dxa" w:w="4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Business impact</w:t>
            </w:r>
          </w:p>
        </w:tc>
        <w:tc>
          <w:tcPr>
            <w:tcW w:type="dxa" w:w="12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Effort</w:t>
            </w:r>
          </w:p>
        </w:tc>
        <w:tc>
          <w:tcPr>
            <w:tcW w:type="dxa" w:w="13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Document templates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Merchants can't save reusable document templates with pre-configured signers/roles. Every envelope requires uploading a file. This blocks high-volume users (law firms sending the same letter daily).</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Medium</w:t>
            </w:r>
          </w:p>
        </w:tc>
        <w:tc>
          <w:tcPr>
            <w:tcW w:type="dxa" w:w="1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P0 — do first</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 expiry control</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Token TTL is fixed server-side. Merchants cannot set expiry per envelope (e.g. 24h for urgent, 30d for contract). Loss of control frustrates enterprise buyers.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Low</w:t>
            </w:r>
          </w:p>
        </w:tc>
        <w:tc>
          <w:tcPr>
            <w:tcW w:type="dxa" w:w="1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Bulk send</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Send the same document to 50+ signers at once (e.g. company-wide policy update). Required for HR. Competitors offer this in mid-tier plans.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High</w:t>
            </w:r>
          </w:p>
        </w:tc>
        <w:tc>
          <w:tcPr>
            <w:tcW w:type="dxa" w:w="1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P0</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Signed document download (file, not Base64)</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GET /api/envelopes/{id}/signed-documents returns Base64. Non-technical merchants want a direct file download URL (PDF/DOCX).</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Low</w:t>
            </w:r>
          </w:p>
        </w:tc>
        <w:tc>
          <w:tcPr>
            <w:tcW w:type="dxa" w:w="1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 / merchant portal UI</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The API is complete but there is no self-service web UI for non-technical merchants to send envelopes, view status, and download documents without writing code.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High</w:t>
            </w:r>
          </w:p>
        </w:tc>
        <w:tc>
          <w:tcPr>
            <w:tcW w:type="dxa" w:w="1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P1</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Email branding</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All emails come from DocSignerHub branding. Paying merchants need to send from their own domain/brand (white-label).</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Medium</w:t>
            </w:r>
          </w:p>
        </w:tc>
        <w:tc>
          <w:tcPr>
            <w:tcW w:type="dxa" w:w="1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Reminder emails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No automated reminder to signers who have not acted after N days. This is a top-3 complaint about e-sign platforms.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Low</w:t>
            </w:r>
          </w:p>
        </w:tc>
        <w:tc>
          <w:tcPr>
            <w:tcW w:type="dxa" w:w="1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P1</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Document template variables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Templates with {{client_name}}, {{date}}, {{amount}} that are filled at send time. Eliminates the need for a separate document generation step.</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High</w:t>
            </w:r>
          </w:p>
        </w:tc>
        <w:tc>
          <w:tcPr>
            <w:tcW w:type="dxa" w:w="1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P2</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Advanced Electronic Signature (AES)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Current SES classification limits sales to financial services. AES (with identity verification) opens regulated finance and government.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Very high</w:t>
            </w:r>
          </w:p>
        </w:tc>
        <w:tc>
          <w:tcPr>
            <w:tcW w:type="dxa" w:w="1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P2 — future</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SAML/SSO</w:t>
            </w:r>
          </w:p>
        </w:tc>
        <w:tc>
          <w:tcPr>
            <w:tcW w:type="dxa" w:w="4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Enterprise buyers require single sign-on (Okta, Azure AD). Without SSO, most enterprises will not sign contracts.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Medium</w:t>
            </w:r>
          </w:p>
        </w:tc>
        <w:tc>
          <w:tcPr>
            <w:tcW w:type="dxa" w:w="13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P2</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Signing order groups (parallel + sequential)</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Current model is purely sequential. Many real-world workflows require Group A to sign in any order, then Group B. E.g. two directors must sign (either first), then the counterparty.</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High</w:t>
            </w:r>
          </w:p>
        </w:tc>
        <w:tc>
          <w:tcPr>
            <w:tcW w:type="dxa" w:w="13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P2</w:t>
            </w:r>
          </w:p>
        </w:tc>
      </w:tr>
    </w:tbl>
    <w:p>
      <w:pPr>
        <w:spacing w:after="80"/>
      </w:pPr>
    </w:p>
    <w:p>
      <w:pPr>
        <w:pStyle w:val="Heading2"/>
        <w:spacing w:after="90" w:before="240"/>
      </w:pPr>
      <w:r>
        <w:rPr>
          <w:rFonts w:ascii="Calibri" w:cs="Calibri" w:eastAsia="Calibri" w:hAnsi="Calibri"/>
          <w:b/>
          <w:bCs/>
          <w:color w:val="0F766E"/>
          <w:sz w:val="27"/>
          <w:szCs w:val="27"/>
        </w:rPr>
        <w:t xml:space="preserve">3.2  Growth feature gaps — increase retention and ARPU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Missing feature</w:t>
            </w:r>
          </w:p>
        </w:tc>
        <w:tc>
          <w:tcPr>
            <w:tcW w:type="dxa" w:w="69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Why it matters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In-document field placement UI</w:t>
            </w:r>
          </w:p>
        </w:tc>
        <w:tc>
          <w:tcPr>
            <w:tcW w:type="dxa" w:w="6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Drag-and-drop field placement (like DocuSign's tagger) instead of text placeholders. Lowers barrier for non-technical document owners dramatically.</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Webhook event replay</w:t>
            </w:r>
          </w:p>
        </w:tc>
        <w:tc>
          <w:tcPr>
            <w:tcW w:type="dxa" w:w="6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Ability to manually replay a past webhook event from the delivery history UI. Critical for debugging integrations.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 duplication / copy</w:t>
            </w:r>
          </w:p>
        </w:tc>
        <w:tc>
          <w:tcPr>
            <w:tcW w:type="dxa" w:w="6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Clone an existing envelope as a starting point. Saves time for recurring workflows.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Scheduled sending</w:t>
            </w:r>
          </w:p>
        </w:tc>
        <w:tc>
          <w:tcPr>
            <w:tcW w:type="dxa" w:w="6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Queue an envelope to be sent at a future date/time. Useful for contracts that activate on a specific date.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Two-factor signer authentication</w:t>
            </w:r>
          </w:p>
        </w:tc>
        <w:tc>
          <w:tcPr>
            <w:tcW w:type="dxa" w:w="6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Optional SMS code or access code required before signer can view document. Required for GDPR-sensitive data.</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Signer decline reason analytics</w:t>
            </w:r>
          </w:p>
        </w:tc>
        <w:tc>
          <w:tcPr>
            <w:tcW w:type="dxa" w:w="6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Aggregate analysis of rejection reasons across envelopes. Helps merchants understand why documents get rejected.</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API rate limiting per merchant</w:t>
            </w:r>
          </w:p>
        </w:tc>
        <w:tc>
          <w:tcPr>
            <w:tcW w:type="dxa" w:w="6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Currently quota is by request count. High-throughput merchants need API call rate limits to prevent abuse and ensure SLA.</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 folder / tagging</w:t>
            </w:r>
          </w:p>
        </w:tc>
        <w:tc>
          <w:tcPr>
            <w:tcW w:type="dxa" w:w="6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Merchants with high volume need to organise envelopes into folders or tag them (e.g. by client, case type, department).</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Notification preferences</w:t>
            </w:r>
          </w:p>
        </w:tc>
        <w:tc>
          <w:tcPr>
            <w:tcW w:type="dxa" w:w="6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Let merchants configure which webhook events they receive emails for. Reduces noise for high-volume senders.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Embedded signing</w:t>
            </w:r>
          </w:p>
        </w:tc>
        <w:tc>
          <w:tcPr>
            <w:tcW w:type="dxa" w:w="6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Render the signing portal inside an iframe in the merchant's own web app via a short-lived embed URL. Eliminates redirect to DocSignerHub portal.</w:t>
            </w:r>
          </w:p>
        </w:tc>
      </w:tr>
    </w:tbl>
    <w:p>
      <w:pPr>
        <w:spacing w:after="80"/>
      </w:pPr>
    </w:p>
    <w:p>
      <w:pPr>
        <w:pStyle w:val="Heading2"/>
        <w:spacing w:after="90" w:before="240"/>
      </w:pPr>
      <w:r>
        <w:rPr>
          <w:rFonts w:ascii="Calibri" w:cs="Calibri" w:eastAsia="Calibri" w:hAnsi="Calibri"/>
          <w:b/>
          <w:bCs/>
          <w:color w:val="0F766E"/>
          <w:sz w:val="27"/>
          <w:szCs w:val="27"/>
        </w:rPr>
        <w:t xml:space="preserve">3.3  Blog and marketing gaps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Content gap</w:t>
            </w:r>
          </w:p>
        </w:tc>
        <w:tc>
          <w:tcPr>
            <w:tcW w:type="dxa" w:w="71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Impact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No public blog or content marketing</w:t>
            </w:r>
          </w:p>
        </w:tc>
        <w:tc>
          <w:tcPr>
            <w:tcW w:type="dxa" w:w="7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Zero organic discovery. DocuSign's blog drives ~40% of their organic traffic. Every tutorial post is a permanent acquisition channel.</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No use-case landing pages</w:t>
            </w:r>
          </w:p>
        </w:tc>
        <w:tc>
          <w:tcPr>
            <w:tcW w:type="dxa" w:w="7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Single homepage serves all verticals. Law firms, HR, and SaaS devs all need different messaging. Separate pages dramatically improve conversion.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No comparison pages</w:t>
            </w:r>
          </w:p>
        </w:tc>
        <w:tc>
          <w:tcPr>
            <w:tcW w:type="dxa" w:w="7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Pages like "DocSignerHub vs DocuSign" and "DocSignerHub vs Signable" capture high-intent search traffic from buyers actively evaluating.</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No developer tutorials</w:t>
            </w:r>
          </w:p>
        </w:tc>
        <w:tc>
          <w:tcPr>
            <w:tcW w:type="dxa" w:w="7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Developers choose tools based on quickstart guides. A 5-minute integration tutorial with working code outperforms a feature list.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No case studies</w:t>
            </w:r>
          </w:p>
        </w:tc>
        <w:tc>
          <w:tcPr>
            <w:tcW w:type="dxa" w:w="7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No evidence of customer success. Even a single anonymised case study (e.g. "Law firm sends 200 letters/month") builds credibility enormously.</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No pricing comparison calculator</w:t>
            </w:r>
          </w:p>
        </w:tc>
        <w:tc>
          <w:tcPr>
            <w:tcW w:type="dxa" w:w="7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Letting buyers enter their envelope volume and seeing DocuSign vs DocSignerHub cost side-by-side is one of the highest-converting SaaS tools.</w:t>
            </w:r>
          </w:p>
        </w:tc>
      </w:tr>
    </w:tbl>
    <w:p>
      <w:pPr>
        <w:spacing w:after="200"/>
      </w:pPr>
    </w:p>
    <w:p>
      <w:r>
        <w:br w:type="page"/>
      </w:r>
    </w:p>
    <w:p>
      <w:pPr>
        <w:pStyle w:val="Heading1"/>
        <w:pBdr>
          <w:bottom w:val="single" w:color="2563EB" w:sz="10"/>
        </w:pBdr>
        <w:spacing w:after="140" w:before="340"/>
      </w:pPr>
      <w:r>
        <w:rPr>
          <w:rFonts w:ascii="Calibri" w:cs="Calibri" w:eastAsia="Calibri" w:hAnsi="Calibri"/>
          <w:b/>
          <w:bCs/>
          <w:color w:val="1B3F6E"/>
          <w:sz w:val="34"/>
          <w:szCs w:val="34"/>
        </w:rPr>
        <w:t xml:space="preserve">PART 4 — Feature Roadmap: Workflow Builder</w:t>
      </w:r>
    </w:p>
    <w:p>
      <w:pPr>
        <w:spacing w:after="100"/>
      </w:pPr>
      <w:r>
        <w:rPr>
          <w:rFonts w:ascii="Calibri" w:cs="Calibri" w:eastAsia="Calibri" w:hAnsi="Calibri"/>
          <w:color w:val="0F172A"/>
          <w:sz w:val="20"/>
          <w:szCs w:val="20"/>
        </w:rPr>
        <w:t xml:space="preserve">The most impactful single feature DocSignerHub can add is a </w:t>
      </w:r>
      <w:r>
        <w:rPr>
          <w:rFonts w:ascii="Calibri" w:cs="Calibri" w:eastAsia="Calibri" w:hAnsi="Calibri"/>
          <w:b/>
          <w:bCs/>
          <w:color w:val="0F172A"/>
          <w:sz w:val="22"/>
          <w:szCs w:val="22"/>
        </w:rPr>
        <w:t xml:space="preserve">visual workflow builder</w:t>
      </w:r>
      <w:r>
        <w:rPr>
          <w:rFonts w:ascii="Calibri" w:cs="Calibri" w:eastAsia="Calibri" w:hAnsi="Calibri"/>
          <w:color w:val="0F172A"/>
          <w:sz w:val="20"/>
          <w:szCs w:val="20"/>
        </w:rPr>
        <w:t xml:space="preserve"> — a drag-and-drop UI where merchants define </w:t>
      </w:r>
      <w:r>
        <w:rPr>
          <w:rFonts w:ascii="Calibri" w:cs="Calibri" w:eastAsia="Calibri" w:hAnsi="Calibri"/>
          <w:b/>
          <w:bCs/>
          <w:color w:val="0F172A"/>
          <w:sz w:val="22"/>
          <w:szCs w:val="22"/>
        </w:rPr>
        <w:t xml:space="preserve">who signs what, in what order, with what conditions,</w:t>
      </w:r>
      <w:r>
        <w:rPr>
          <w:rFonts w:ascii="Calibri" w:cs="Calibri" w:eastAsia="Calibri" w:hAnsi="Calibri"/>
          <w:color w:val="0F172A"/>
          <w:sz w:val="20"/>
          <w:szCs w:val="20"/>
        </w:rPr>
        <w:t xml:space="preserve"> without writing code or manually setting up envelope JSON each time. This section defines the complete design.</w:t>
      </w:r>
    </w:p>
    <w:p>
      <w:pPr>
        <w:spacing w:after="80"/>
      </w:pPr>
    </w:p>
    <w:p>
      <w:pPr>
        <w:pStyle w:val="Heading2"/>
        <w:spacing w:after="90" w:before="240"/>
      </w:pPr>
      <w:r>
        <w:rPr>
          <w:rFonts w:ascii="Calibri" w:cs="Calibri" w:eastAsia="Calibri" w:hAnsi="Calibri"/>
          <w:b/>
          <w:bCs/>
          <w:color w:val="0F766E"/>
          <w:sz w:val="27"/>
          <w:szCs w:val="27"/>
        </w:rPr>
        <w:t xml:space="preserve">4.1  Workflow concept</w:t>
      </w:r>
    </w:p>
    <w:p>
      <w:pPr>
        <w:spacing w:after="100"/>
      </w:pPr>
      <w:r>
        <w:rPr>
          <w:rFonts w:ascii="Calibri" w:cs="Calibri" w:eastAsia="Calibri" w:hAnsi="Calibri"/>
          <w:color w:val="0F172A"/>
          <w:sz w:val="20"/>
          <w:szCs w:val="20"/>
        </w:rPr>
        <w:t xml:space="preserve">A Workflow is a saved, reusable template that defines the complete signing process for a document type. When a merchant sends a document, they pick a workflow instead of configuring signers from scratch every time.</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Concept</w:t>
            </w:r>
          </w:p>
        </w:tc>
        <w:tc>
          <w:tcPr>
            <w:tcW w:type="dxa" w:w="77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Definition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Workflow</w:t>
            </w:r>
          </w:p>
        </w:tc>
        <w:tc>
          <w:tcPr>
            <w:tcW w:type="dxa" w:w="7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 named, reusable definition: which document template, which signers/roles, in what order, with what messages and conditions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Workflow step</w:t>
            </w:r>
          </w:p>
        </w:tc>
        <w:tc>
          <w:tcPr>
            <w:tcW w:type="dxa" w:w="7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One signer or group of signers at a given order position. Can be sequential or parallel within the step.</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Parallel step</w:t>
            </w:r>
          </w:p>
        </w:tc>
        <w:tc>
          <w:tcPr>
            <w:tcW w:type="dxa" w:w="7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Multiple signers at the same order level — any/all must sign before the next step activates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Sequential step</w:t>
            </w:r>
          </w:p>
        </w:tc>
        <w:tc>
          <w:tcPr>
            <w:tcW w:type="dxa" w:w="7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Signers at different order levels — each must complete before next is notified</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Condition</w:t>
            </w:r>
          </w:p>
        </w:tc>
        <w:tc>
          <w:tcPr>
            <w:tcW w:type="dxa" w:w="7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 rule that determines which step executes next (e.g. if role=Signer rejects, notify role=Manager)</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Trigger</w:t>
            </w:r>
          </w:p>
        </w:tc>
        <w:tc>
          <w:tcPr>
            <w:tcW w:type="dxa" w:w="7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What initiates the workflow: API call, manual portal send, scheduled run, or webhook from another system</w:t>
            </w:r>
          </w:p>
        </w:tc>
      </w:tr>
    </w:tbl>
    <w:p>
      <w:pPr>
        <w:spacing w:after="80"/>
      </w:pPr>
    </w:p>
    <w:p>
      <w:pPr>
        <w:pStyle w:val="Heading2"/>
        <w:spacing w:after="90" w:before="240"/>
      </w:pPr>
      <w:r>
        <w:rPr>
          <w:rFonts w:ascii="Calibri" w:cs="Calibri" w:eastAsia="Calibri" w:hAnsi="Calibri"/>
          <w:b/>
          <w:bCs/>
          <w:color w:val="0F766E"/>
          <w:sz w:val="27"/>
          <w:szCs w:val="27"/>
        </w:rPr>
        <w:t xml:space="preserve">4.2  Workflow builder UI specification</w:t>
      </w:r>
    </w:p>
    <w:p>
      <w:pPr>
        <w:spacing w:after="100"/>
      </w:pPr>
      <w:r>
        <w:rPr>
          <w:rFonts w:ascii="Calibri" w:cs="Calibri" w:eastAsia="Calibri" w:hAnsi="Calibri"/>
          <w:color w:val="0F172A"/>
          <w:sz w:val="20"/>
          <w:szCs w:val="20"/>
        </w:rPr>
        <w:t xml:space="preserve">The Blazor Server workflow builder should be a </w:t>
      </w:r>
      <w:r>
        <w:rPr>
          <w:rFonts w:ascii="Calibri" w:cs="Calibri" w:eastAsia="Calibri" w:hAnsi="Calibri"/>
          <w:b/>
          <w:bCs/>
          <w:color w:val="0F172A"/>
          <w:sz w:val="22"/>
          <w:szCs w:val="22"/>
        </w:rPr>
        <w:t xml:space="preserve">canvas-based, drag-and-drop interface</w:t>
      </w:r>
      <w:r>
        <w:rPr>
          <w:rFonts w:ascii="Calibri" w:cs="Calibri" w:eastAsia="Calibri" w:hAnsi="Calibri"/>
          <w:color w:val="0F172A"/>
          <w:sz w:val="20"/>
          <w:szCs w:val="20"/>
        </w:rPr>
        <w:t xml:space="preserve"> that renders visually as a flowchart. Each step is a card. Connections between cards represent the signing order. The builder generates the envelope JSON on save, which is stored as a template.</w:t>
      </w:r>
    </w:p>
    <w:p>
      <w:pPr>
        <w:spacing w:after="80"/>
      </w:pPr>
    </w:p>
    <w:p>
      <w:pPr>
        <w:pStyle w:val="Heading3"/>
        <w:spacing w:after="70" w:before="160"/>
      </w:pPr>
      <w:r>
        <w:rPr>
          <w:rFonts w:ascii="Calibri" w:cs="Calibri" w:eastAsia="Calibri" w:hAnsi="Calibri"/>
          <w:b/>
          <w:bCs/>
          <w:color w:val="2563EB"/>
          <w:sz w:val="23"/>
          <w:szCs w:val="23"/>
        </w:rPr>
        <w:t xml:space="preserve">Canvas layout</w:t>
      </w:r>
    </w:p>
    <w:p>
      <w:pPr>
        <w:pStyle w:val="ListParagraph"/>
        <w:numPr>
          <w:ilvl w:val="0"/>
          <w:numId w:val="2"/>
        </w:numPr>
        <w:spacing w:after="55"/>
      </w:pPr>
      <w:r>
        <w:rPr>
          <w:rFonts w:ascii="Calibri" w:cs="Calibri" w:eastAsia="Calibri" w:hAnsi="Calibri"/>
          <w:color w:val="0F172A"/>
          <w:sz w:val="20"/>
          <w:szCs w:val="20"/>
        </w:rPr>
        <w:t xml:space="preserve">Left panel: Step type palette (Signer, Parallel Group, Condition Branch, Notification, End)</w:t>
      </w:r>
    </w:p>
    <w:p>
      <w:pPr>
        <w:pStyle w:val="ListParagraph"/>
        <w:numPr>
          <w:ilvl w:val="0"/>
          <w:numId w:val="2"/>
        </w:numPr>
        <w:spacing w:after="55"/>
      </w:pPr>
      <w:r>
        <w:rPr>
          <w:rFonts w:ascii="Calibri" w:cs="Calibri" w:eastAsia="Calibri" w:hAnsi="Calibri"/>
          <w:color w:val="0F172A"/>
          <w:sz w:val="20"/>
          <w:szCs w:val="20"/>
        </w:rPr>
        <w:t xml:space="preserve">Centre canvas: Drop zone with Tailwind-styled step cards connected by SVG arrows</w:t>
      </w:r>
    </w:p>
    <w:p>
      <w:pPr>
        <w:pStyle w:val="ListParagraph"/>
        <w:numPr>
          <w:ilvl w:val="0"/>
          <w:numId w:val="2"/>
        </w:numPr>
        <w:spacing w:after="55"/>
      </w:pPr>
      <w:r>
        <w:rPr>
          <w:rFonts w:ascii="Calibri" w:cs="Calibri" w:eastAsia="Calibri" w:hAnsi="Calibri"/>
          <w:color w:val="0F172A"/>
          <w:sz w:val="20"/>
          <w:szCs w:val="20"/>
        </w:rPr>
        <w:t xml:space="preserve">Right panel: Property editor for the selected step (name, role, message, expiry, conditions)</w:t>
      </w:r>
    </w:p>
    <w:p>
      <w:pPr>
        <w:pStyle w:val="ListParagraph"/>
        <w:numPr>
          <w:ilvl w:val="0"/>
          <w:numId w:val="2"/>
        </w:numPr>
        <w:spacing w:after="55"/>
      </w:pPr>
      <w:r>
        <w:rPr>
          <w:rFonts w:ascii="Calibri" w:cs="Calibri" w:eastAsia="Calibri" w:hAnsi="Calibri"/>
          <w:color w:val="0F172A"/>
          <w:sz w:val="20"/>
          <w:szCs w:val="20"/>
        </w:rPr>
        <w:t xml:space="preserve">Top bar: Workflow name, Save, Preview, Activate, Export JSON</w:t>
      </w:r>
    </w:p>
    <w:p>
      <w:pPr>
        <w:spacing w:after="80"/>
      </w:pPr>
    </w:p>
    <w:p>
      <w:pPr>
        <w:pStyle w:val="Heading3"/>
        <w:spacing w:after="70" w:before="160"/>
      </w:pPr>
      <w:r>
        <w:rPr>
          <w:rFonts w:ascii="Calibri" w:cs="Calibri" w:eastAsia="Calibri" w:hAnsi="Calibri"/>
          <w:b/>
          <w:bCs/>
          <w:color w:val="2563EB"/>
          <w:sz w:val="23"/>
          <w:szCs w:val="23"/>
        </w:rPr>
        <w:t xml:space="preserve">Step card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3146"/>
      </w:tblGrid>
      <w:tr>
        <w:trPr>
          <w:tblHeader/>
        </w:trPr>
        <w:tc>
          <w:tcPr>
            <w:tcW w:type="dxa" w:w="18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Step type</w:t>
            </w:r>
          </w:p>
        </w:tc>
        <w:tc>
          <w:tcPr>
            <w:tcW w:type="dxa" w:w="2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Visual indicator</w:t>
            </w:r>
          </w:p>
        </w:tc>
        <w:tc>
          <w:tcPr>
            <w:tcW w:type="dxa" w:w="28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Properties</w:t>
            </w:r>
          </w:p>
        </w:tc>
        <w:tc>
          <w:tcPr>
            <w:tcW w:type="dxa" w:w="31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Triggers next</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Single signer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Blue card with avatar icon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Name, email or role, message, expiry days</w:t>
            </w:r>
          </w:p>
        </w:tc>
        <w:tc>
          <w:tcPr>
            <w:tcW w:type="dxa" w:w="3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On signed</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Parallel group</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Purple card with group icon</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List of signers, require all/any, message template</w:t>
            </w:r>
          </w:p>
        </w:tc>
        <w:tc>
          <w:tcPr>
            <w:tcW w:type="dxa" w:w="3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On all signed (or any if configured)</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Condition branch</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Diamond shape, amber</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If: signed/rejected/expired Then: go to step X Else: step Y</w:t>
            </w:r>
          </w:p>
        </w:tc>
        <w:tc>
          <w:tcPr>
            <w:tcW w:type="dxa" w:w="3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On condition evaluated</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Notification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Teal card with email icon</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Recipients (merchant owner, role, specific email), template</w:t>
            </w:r>
          </w:p>
        </w:tc>
        <w:tc>
          <w:tcPr>
            <w:tcW w:type="dxa" w:w="3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Immediate / on completion</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Delay</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Gray card with clock icon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Wait N days/hours before activating next step</w:t>
            </w:r>
          </w:p>
        </w:tc>
        <w:tc>
          <w:tcPr>
            <w:tcW w:type="dxa" w:w="3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After delay elapsed</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End</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Green rounded terminal</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Final status (Completed, Cancelled)</w:t>
            </w:r>
          </w:p>
        </w:tc>
        <w:tc>
          <w:tcPr>
            <w:tcW w:type="dxa" w:w="3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Terminal</w:t>
            </w:r>
          </w:p>
        </w:tc>
      </w:tr>
    </w:tbl>
    <w:p>
      <w:pPr>
        <w:spacing w:after="80"/>
      </w:pPr>
    </w:p>
    <w:p>
      <w:pPr>
        <w:pStyle w:val="Heading3"/>
        <w:spacing w:after="70" w:before="160"/>
      </w:pPr>
      <w:r>
        <w:rPr>
          <w:rFonts w:ascii="Calibri" w:cs="Calibri" w:eastAsia="Calibri" w:hAnsi="Calibri"/>
          <w:b/>
          <w:bCs/>
          <w:color w:val="2563EB"/>
          <w:sz w:val="23"/>
          <w:szCs w:val="23"/>
        </w:rPr>
        <w:t xml:space="preserve">Workflow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Workflow status</w:t>
            </w:r>
          </w:p>
        </w:tc>
        <w:tc>
          <w:tcPr>
            <w:tcW w:type="dxa" w:w="77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Meaning</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Draft</w:t>
            </w:r>
          </w:p>
        </w:tc>
        <w:tc>
          <w:tcPr>
            <w:tcW w:type="dxa" w:w="7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Being built — not yet usable for sending</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Active</w:t>
            </w:r>
          </w:p>
        </w:tc>
        <w:tc>
          <w:tcPr>
            <w:tcW w:type="dxa" w:w="7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Available for use; can trigger envelope creation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Paused</w:t>
            </w:r>
          </w:p>
        </w:tc>
        <w:tc>
          <w:tcPr>
            <w:tcW w:type="dxa" w:w="7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Temporarily disabled; existing envelopes complete but new ones blocked</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Archived</w:t>
            </w:r>
          </w:p>
        </w:tc>
        <w:tc>
          <w:tcPr>
            <w:tcW w:type="dxa" w:w="7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Soft-deleted; visible in history but not selectable</w:t>
            </w:r>
          </w:p>
        </w:tc>
      </w:tr>
    </w:tbl>
    <w:p>
      <w:pPr>
        <w:spacing w:after="80"/>
      </w:pPr>
    </w:p>
    <w:p>
      <w:pPr>
        <w:pStyle w:val="Heading2"/>
        <w:spacing w:after="90" w:before="240"/>
      </w:pPr>
      <w:r>
        <w:rPr>
          <w:rFonts w:ascii="Calibri" w:cs="Calibri" w:eastAsia="Calibri" w:hAnsi="Calibri"/>
          <w:b/>
          <w:bCs/>
          <w:color w:val="0F766E"/>
          <w:sz w:val="27"/>
          <w:szCs w:val="27"/>
        </w:rPr>
        <w:t xml:space="preserve">4.3  New API endpoints for workflows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4646"/>
      </w:tblGrid>
      <w:tr>
        <w:trPr>
          <w:tblHeader/>
        </w:trPr>
        <w:tc>
          <w:tcPr>
            <w:tcW w:type="dxa" w:w="7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Method</w:t>
            </w:r>
          </w:p>
        </w:tc>
        <w:tc>
          <w:tcPr>
            <w:tcW w:type="dxa" w:w="3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Path</w:t>
            </w:r>
          </w:p>
        </w:tc>
        <w:tc>
          <w:tcPr>
            <w:tcW w:type="dxa" w:w="1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Auth</w:t>
            </w:r>
          </w:p>
        </w:tc>
        <w:tc>
          <w:tcPr>
            <w:tcW w:type="dxa" w:w="46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JWT</w:t>
            </w:r>
          </w:p>
        </w:tc>
        <w:tc>
          <w:tcPr>
            <w:tcW w:type="dxa" w:w="46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Create a new workflow definition</w:t>
            </w:r>
          </w:p>
        </w:tc>
      </w:tr>
      <w:tr>
        <w:tc>
          <w:tcPr>
            <w:tcW w:type="dxa" w:w="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JWT</w:t>
            </w:r>
          </w:p>
        </w:tc>
        <w:tc>
          <w:tcPr>
            <w:tcW w:type="dxa" w:w="46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List all workflows for the authenticated user's merchants</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/api/workflows/{id}</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JWT</w:t>
            </w:r>
          </w:p>
        </w:tc>
        <w:tc>
          <w:tcPr>
            <w:tcW w:type="dxa" w:w="46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Get full workflow with all steps</w:t>
            </w:r>
          </w:p>
        </w:tc>
      </w:tr>
      <w:tr>
        <w:tc>
          <w:tcPr>
            <w:tcW w:type="dxa" w:w="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PUT</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/api/workflows/{id}</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JWT</w:t>
            </w:r>
          </w:p>
        </w:tc>
        <w:tc>
          <w:tcPr>
            <w:tcW w:type="dxa" w:w="46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Update workflow definition</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/api/workflows/{id}/activate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JWT</w:t>
            </w:r>
          </w:p>
        </w:tc>
        <w:tc>
          <w:tcPr>
            <w:tcW w:type="dxa" w:w="46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Set status to Active</w:t>
            </w:r>
          </w:p>
        </w:tc>
      </w:tr>
      <w:tr>
        <w:tc>
          <w:tcPr>
            <w:tcW w:type="dxa" w:w="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/api/workflows/{id}/pause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JWT</w:t>
            </w:r>
          </w:p>
        </w:tc>
        <w:tc>
          <w:tcPr>
            <w:tcW w:type="dxa" w:w="46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Set status to Paused</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DELETE</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/api/workflows/{id}</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JWT</w:t>
            </w:r>
          </w:p>
        </w:tc>
        <w:tc>
          <w:tcPr>
            <w:tcW w:type="dxa" w:w="46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Soft-delete (archive)</w:t>
            </w:r>
          </w:p>
        </w:tc>
      </w:tr>
      <w:tr>
        <w:tc>
          <w:tcPr>
            <w:tcW w:type="dxa" w:w="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/api/workflows/{id}/send</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X-Api-Key</w:t>
            </w:r>
          </w:p>
        </w:tc>
        <w:tc>
          <w:tcPr>
            <w:tcW w:type="dxa" w:w="46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Trigger workflow with variable substitution to create an envelope</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/api/workflows/{id}/history</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JWT</w:t>
            </w:r>
          </w:p>
        </w:tc>
        <w:tc>
          <w:tcPr>
            <w:tcW w:type="dxa" w:w="46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List all envelopes created from this workflow</w:t>
            </w:r>
          </w:p>
        </w:tc>
      </w:tr>
      <w:tr>
        <w:tc>
          <w:tcPr>
            <w:tcW w:type="dxa" w:w="7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/api/envelopes</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X-Api-Key</w:t>
            </w:r>
          </w:p>
        </w:tc>
        <w:tc>
          <w:tcPr>
            <w:tcW w:type="dxa" w:w="46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Existing endpoint: add optional workflowId field to link envelope to workflow</w:t>
            </w:r>
          </w:p>
        </w:tc>
      </w:tr>
    </w:tbl>
    <w:p>
      <w:pPr>
        <w:spacing w:after="80"/>
      </w:pPr>
    </w:p>
    <w:p>
      <w:pPr>
        <w:pStyle w:val="Heading3"/>
        <w:spacing w:after="70" w:before="160"/>
      </w:pPr>
      <w:r>
        <w:rPr>
          <w:rFonts w:ascii="Calibri" w:cs="Calibri" w:eastAsia="Calibri" w:hAnsi="Calibri"/>
          <w:b/>
          <w:bCs/>
          <w:color w:val="2563EB"/>
          <w:sz w:val="23"/>
          <w:szCs w:val="23"/>
        </w:rPr>
        <w:t xml:space="preserve">Send workflow request body</w:t>
      </w:r>
    </w:p>
    <w:p>
      <w:pPr>
        <w:spacing w:after="100"/>
      </w:pPr>
      <w:r>
        <w:rPr>
          <w:rFonts w:ascii="Calibri" w:cs="Calibri" w:eastAsia="Calibri" w:hAnsi="Calibri"/>
          <w:color w:val="0F172A"/>
          <w:sz w:val="20"/>
          <w:szCs w:val="20"/>
        </w:rPr>
        <w:t xml:space="preserve">When a merchant triggers a workflow via POST /api/workflows/{id}/send, they provide only the variable values — not the full document or signer configuration (already in the workflow template):</w:t>
      </w:r>
    </w:p>
    <w:p>
      <w:pPr>
        <w:spacing w:after="80"/>
      </w:pPr>
    </w:p>
    <w:p>
      <w:pPr>
        <w:pBdr>
          <w:left w:val="single" w:color="2563EB" w:sz="16"/>
        </w:pBdr>
        <w:shd w:fill="F8FAFC" w:val="clear"/>
        <w:spacing w:after="100"/>
        <w:ind w:left="200"/>
      </w:pPr>
      <w:r>
        <w:rPr>
          <w:rFonts w:ascii="Consolas" w:cs="Consolas" w:eastAsia="Consolas" w:hAnsi="Consolas"/>
          <w:color w:val="0F172A"/>
          <w:sz w:val="17"/>
          <w:szCs w:val="17"/>
        </w:rPr>
        <w:t xml:space="preserve">{
  "title": "Client Agreement — John Smith",
  "variables": {
    "client_name":  "John Smith",
    "matter_ref":   "WPL/2026/001234",
    "accident_date":"12 March 2026"
  },
  "overrides": {
    "signers": [
      { "role": "Client", "name": "John Smith", "email": "john@email.com" }
    ]
  }
}</w:t>
      </w:r>
    </w:p>
    <w:p>
      <w:pPr>
        <w:spacing w:after="80"/>
      </w:pPr>
    </w:p>
    <w:p>
      <w:pPr>
        <w:pStyle w:val="Heading2"/>
        <w:spacing w:after="90" w:before="240"/>
      </w:pPr>
      <w:r>
        <w:rPr>
          <w:rFonts w:ascii="Calibri" w:cs="Calibri" w:eastAsia="Calibri" w:hAnsi="Calibri"/>
          <w:b/>
          <w:bCs/>
          <w:color w:val="0F766E"/>
          <w:sz w:val="27"/>
          <w:szCs w:val="27"/>
        </w:rPr>
        <w:t xml:space="preserve">4.4  New database tables</w:t>
      </w:r>
    </w:p>
    <w:p>
      <w:pPr>
        <w:pBdr>
          <w:left w:val="single" w:color="2563EB" w:sz="16"/>
        </w:pBdr>
        <w:shd w:fill="F8FAFC" w:val="clear"/>
        <w:spacing w:after="100"/>
        <w:ind w:left="200"/>
      </w:pPr>
      <w:r>
        <w:rPr>
          <w:rFonts w:ascii="Consolas" w:cs="Consolas" w:eastAsia="Consolas" w:hAnsi="Consolas"/>
          <w:color w:val="0F172A"/>
          <w:sz w:val="17"/>
          <w:szCs w:val="17"/>
        </w:rPr>
        <w:t xml:space="preserve">CREATE TABLE [dbo].[Workflows]
(
    Id           UNIQUEIDENTIFIER PRIMARY KEY DEFAULT NEWSEQUENTIALID(),
    MerchantId   UNIQUEIDENTIFIER NOT NULL REFERENCES [dbo].[Merchants](Id),
    Name         NVARCHAR(200) NOT NULL,
    Description  NVARCHAR(1000) NULL,
    Status       NVARCHAR(20) NOT NULL DEFAULT 'Draft',
    StepsJson    NVARCHAR(MAX) NOT NULL,   -- full step definition as JSON
    CreatedAt    DATETIME2(7)  NOT NULL DEFAULT SYSUTCDATETIME(),
    UpdatedAt    DATETIME2(7)  NOT NULL DEFAULT SYSUTCDATETIME()
);
CREATE TABLE [dbo].[WorkflowEnvelopes]
(
    Id           UNIQUEIDENTIFIER PRIMARY KEY DEFAULT NEWSEQUENTIALID(),
    WorkflowId   UNIQUEIDENTIFIER NOT NULL REFERENCES [dbo].[Workflows](Id),
    EnvelopeId   UNIQUEIDENTIFIER NOT NULL REFERENCES [dbo].[Envelopes](Id),
    TriggeredAt  DATETIME2(7) NOT NULL DEFAULT SYSUTCDATETIME()
);</w:t>
      </w:r>
    </w:p>
    <w:p>
      <w:pPr>
        <w:spacing w:after="200"/>
      </w:pPr>
    </w:p>
    <w:p>
      <w:r>
        <w:br w:type="page"/>
      </w:r>
    </w:p>
    <w:p>
      <w:pPr>
        <w:pStyle w:val="Heading1"/>
        <w:pBdr>
          <w:bottom w:val="single" w:color="2563EB" w:sz="10"/>
        </w:pBdr>
        <w:spacing w:after="140" w:before="340"/>
      </w:pPr>
      <w:r>
        <w:rPr>
          <w:rFonts w:ascii="Calibri" w:cs="Calibri" w:eastAsia="Calibri" w:hAnsi="Calibri"/>
          <w:b/>
          <w:bCs/>
          <w:color w:val="1B3F6E"/>
          <w:sz w:val="34"/>
          <w:szCs w:val="34"/>
        </w:rPr>
        <w:t xml:space="preserve">PART 5 — Platform Visibility &amp; Dashboard Design</w:t>
      </w:r>
    </w:p>
    <w:p>
      <w:pPr>
        <w:spacing w:after="100"/>
      </w:pPr>
      <w:r>
        <w:rPr>
          <w:rFonts w:ascii="Calibri" w:cs="Calibri" w:eastAsia="Calibri" w:hAnsi="Calibri"/>
          <w:color w:val="0F172A"/>
          <w:sz w:val="20"/>
          <w:szCs w:val="20"/>
        </w:rPr>
        <w:t xml:space="preserve">Visibility is the second critical gap. The API is comprehensive but merchants have no </w:t>
      </w:r>
      <w:r>
        <w:rPr>
          <w:rFonts w:ascii="Calibri" w:cs="Calibri" w:eastAsia="Calibri" w:hAnsi="Calibri"/>
          <w:b/>
          <w:bCs/>
          <w:color w:val="0F172A"/>
          <w:sz w:val="22"/>
          <w:szCs w:val="22"/>
        </w:rPr>
        <w:t xml:space="preserve">self-service web interface</w:t>
      </w:r>
      <w:r>
        <w:rPr>
          <w:rFonts w:ascii="Calibri" w:cs="Calibri" w:eastAsia="Calibri" w:hAnsi="Calibri"/>
          <w:color w:val="0F172A"/>
          <w:sz w:val="20"/>
          <w:szCs w:val="20"/>
        </w:rPr>
        <w:t xml:space="preserve"> to operate it. This section defines the complete Blazor Server merchant dashboard.</w:t>
      </w:r>
    </w:p>
    <w:p>
      <w:pPr>
        <w:spacing w:after="80"/>
      </w:pPr>
    </w:p>
    <w:p>
      <w:pPr>
        <w:pStyle w:val="Heading2"/>
        <w:spacing w:after="90" w:before="240"/>
      </w:pPr>
      <w:r>
        <w:rPr>
          <w:rFonts w:ascii="Calibri" w:cs="Calibri" w:eastAsia="Calibri" w:hAnsi="Calibri"/>
          <w:b/>
          <w:bCs/>
          <w:color w:val="0F766E"/>
          <w:sz w:val="27"/>
          <w:szCs w:val="27"/>
        </w:rPr>
        <w:t xml:space="preserve">5.1  Dashboard pages — complete spec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746"/>
      </w:tblGrid>
      <w:tr>
        <w:trPr>
          <w:tblHeader/>
        </w:trPr>
        <w:tc>
          <w:tcPr>
            <w:tcW w:type="dxa" w:w="2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Page</w:t>
            </w:r>
          </w:p>
        </w:tc>
        <w:tc>
          <w:tcPr>
            <w:tcW w:type="dxa" w:w="22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Route</w:t>
            </w:r>
          </w:p>
        </w:tc>
        <w:tc>
          <w:tcPr>
            <w:tcW w:type="dxa" w:w="28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Purpose</w:t>
            </w:r>
          </w:p>
        </w:tc>
        <w:tc>
          <w:tcPr>
            <w:tcW w:type="dxa" w:w="27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Key data shown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Home / Summary</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At-a-glance KPIs for the merchant</w:t>
            </w:r>
          </w:p>
        </w:tc>
        <w:tc>
          <w:tcPr>
            <w:tcW w:type="dxa" w:w="2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Envelopes sent, signed, pending, completion rate, quota used/remaining</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Envelopes list</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/dashboard/envelopes</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All envelopes with status badges, search, filter</w:t>
            </w:r>
          </w:p>
        </w:tc>
        <w:tc>
          <w:tcPr>
            <w:tcW w:type="dxa" w:w="2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Status, title, signer count, created date, action buttons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 detail</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/dashboard/envelopes/{id}</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Full status with per-signer timeline</w:t>
            </w:r>
          </w:p>
        </w:tc>
        <w:tc>
          <w:tcPr>
            <w:tcW w:type="dxa" w:w="2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Activity timeline, document list, download signed docs, cancel/resend buttons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New envelope (quick send)</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/dashboard/send</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Send form without workflow</w:t>
            </w:r>
          </w:p>
        </w:tc>
        <w:tc>
          <w:tcPr>
            <w:tcW w:type="dxa" w:w="2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Upload doc, add signers, drag to reorder, optional message, send button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Workflows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/dashboard/workflows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List + create/edit workflows</w:t>
            </w:r>
          </w:p>
        </w:tc>
        <w:tc>
          <w:tcPr>
            <w:tcW w:type="dxa" w:w="2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Status badges, last used, envelope count, Edit/Activate/Pause/Delete</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Workflow builder</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/dashboard/workflows/{id}</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Visual canvas builder</w:t>
            </w:r>
          </w:p>
        </w:tc>
        <w:tc>
          <w:tcPr>
            <w:tcW w:type="dxa" w:w="2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Drag-drop step cards, property editor, preview, save/activate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Contacts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/dashboard/contacts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Signer address book</w:t>
            </w:r>
          </w:p>
        </w:tc>
        <w:tc>
          <w:tcPr>
            <w:tcW w:type="dxa" w:w="2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Search, add, edit, delete, import CSV, export CSV</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Analytics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/dashboard/analytics</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Charts for merchant's own data</w:t>
            </w:r>
          </w:p>
        </w:tc>
        <w:tc>
          <w:tcPr>
            <w:tcW w:type="dxa" w:w="2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Daily envelopes sent/signed, completion rate trend, avg time to sign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Webhooks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/dashboard/webhooks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Webhook management</w:t>
            </w:r>
          </w:p>
        </w:tc>
        <w:tc>
          <w:tcPr>
            <w:tcW w:type="dxa" w:w="2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Register, list, delete, delivery history with retry status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Tickets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/dashboard/tickets</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Support ticket thread</w:t>
            </w:r>
          </w:p>
        </w:tc>
        <w:tc>
          <w:tcPr>
            <w:tcW w:type="dxa" w:w="2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Create, view thread, add message, see status/priority</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Settings / Merchant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/dashboard/settings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Merchant profile + API key</w:t>
            </w:r>
          </w:p>
        </w:tc>
        <w:tc>
          <w:tcPr>
            <w:tcW w:type="dxa" w:w="2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Name, description, quota, API key (masked), rotate key button</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 users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/admin/users</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all users</w:t>
            </w:r>
          </w:p>
        </w:tc>
        <w:tc>
          <w:tcPr>
            <w:tcW w:type="dxa" w:w="2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Name, email, role, registration date, envelope count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 merchants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/admin/merchants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all merchants</w:t>
            </w:r>
          </w:p>
        </w:tc>
        <w:tc>
          <w:tcPr>
            <w:tcW w:type="dxa" w:w="2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Name, quota, requestUsed, subscriptionEnd, isActive toggle</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 audit log</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/admin/audit</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filtered audit log</w:t>
            </w:r>
          </w:p>
        </w:tc>
        <w:tc>
          <w:tcPr>
            <w:tcW w:type="dxa" w:w="2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All filters from API; entity timeline drill-down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 analytics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/admin/analytics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platform-wide analytics</w:t>
            </w:r>
          </w:p>
        </w:tc>
        <w:tc>
          <w:tcPr>
            <w:tcW w:type="dxa" w:w="2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Platform summary + daily trends for all metrics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 tickets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/admin/tickets</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Admin: all tickets with triage</w:t>
            </w:r>
          </w:p>
        </w:tc>
        <w:tc>
          <w:tcPr>
            <w:tcW w:type="dxa" w:w="27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Status/priority filter, reply, update status</w:t>
            </w:r>
          </w:p>
        </w:tc>
      </w:tr>
    </w:tbl>
    <w:p>
      <w:pPr>
        <w:spacing w:after="80"/>
      </w:pPr>
    </w:p>
    <w:p>
      <w:pPr>
        <w:pStyle w:val="Heading2"/>
        <w:spacing w:after="90" w:before="240"/>
      </w:pPr>
      <w:r>
        <w:rPr>
          <w:rFonts w:ascii="Calibri" w:cs="Calibri" w:eastAsia="Calibri" w:hAnsi="Calibri"/>
          <w:b/>
          <w:bCs/>
          <w:color w:val="0F766E"/>
          <w:sz w:val="27"/>
          <w:szCs w:val="27"/>
        </w:rPr>
        <w:t xml:space="preserve">5.2  Envelope list — visibility design</w:t>
      </w:r>
    </w:p>
    <w:p>
      <w:pPr>
        <w:spacing w:after="100"/>
      </w:pPr>
      <w:r>
        <w:rPr>
          <w:rFonts w:ascii="Calibri" w:cs="Calibri" w:eastAsia="Calibri" w:hAnsi="Calibri"/>
          <w:color w:val="0F172A"/>
          <w:sz w:val="20"/>
          <w:szCs w:val="20"/>
        </w:rPr>
        <w:t xml:space="preserve">The envelope list page is the merchant's operational home. Every envelope should show immediate visual status.</w:t>
      </w:r>
    </w:p>
    <w:p>
      <w:pPr>
        <w:spacing w:after="80"/>
      </w:pPr>
    </w:p>
    <w:tbl>
      <w:tblPr>
        <w:tblW w:type="dxa" w:w="994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5146"/>
      </w:tblGrid>
      <w:tr>
        <w:trPr>
          <w:tblHeader/>
        </w:trPr>
        <w:tc>
          <w:tcPr>
            <w:tcW w:type="dxa" w:w="16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Status</w:t>
            </w:r>
          </w:p>
        </w:tc>
        <w:tc>
          <w:tcPr>
            <w:tcW w:type="dxa" w:w="18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Badge colour</w:t>
            </w:r>
          </w:p>
        </w:tc>
        <w:tc>
          <w:tcPr>
            <w:tcW w:type="dxa" w:w="1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Icon</w:t>
            </w:r>
          </w:p>
        </w:tc>
        <w:tc>
          <w:tcPr>
            <w:tcW w:type="dxa" w:w="51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Actionable next step</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Processing</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Gray</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Spinner</w:t>
            </w:r>
          </w:p>
        </w:tc>
        <w:tc>
          <w:tcPr>
            <w:tcW w:type="dxa" w:w="5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Wait — preparing and dispatching emails</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Sent</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Blue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Sent arrow</w:t>
            </w:r>
          </w:p>
        </w:tc>
        <w:tc>
          <w:tcPr>
            <w:tcW w:type="dxa" w:w="5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Resend invitation if signer has not acted after 48h</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Signed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Purple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Part tick</w:t>
            </w:r>
          </w:p>
        </w:tc>
        <w:tc>
          <w:tcPr>
            <w:tcW w:type="dxa" w:w="5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Waiting for remaining signers — view progress</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Completed</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Green</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Full tick</w:t>
            </w:r>
          </w:p>
        </w:tc>
        <w:tc>
          <w:tcPr>
            <w:tcW w:type="dxa" w:w="5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Download signed documents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Rejected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Red</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X mark</w:t>
            </w:r>
          </w:p>
        </w:tc>
        <w:tc>
          <w:tcPr>
            <w:tcW w:type="dxa" w:w="5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View rejection reason; create new corrected envelope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Cancelled</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Orange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Banned</w:t>
            </w:r>
          </w:p>
        </w:tc>
        <w:tc>
          <w:tcPr>
            <w:tcW w:type="dxa" w:w="5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Create replacement if needed</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Expired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Gray</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Clock</w:t>
            </w:r>
          </w:p>
        </w:tc>
        <w:tc>
          <w:tcPr>
            <w:tcW w:type="dxa" w:w="51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Resend with new token or create new envelope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Failed</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Red</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Warning</w:t>
            </w:r>
          </w:p>
        </w:tc>
        <w:tc>
          <w:tcPr>
            <w:tcW w:type="dxa" w:w="51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Check activity timeline; contact support via ticket</w:t>
            </w:r>
          </w:p>
        </w:tc>
      </w:tr>
    </w:tbl>
    <w:p>
      <w:pPr>
        <w:spacing w:after="80"/>
      </w:pPr>
    </w:p>
    <w:p>
      <w:pPr>
        <w:pStyle w:val="Heading2"/>
        <w:spacing w:after="90" w:before="240"/>
      </w:pPr>
      <w:r>
        <w:rPr>
          <w:rFonts w:ascii="Calibri" w:cs="Calibri" w:eastAsia="Calibri" w:hAnsi="Calibri"/>
          <w:b/>
          <w:bCs/>
          <w:color w:val="0F766E"/>
          <w:sz w:val="27"/>
          <w:szCs w:val="27"/>
        </w:rPr>
        <w:t xml:space="preserve">5.3  Activity timeline component</w:t>
      </w:r>
    </w:p>
    <w:p>
      <w:pPr>
        <w:spacing w:after="100"/>
      </w:pPr>
      <w:r>
        <w:rPr>
          <w:rFonts w:ascii="Calibri" w:cs="Calibri" w:eastAsia="Calibri" w:hAnsi="Calibri"/>
          <w:color w:val="0F172A"/>
          <w:sz w:val="20"/>
          <w:szCs w:val="20"/>
        </w:rPr>
        <w:t xml:space="preserve">The activity timeline (already in the API as GET /api/envelopes/{id}/activity) should render as a vertical stepper in the envelope detail page. Each event is a node with icon, colour, description, and timestamp.</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546"/>
      </w:tblGrid>
      <w:tr>
        <w:trPr>
          <w:tblHeader/>
        </w:trPr>
        <w:tc>
          <w:tcPr>
            <w:tcW w:type="dxa" w:w="28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Audit action</w:t>
            </w:r>
          </w:p>
        </w:tc>
        <w:tc>
          <w:tcPr>
            <w:tcW w:type="dxa" w:w="2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Timeline icon</w:t>
            </w:r>
          </w:p>
        </w:tc>
        <w:tc>
          <w:tcPr>
            <w:tcW w:type="dxa" w:w="45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Colour</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Envelope.Created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Plus circle</w:t>
            </w:r>
          </w:p>
        </w:tc>
        <w:tc>
          <w:tcPr>
            <w:tcW w:type="dxa" w:w="4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Gray — neutral start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Envelope.Sent</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Email arrow</w:t>
            </w:r>
          </w:p>
        </w:tc>
        <w:tc>
          <w:tcPr>
            <w:tcW w:type="dxa" w:w="4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Blue — in progress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Portal.Opened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Eye</w:t>
            </w:r>
          </w:p>
        </w:tc>
        <w:tc>
          <w:tcPr>
            <w:tcW w:type="dxa" w:w="4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Blue — signer engaged</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Document.SignatureSubmitted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Pen</w:t>
            </w:r>
          </w:p>
        </w:tc>
        <w:tc>
          <w:tcPr>
            <w:tcW w:type="dxa" w:w="4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Purple — action taken</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Document.Stamped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Stamp</w:t>
            </w:r>
          </w:p>
        </w:tc>
        <w:tc>
          <w:tcPr>
            <w:tcW w:type="dxa" w:w="4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Purple — processing</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Envelope.Signed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Half tick</w:t>
            </w:r>
          </w:p>
        </w:tc>
        <w:tc>
          <w:tcPr>
            <w:tcW w:type="dxa" w:w="4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Teal — partial complete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Invitation.Resent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Refresh arrow</w:t>
            </w:r>
          </w:p>
        </w:tc>
        <w:tc>
          <w:tcPr>
            <w:tcW w:type="dxa" w:w="4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Amber — retry</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Envelope.Completed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Full tick circle</w:t>
            </w:r>
          </w:p>
        </w:tc>
        <w:tc>
          <w:tcPr>
            <w:tcW w:type="dxa" w:w="4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Green — done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Envelope.Rejected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X circle</w:t>
            </w:r>
          </w:p>
        </w:tc>
        <w:tc>
          <w:tcPr>
            <w:tcW w:type="dxa" w:w="4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Red — needs attention</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Envelope.Cancelled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Stop circle</w:t>
            </w:r>
          </w:p>
        </w:tc>
        <w:tc>
          <w:tcPr>
            <w:tcW w:type="dxa" w:w="4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Orange — terminated</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Envelope.Expired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Clock</w:t>
            </w:r>
          </w:p>
        </w:tc>
        <w:tc>
          <w:tcPr>
            <w:tcW w:type="dxa" w:w="4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Gray — timed out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Envelope.Failed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Warning triangle</w:t>
            </w:r>
          </w:p>
        </w:tc>
        <w:tc>
          <w:tcPr>
            <w:tcW w:type="dxa" w:w="4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Red — system error</w:t>
            </w:r>
          </w:p>
        </w:tc>
      </w:tr>
    </w:tbl>
    <w:p>
      <w:pPr>
        <w:spacing w:after="200"/>
      </w:pPr>
    </w:p>
    <w:p>
      <w:r>
        <w:br w:type="page"/>
      </w:r>
    </w:p>
    <w:p>
      <w:pPr>
        <w:pStyle w:val="Heading1"/>
        <w:pBdr>
          <w:bottom w:val="single" w:color="2563EB" w:sz="10"/>
        </w:pBdr>
        <w:spacing w:after="140" w:before="340"/>
      </w:pPr>
      <w:r>
        <w:rPr>
          <w:rFonts w:ascii="Calibri" w:cs="Calibri" w:eastAsia="Calibri" w:hAnsi="Calibri"/>
          <w:b/>
          <w:bCs/>
          <w:color w:val="1B3F6E"/>
          <w:sz w:val="34"/>
          <w:szCs w:val="34"/>
        </w:rPr>
        <w:t xml:space="preserve">PART 6 — Blog Strategy</w:t>
      </w:r>
    </w:p>
    <w:p>
      <w:pPr>
        <w:spacing w:after="100"/>
      </w:pPr>
      <w:r>
        <w:rPr>
          <w:rFonts w:ascii="Calibri" w:cs="Calibri" w:eastAsia="Calibri" w:hAnsi="Calibri"/>
          <w:color w:val="0F172A"/>
          <w:sz w:val="20"/>
          <w:szCs w:val="20"/>
        </w:rPr>
        <w:t xml:space="preserve">A parallel blog at </w:t>
      </w:r>
      <w:r>
        <w:rPr>
          <w:rFonts w:ascii="Calibri" w:cs="Calibri" w:eastAsia="Calibri" w:hAnsi="Calibri"/>
          <w:b/>
          <w:bCs/>
          <w:color w:val="0F172A"/>
          <w:sz w:val="22"/>
          <w:szCs w:val="22"/>
        </w:rPr>
        <w:t xml:space="preserve">docsignerhub.com/blog</w:t>
      </w:r>
      <w:r>
        <w:rPr>
          <w:rFonts w:ascii="Calibri" w:cs="Calibri" w:eastAsia="Calibri" w:hAnsi="Calibri"/>
          <w:color w:val="0F172A"/>
          <w:sz w:val="20"/>
          <w:szCs w:val="20"/>
        </w:rPr>
        <w:t xml:space="preserve"> serves three purposes: SEO (organic traffic acquisition), education (reduce sales friction), and trust (demonstrate authority). Competitor analysis shows DocuSign's blog drives an estimated </w:t>
      </w:r>
      <w:r>
        <w:rPr>
          <w:rFonts w:ascii="Calibri" w:cs="Calibri" w:eastAsia="Calibri" w:hAnsi="Calibri"/>
          <w:b/>
          <w:bCs/>
          <w:color w:val="0F172A"/>
          <w:sz w:val="22"/>
          <w:szCs w:val="22"/>
        </w:rPr>
        <w:t xml:space="preserve">40% of their organic search traffic</w:t>
      </w:r>
      <w:r>
        <w:rPr>
          <w:rFonts w:ascii="Calibri" w:cs="Calibri" w:eastAsia="Calibri" w:hAnsi="Calibri"/>
          <w:color w:val="0F172A"/>
          <w:sz w:val="20"/>
          <w:szCs w:val="20"/>
        </w:rPr>
        <w:t xml:space="preserve">. A well-structured content programme is DocSignerHub's most cost-effective growth channel.</w:t>
      </w:r>
    </w:p>
    <w:p>
      <w:pPr>
        <w:spacing w:after="80"/>
      </w:pPr>
    </w:p>
    <w:p>
      <w:pPr>
        <w:pStyle w:val="Heading2"/>
        <w:spacing w:after="90" w:before="240"/>
      </w:pPr>
      <w:r>
        <w:rPr>
          <w:rFonts w:ascii="Calibri" w:cs="Calibri" w:eastAsia="Calibri" w:hAnsi="Calibri"/>
          <w:b/>
          <w:bCs/>
          <w:color w:val="0F766E"/>
          <w:sz w:val="27"/>
          <w:szCs w:val="27"/>
        </w:rPr>
        <w:t xml:space="preserve">6.1  Blog categories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546"/>
      </w:tblGrid>
      <w:tr>
        <w:trPr>
          <w:tblHeader/>
        </w:trPr>
        <w:tc>
          <w:tcPr>
            <w:tcW w:type="dxa" w:w="22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Category</w:t>
            </w:r>
          </w:p>
        </w:tc>
        <w:tc>
          <w:tcPr>
            <w:tcW w:type="dxa" w:w="2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Target reader</w:t>
            </w:r>
          </w:p>
        </w:tc>
        <w:tc>
          <w:tcPr>
            <w:tcW w:type="dxa" w:w="26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SEO intent</w:t>
            </w:r>
          </w:p>
        </w:tc>
        <w:tc>
          <w:tcPr>
            <w:tcW w:type="dxa" w:w="25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Volume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Industry guides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Decision maker evaluating e-sign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Informational — "what is eIDAS"</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2 per month</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Who benefits (vertical series)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Each target vertical separately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Commercial — "e-sign for law firms"</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 per vertical per quarter</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Competitor comparisons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Active buyer evaluating options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High-intent — "DocuSign alternative"</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 per competitor</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Developer tutorials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Developer integrating the API</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Instructional — "how to send e-sign API"</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2 per month</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Use case walkthroughs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Business owner with a specific problem</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Commercial — "countersignature workflow"</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 per month</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Legal / compliance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Legal officer or compliance manager</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Informational — "eIDAS SES what is"</w:t>
            </w:r>
          </w:p>
        </w:tc>
        <w:tc>
          <w:tcPr>
            <w:tcW w:type="dxa" w:w="2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 per month</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Changelog / releases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Existing customers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Brand — "DocSignerHub new features"</w:t>
            </w:r>
          </w:p>
        </w:tc>
        <w:tc>
          <w:tcPr>
            <w:tcW w:type="dxa" w:w="2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On release</w:t>
            </w:r>
          </w:p>
        </w:tc>
      </w:tr>
    </w:tbl>
    <w:p>
      <w:pPr>
        <w:spacing w:after="80"/>
      </w:pPr>
    </w:p>
    <w:p>
      <w:pPr>
        <w:pStyle w:val="Heading2"/>
        <w:spacing w:after="90" w:before="240"/>
      </w:pPr>
      <w:r>
        <w:rPr>
          <w:rFonts w:ascii="Calibri" w:cs="Calibri" w:eastAsia="Calibri" w:hAnsi="Calibri"/>
          <w:b/>
          <w:bCs/>
          <w:color w:val="0F766E"/>
          <w:sz w:val="27"/>
          <w:szCs w:val="27"/>
        </w:rPr>
        <w:t xml:space="preserve">6.2  "Who benefits" blog series — 12-post plan</w:t>
      </w:r>
    </w:p>
    <w:p>
      <w:pPr>
        <w:spacing w:after="100"/>
      </w:pPr>
      <w:r>
        <w:rPr>
          <w:rFonts w:ascii="Calibri" w:cs="Calibri" w:eastAsia="Calibri" w:hAnsi="Calibri"/>
          <w:color w:val="0F172A"/>
          <w:sz w:val="20"/>
          <w:szCs w:val="20"/>
        </w:rPr>
        <w:t xml:space="preserve">This is the most important series for organic growth. Each post targets a specific vertical with the exact language that vertical uses when searching for a solution.</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400"/>
        <w:gridCol w:w="3946"/>
      </w:tblGrid>
      <w:tr>
        <w:trPr>
          <w:tblHeader/>
        </w:trPr>
        <w:tc>
          <w:tcPr>
            <w:tcW w:type="dxa" w:w="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Post</w:t>
            </w:r>
          </w:p>
        </w:tc>
        <w:tc>
          <w:tcPr>
            <w:tcW w:type="dxa" w:w="30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Title (draft)</w:t>
            </w:r>
          </w:p>
        </w:tc>
        <w:tc>
          <w:tcPr>
            <w:tcW w:type="dxa" w:w="2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Target keyword</w:t>
            </w:r>
          </w:p>
        </w:tc>
        <w:tc>
          <w:tcPr>
            <w:tcW w:type="dxa" w:w="39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Why this converts</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How law firms are replacing Signable with their own e-sign system</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Signable alternative law firm</w:t>
            </w:r>
          </w:p>
        </w:tc>
        <w:tc>
          <w:tcPr>
            <w:tcW w:type="dxa" w:w="3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High-intent — your exact origin story</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2</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E-signing for personal injury claims — complete guide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e-sign personal injury claims UK</w:t>
            </w:r>
          </w:p>
        </w:tc>
        <w:tc>
          <w:tcPr>
            <w:tcW w:type="dxa" w:w="3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Direct vertical targeting, high volume</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3</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How HR teams can automate employment contract signing in 5 minutes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HR e-signature employment contracts</w:t>
            </w:r>
          </w:p>
        </w:tc>
        <w:tc>
          <w:tcPr>
            <w:tcW w:type="dxa" w:w="3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HR is the second-largest vertical</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4</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Multi-party signing for tenancy agreements — a guide for estate agents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e-sign tenancy agreement multiple parties</w:t>
            </w:r>
          </w:p>
        </w:tc>
        <w:tc>
          <w:tcPr>
            <w:tcW w:type="dxa" w:w="3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Property vertical with ordering pain</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5</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Electronic consent forms in healthcare — eIDAS compliance explained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electronic consent form eIDAS NHS</w:t>
            </w:r>
          </w:p>
        </w:tc>
        <w:tc>
          <w:tcPr>
            <w:tcW w:type="dxa" w:w="3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Healthcare is fastest-growing segment</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6</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How to add e-signing to your SaaS product without building it yourself</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add e-signature to SaaS product API</w:t>
            </w:r>
          </w:p>
        </w:tc>
        <w:tc>
          <w:tcPr>
            <w:tcW w:type="dxa" w:w="3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Developer-integrator acquisition</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7</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DocSignerHub vs DocuSign — honest comparison for small teams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DocuSign alternative small business</w:t>
            </w:r>
          </w:p>
        </w:tc>
        <w:tc>
          <w:tcPr>
            <w:tcW w:type="dxa" w:w="3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Captures competitive intent traffic</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8</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DocSignerHub vs Signable — why switching saves money and adds control</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Signable alternative UK</w:t>
            </w:r>
          </w:p>
        </w:tc>
        <w:tc>
          <w:tcPr>
            <w:tcW w:type="dxa" w:w="3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Direct competitor comparison</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9</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What is eIDAS? A plain-English guide for UK businesses post-Brexit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eIDAS UK businesses</w:t>
            </w:r>
          </w:p>
        </w:tc>
        <w:tc>
          <w:tcPr>
            <w:tcW w:type="dxa" w:w="3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Brexit uncertainty creates search volume</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10</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Sequential signing vs parallel signing — which workflow do you need?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sequential signing workflow explained</w:t>
            </w:r>
          </w:p>
        </w:tc>
        <w:tc>
          <w:tcPr>
            <w:tcW w:type="dxa" w:w="3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Educates on a differentiating feature</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11</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How to integrate electronic signatures into your case management system</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case management e-signature integration</w:t>
            </w:r>
          </w:p>
        </w:tc>
        <w:tc>
          <w:tcPr>
            <w:tcW w:type="dxa" w:w="3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CMS vendors are a partnership channel</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12</w:t>
            </w:r>
          </w:p>
        </w:tc>
        <w:tc>
          <w:tcPr>
            <w:tcW w:type="dxa" w:w="3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5 reasons your signed documents should never leave your own infrastructure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self-hosted e-signature data sovereignty</w:t>
            </w:r>
          </w:p>
        </w:tc>
        <w:tc>
          <w:tcPr>
            <w:tcW w:type="dxa" w:w="3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Anti-DocuSign data sovereignty argument</w:t>
            </w:r>
          </w:p>
        </w:tc>
      </w:tr>
    </w:tbl>
    <w:p>
      <w:pPr>
        <w:spacing w:after="80"/>
      </w:pPr>
    </w:p>
    <w:p>
      <w:pPr>
        <w:pStyle w:val="Heading2"/>
        <w:spacing w:after="90" w:before="240"/>
      </w:pPr>
      <w:r>
        <w:rPr>
          <w:rFonts w:ascii="Calibri" w:cs="Calibri" w:eastAsia="Calibri" w:hAnsi="Calibri"/>
          <w:b/>
          <w:bCs/>
          <w:color w:val="0F766E"/>
          <w:sz w:val="27"/>
          <w:szCs w:val="27"/>
        </w:rPr>
        <w:t xml:space="preserve">6.3  Developer content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946"/>
      </w:tblGrid>
      <w:tr>
        <w:trPr>
          <w:tblHeader/>
        </w:trPr>
        <w:tc>
          <w:tcPr>
            <w:tcW w:type="dxa" w:w="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Post</w:t>
            </w:r>
          </w:p>
        </w:tc>
        <w:tc>
          <w:tcPr>
            <w:tcW w:type="dxa" w:w="3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Title</w:t>
            </w:r>
          </w:p>
        </w:tc>
        <w:tc>
          <w:tcPr>
            <w:tcW w:type="dxa" w:w="59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Outcome</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Send your first e-signature in 5 minutes — cURL walkthrough</w:t>
            </w:r>
          </w:p>
        </w:tc>
        <w:tc>
          <w:tcPr>
            <w:tcW w:type="dxa" w:w="5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Shows minimal integration barrier; references CURL_REFERENCE.md</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2</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How to build a sequential countersignature workflow with the DocSignerHub API</w:t>
            </w:r>
          </w:p>
        </w:tc>
        <w:tc>
          <w:tcPr>
            <w:tcW w:type="dxa" w:w="5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Demonstrates multi-signer feature to developers</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3</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Receiving webhook events from DocSignerHub — Node.js + .NET examples</w:t>
            </w:r>
          </w:p>
        </w:tc>
        <w:tc>
          <w:tcPr>
            <w:tcW w:type="dxa" w:w="5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Helps developers verify HMAC-signed webhooks</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4</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Verifying webhook signatures in Python, PHP, Ruby, and Go</w:t>
            </w:r>
          </w:p>
        </w:tc>
        <w:tc>
          <w:tcPr>
            <w:tcW w:type="dxa" w:w="5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Broadens developer language coverage</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5</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How to use the signer contacts API to build an autocomplete address book</w:t>
            </w:r>
          </w:p>
        </w:tc>
        <w:tc>
          <w:tcPr>
            <w:tcW w:type="dxa" w:w="5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Showcases contacts API integration</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6</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Migrating from Signable to DocSignerHub — a developer's guide</w:t>
            </w:r>
          </w:p>
        </w:tc>
        <w:tc>
          <w:tcPr>
            <w:tcW w:type="dxa" w:w="59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Targets existing Signable developer integrations</w:t>
            </w:r>
          </w:p>
        </w:tc>
      </w:tr>
    </w:tbl>
    <w:p>
      <w:pPr>
        <w:spacing w:after="200"/>
      </w:pPr>
    </w:p>
    <w:p>
      <w:r>
        <w:br w:type="page"/>
      </w:r>
    </w:p>
    <w:p>
      <w:pPr>
        <w:pStyle w:val="Heading1"/>
        <w:pBdr>
          <w:bottom w:val="single" w:color="2563EB" w:sz="10"/>
        </w:pBdr>
        <w:spacing w:after="140" w:before="340"/>
      </w:pPr>
      <w:r>
        <w:rPr>
          <w:rFonts w:ascii="Calibri" w:cs="Calibri" w:eastAsia="Calibri" w:hAnsi="Calibri"/>
          <w:b/>
          <w:bCs/>
          <w:color w:val="1B3F6E"/>
          <w:sz w:val="34"/>
          <w:szCs w:val="34"/>
        </w:rPr>
        <w:t xml:space="preserve">PART 7 — Prioritised Action Plan</w:t>
      </w:r>
    </w:p>
    <w:p>
      <w:pPr>
        <w:spacing w:after="100"/>
      </w:pPr>
      <w:r>
        <w:rPr>
          <w:rFonts w:ascii="Calibri" w:cs="Calibri" w:eastAsia="Calibri" w:hAnsi="Calibri"/>
          <w:color w:val="0F172A"/>
          <w:sz w:val="20"/>
          <w:szCs w:val="20"/>
        </w:rPr>
        <w:t xml:space="preserve">Everything in this document, sequenced into four sprints based on revenue and growth impact.</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546"/>
      </w:tblGrid>
      <w:tr>
        <w:trPr>
          <w:tblHeader/>
        </w:trPr>
        <w:tc>
          <w:tcPr>
            <w:tcW w:type="dxa" w:w="1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Sprint</w:t>
            </w:r>
          </w:p>
        </w:tc>
        <w:tc>
          <w:tcPr>
            <w:tcW w:type="dxa" w:w="1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Duration</w:t>
            </w:r>
          </w:p>
        </w:tc>
        <w:tc>
          <w:tcPr>
            <w:tcW w:type="dxa" w:w="2400"/>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Focus</w:t>
            </w:r>
          </w:p>
        </w:tc>
        <w:tc>
          <w:tcPr>
            <w:tcW w:type="dxa" w:w="4546"/>
            <w:tcBorders>
              <w:top w:val="single" w:color="CBD5E1" w:sz="1"/>
              <w:left w:val="single" w:color="CBD5E1" w:sz="1"/>
              <w:bottom w:val="single" w:color="CBD5E1" w:sz="1"/>
              <w:right w:val="single" w:color="CBD5E1" w:sz="1"/>
            </w:tcBorders>
            <w:shd w:fill="1B3F6E"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Deliverables</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Sprint 1 — Foundation</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2 weeks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Remove blockers to paid conversions</w:t>
            </w:r>
          </w:p>
        </w:tc>
        <w:tc>
          <w:tcPr>
            <w:tcW w:type="dxa" w:w="4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 Signed document file download endpoint
2. Envelope expiry parameter per envelope
3. Resend reminder (auto after N days)
4. Merchant dashboard: summary, envelope list, envelope detail
5. Blog setup: /blog subdirectory + first 2 posts</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Sprint 2 — Workflow MVP</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3 weeks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Build the workflow builder</w:t>
            </w:r>
          </w:p>
        </w:tc>
        <w:tc>
          <w:tcPr>
            <w:tcW w:type="dxa" w:w="4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 Workflow CRUD API + DB tables
2. Workflow canvas UI (Blazor + Tailwind)
3. POST /api/workflows/{id}/send endpoint
4. Workflow history page
5. Blog: 3 who-benefits vertical posts</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Sprint 3 — Dashboard complete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2 weeks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Complete merchant self-service</w:t>
            </w:r>
          </w:p>
        </w:tc>
        <w:tc>
          <w:tcPr>
            <w:tcW w:type="dxa" w:w="4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Calibri" w:cs="Calibri" w:eastAsia="Calibri" w:hAnsi="Calibri"/>
                <w:color w:val="0F172A"/>
                <w:sz w:val="18"/>
                <w:szCs w:val="18"/>
              </w:rPr>
              <w:t xml:space="preserve">1. New envelope quick-send form (no code needed)
2. Contacts page with import/export UI
3. Analytics charts page (merchant-scoped)
4. Webhook management UI
5. Blog: comparison posts (vs DocuSign, vs Signable)</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Sprint 4 — Growth features</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3 weeks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Retention and enterprise readiness</w:t>
            </w:r>
          </w:p>
        </w:tc>
        <w:tc>
          <w:tcPr>
            <w:tcW w:type="dxa" w:w="4546"/>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Calibri" w:cs="Calibri" w:eastAsia="Calibri" w:hAnsi="Calibri"/>
                <w:color w:val="0F172A"/>
                <w:sz w:val="18"/>
                <w:szCs w:val="18"/>
              </w:rPr>
              <w:t xml:space="preserve">1. Bulk send API + UI
2. Document templates (save reusable docs)
3. Email branding (custom from-address per merchant)
4. Embedded signing (iframe embed URL)
5. Blog: developer tutorials series + legal/compliance posts</w:t>
            </w:r>
          </w:p>
        </w:tc>
      </w:tr>
    </w:tbl>
    <w:p>
      <w:pPr>
        <w:spacing w:after="80"/>
      </w:pPr>
    </w:p>
    <w:p>
      <w:pPr>
        <w:pBdr>
          <w:top w:val="single" w:color="2563EB" w:sz="6"/>
          <w:left w:val="single" w:color="2563EB" w:sz="18"/>
          <w:bottom w:val="single" w:color="2563EB" w:sz="6"/>
          <w:right w:val="single" w:color="2563EB" w:sz="6"/>
        </w:pBdr>
        <w:shd w:fill="EFF6FF" w:val="clear"/>
        <w:spacing w:after="130"/>
        <w:ind w:left="260" w:right="260"/>
      </w:pPr>
      <w:r>
        <w:rPr>
          <w:rFonts w:ascii="Calibri" w:cs="Calibri" w:eastAsia="Calibri" w:hAnsi="Calibri"/>
          <w:i/>
          <w:iCs/>
          <w:color w:val="1B3F6E"/>
          <w:sz w:val="20"/>
          <w:szCs w:val="20"/>
        </w:rPr>
        <w:t xml:space="preserve">Revenue unlock sequence: Sprint 1 removes the biggest friction point (no UI for non-developers). Sprint 2 makes DocSignerHub differentiated (workflow builder is absent from all competitors in this price range). Sprint 3 makes it self-service for any merchant. Sprint 4 opens enterprise deals.</w:t>
      </w:r>
    </w:p>
    <w:p>
      <w:pPr>
        <w:spacing w:after="80"/>
      </w:pPr>
    </w:p>
    <w:p>
      <w:pPr>
        <w:pBdr>
          <w:top w:val="single" w:color="D97706" w:sz="6"/>
          <w:left w:val="single" w:color="D97706" w:sz="18"/>
          <w:bottom w:val="single" w:color="D97706" w:sz="6"/>
          <w:right w:val="single" w:color="D97706" w:sz="6"/>
        </w:pBdr>
        <w:shd w:fill="FEF3C7" w:val="clear"/>
        <w:spacing w:after="130"/>
        <w:ind w:left="260" w:right="260"/>
      </w:pPr>
      <w:r>
        <w:rPr>
          <w:rFonts w:ascii="Calibri" w:cs="Calibri" w:eastAsia="Calibri" w:hAnsi="Calibri"/>
          <w:i/>
          <w:iCs/>
          <w:color w:val="92400E"/>
          <w:sz w:val="20"/>
          <w:szCs w:val="20"/>
        </w:rPr>
        <w:t xml:space="preserve">Critical warning: Without a merchant dashboard UI, DocSignerHub is API-only. This means 90% of potential buyers (non-developers) cannot use it at all. The API is complete and excellent — but the web dashboard must be Sprint 1 priority.</w:t>
      </w:r>
    </w:p>
    <w:p>
      <w:pPr>
        <w:spacing w:after="200"/>
      </w:pPr>
    </w:p>
    <w:p>
      <w:pPr>
        <w:spacing w:after="50" w:before="200"/>
        <w:jc w:val="center"/>
      </w:pPr>
      <w:r>
        <w:rPr>
          <w:rFonts w:ascii="Calibri" w:cs="Calibri" w:eastAsia="Calibri" w:hAnsi="Calibri"/>
          <w:b/>
          <w:bCs/>
          <w:color w:val="1B3F6E"/>
          <w:sz w:val="44"/>
          <w:szCs w:val="44"/>
        </w:rPr>
        <w:t xml:space="preserve">docsignerhub.com</w:t>
      </w:r>
    </w:p>
    <w:p>
      <w:pPr>
        <w:spacing w:after="40"/>
        <w:jc w:val="center"/>
      </w:pPr>
      <w:r>
        <w:rPr>
          <w:rFonts w:ascii="Calibri" w:cs="Calibri" w:eastAsia="Calibri" w:hAnsi="Calibri"/>
          <w:i/>
          <w:iCs/>
          <w:color w:val="64748B"/>
          <w:sz w:val="22"/>
          <w:szCs w:val="22"/>
        </w:rPr>
        <w:t xml:space="preserve">API-First Electronic Document Signing  ·  SaaS Platform</w:t>
      </w:r>
    </w:p>
    <w:p>
      <w:pPr>
        <w:pBdr>
          <w:bottom w:val="single" w:color="2563EB" w:sz="8"/>
        </w:pBdr>
        <w:spacing w:after="60"/>
      </w:pPr>
    </w:p>
    <w:p>
      <w:pPr>
        <w:jc w:val="center"/>
      </w:pPr>
      <w:r>
        <w:rPr>
          <w:rFonts w:ascii="Calibri" w:cs="Calibri" w:eastAsia="Calibri" w:hAnsi="Calibri"/>
          <w:color w:val="64748B"/>
          <w:sz w:val="17"/>
          <w:szCs w:val="17"/>
        </w:rPr>
        <w:t xml:space="preserve">© 2026 DocSignerHub. All rights reserved.</w:t>
      </w:r>
    </w:p>
    <w:sectPr>
      <w:headerReference w:type="default" r:id="rId7"/>
      <w:footerReference w:type="default" r:id="rId8"/>
      <w:pgSz w:w="11906" w:h="16838" w:orient="portrait"/>
      <w:pgMar w:top="1000" w:right="98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rPr>
        <w:rFonts w:ascii="Calibri" w:cs="Calibri" w:eastAsia="Calibri" w:hAnsi="Calibri"/>
        <w:color w:val="64748B"/>
        <w:sz w:val="16"/>
        <w:szCs w:val="16"/>
      </w:rPr>
      <w:t xml:space="preserve">Confidential · docsignerhub.com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pPr>
    <w:r>
      <w:rPr>
        <w:rFonts w:ascii="Calibri" w:cs="Calibri" w:eastAsia="Calibri" w:hAnsi="Calibri"/>
        <w:b/>
        <w:bCs/>
        <w:color w:val="1B3F6E"/>
        <w:sz w:val="17"/>
        <w:szCs w:val="17"/>
      </w:rPr>
      <w:t xml:space="preserve">DocSignerHub</w:t>
    </w:r>
    <w:r>
      <w:rPr>
        <w:rFonts w:ascii="Calibri" w:cs="Calibri" w:eastAsia="Calibri" w:hAnsi="Calibri"/>
        <w:color w:val="64748B"/>
        <w:sz w:val="17"/>
        <w:szCs w:val="17"/>
      </w:rPr>
      <w:t xml:space="preserve">   ·   SaaS Feature Roadmap, Market Research &amp; Blog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2026-04-20T12:52:29.216Z</dcterms:created>
  <dcterms:modified xsi:type="dcterms:W3CDTF">2026-04-20T12:52:29.217Z</dcterms:modified>
</cp:coreProperties>
</file>

<file path=docProps/custom.xml><?xml version="1.0" encoding="utf-8"?>
<Properties xmlns="http://schemas.openxmlformats.org/officeDocument/2006/custom-properties" xmlns:vt="http://schemas.openxmlformats.org/officeDocument/2006/docPropsVTypes"/>
</file>