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Consent</w:t>
      </w:r>
      <w:r>
        <w:t xml:space="preserve"> </w:t>
      </w:r>
      <w:r>
        <w:t xml:space="preserve">Lens</w:t>
      </w:r>
    </w:p>
    <w:p>
      <w:pPr>
        <w:pStyle w:val="Subtitle"/>
      </w:pPr>
      <w:r>
        <w:t xml:space="preserve">Product</w:t>
      </w:r>
      <w:r>
        <w:t xml:space="preserve"> </w:t>
      </w:r>
      <w:r>
        <w:t xml:space="preserve">Requirements</w:t>
      </w:r>
      <w:r>
        <w:t xml:space="preserve"> </w:t>
      </w:r>
      <w:r>
        <w:t xml:space="preserve">Document</w:t>
      </w:r>
      <w:r>
        <w:t xml:space="preserve"> </w:t>
      </w:r>
      <w:r>
        <w:t xml:space="preserve">v0.4</w:t>
      </w:r>
      <w:r>
        <w:t xml:space="preserve"> </w:t>
      </w:r>
      <w:r>
        <w:t xml:space="preserve">—</w:t>
      </w:r>
      <w:r>
        <w:t xml:space="preserve"> </w:t>
      </w:r>
      <w:r>
        <w:t xml:space="preserve">build</w:t>
      </w:r>
      <w:r>
        <w:t xml:space="preserve"> </w:t>
      </w:r>
      <w:r>
        <w:t xml:space="preserve">spec</w:t>
      </w:r>
    </w:p>
    <w:p>
      <w:pPr>
        <w:pStyle w:val="Author"/>
      </w:pPr>
      <w:r>
        <w:t xml:space="preserve">Rajeswari</w:t>
      </w:r>
      <w:r>
        <w:t xml:space="preserve"> </w:t>
      </w:r>
      <w:r>
        <w:t xml:space="preserve">Rajagopalan</w:t>
      </w:r>
    </w:p>
    <w:p>
      <w:pPr>
        <w:pStyle w:val="Date"/>
      </w:pPr>
      <w:r>
        <w:t xml:space="preserve">20</w:t>
      </w:r>
      <w:r>
        <w:t xml:space="preserve"> </w:t>
      </w:r>
      <w:r>
        <w:t xml:space="preserve">August</w:t>
      </w:r>
      <w:r>
        <w:t xml:space="preserve"> </w:t>
      </w:r>
      <w:r>
        <w:t xml:space="preserve">2026</w:t>
      </w:r>
    </w:p>
    <w:tbl>
      <w:tblPr>
        <w:tblStyle w:val="Table"/>
        <w:tblW w:type="pct" w:w="5000"/>
        <w:tblLook w:firstRow="0" w:lastRow="0" w:firstColumn="0" w:lastColumn="0" w:noHBand="0" w:noVBand="0" w:val="0000"/>
        <w:jc w:val="start"/>
      </w:tblPr>
      <w:tblGrid>
        <w:gridCol w:w="2088"/>
        <w:gridCol w:w="5832"/>
      </w:tblGrid>
      <w:tr>
        <w:tc>
          <w:tcPr/>
          <w:p>
            <w:pPr>
              <w:pStyle w:val="Compact"/>
              <w:jc w:val="left"/>
            </w:pPr>
            <w:r>
              <w:rPr>
                <w:bCs/>
                <w:b/>
              </w:rPr>
              <w:t xml:space="preserve">Author</w:t>
            </w:r>
          </w:p>
        </w:tc>
        <w:tc>
          <w:tcPr/>
          <w:p>
            <w:pPr>
              <w:pStyle w:val="Compact"/>
              <w:jc w:val="left"/>
            </w:pPr>
            <w:r>
              <w:t xml:space="preserve">Rajeswari Rajagopalan</w:t>
            </w:r>
          </w:p>
        </w:tc>
      </w:tr>
      <w:tr>
        <w:tc>
          <w:tcPr/>
          <w:p>
            <w:pPr>
              <w:pStyle w:val="Compact"/>
              <w:jc w:val="left"/>
            </w:pPr>
            <w:r>
              <w:rPr>
                <w:bCs/>
                <w:b/>
              </w:rPr>
              <w:t xml:space="preserve">Version</w:t>
            </w:r>
          </w:p>
        </w:tc>
        <w:tc>
          <w:tcPr/>
          <w:p>
            <w:pPr>
              <w:pStyle w:val="Compact"/>
              <w:jc w:val="left"/>
            </w:pPr>
            <w:r>
              <w:t xml:space="preserve">0.4 — build spec</w:t>
            </w:r>
          </w:p>
        </w:tc>
      </w:tr>
      <w:tr>
        <w:tc>
          <w:tcPr/>
          <w:p>
            <w:pPr>
              <w:pStyle w:val="Compact"/>
              <w:jc w:val="left"/>
            </w:pPr>
            <w:r>
              <w:rPr>
                <w:bCs/>
                <w:b/>
              </w:rPr>
              <w:t xml:space="preserve">Date</w:t>
            </w:r>
          </w:p>
        </w:tc>
        <w:tc>
          <w:tcPr/>
          <w:p>
            <w:pPr>
              <w:pStyle w:val="Compact"/>
              <w:jc w:val="left"/>
            </w:pPr>
            <w:r>
              <w:t xml:space="preserve">20 August 2026</w:t>
            </w:r>
          </w:p>
        </w:tc>
      </w:tr>
      <w:tr>
        <w:tc>
          <w:tcPr/>
          <w:p>
            <w:pPr>
              <w:pStyle w:val="Compact"/>
              <w:jc w:val="left"/>
            </w:pPr>
            <w:r>
              <w:rPr>
                <w:bCs/>
                <w:b/>
              </w:rPr>
              <w:t xml:space="preserve">Supersedes</w:t>
            </w:r>
          </w:p>
        </w:tc>
        <w:tc>
          <w:tcPr/>
          <w:p>
            <w:pPr>
              <w:pStyle w:val="Compact"/>
              <w:jc w:val="left"/>
            </w:pPr>
            <w:r>
              <w:t xml:space="preserve">v0.3 (adds the exposure register and the compromise-escalation path) · v0.2, which specified a three-day pre-consent build</w:t>
            </w:r>
          </w:p>
        </w:tc>
      </w:tr>
      <w:tr>
        <w:tc>
          <w:tcPr/>
          <w:p>
            <w:pPr>
              <w:pStyle w:val="Compact"/>
              <w:jc w:val="left"/>
            </w:pPr>
            <w:r>
              <w:rPr>
                <w:bCs/>
                <w:b/>
              </w:rPr>
              <w:t xml:space="preserve">Status</w:t>
            </w:r>
          </w:p>
        </w:tc>
        <w:tc>
          <w:tcPr/>
          <w:p>
            <w:pPr>
              <w:pStyle w:val="Compact"/>
              <w:jc w:val="left"/>
            </w:pPr>
            <w:r>
              <w:t xml:space="preserve">Corpus not yet fetched. Domain claims are marked ⚠ (secondary source) or ✓ (primary, with clause and retrieval date). Almost everything is ⚠ — the honest state of a spec written before ingestion.</w:t>
            </w:r>
          </w:p>
        </w:tc>
      </w:tr>
      <w:tr>
        <w:tc>
          <w:tcPr/>
          <w:p>
            <w:pPr>
              <w:pStyle w:val="Compact"/>
              <w:jc w:val="left"/>
            </w:pPr>
            <w:r>
              <w:rPr>
                <w:bCs/>
                <w:b/>
              </w:rPr>
              <w:t xml:space="preserve">Build window</w:t>
            </w:r>
          </w:p>
        </w:tc>
        <w:tc>
          <w:tcPr/>
          <w:p>
            <w:pPr>
              <w:pStyle w:val="Compact"/>
              <w:jc w:val="left"/>
            </w:pPr>
            <w:r>
              <w:t xml:space="preserve">One day. Freeze tonight.</w:t>
            </w:r>
          </w:p>
        </w:tc>
      </w:tr>
    </w:tbl>
    <w:p>
      <w:pPr>
        <w:pStyle w:val="BodyText"/>
      </w:pPr>
      <w:r>
        <w:rPr>
          <w:bCs/>
          <w:b/>
        </w:rPr>
        <w:t xml:space="preserve">What changed from v0.2, and why:</w:t>
      </w:r>
      <w:r>
        <w:t xml:space="preserve"> </w:t>
      </w:r>
      <w:r>
        <w:t xml:space="preserve">the product moved from</w:t>
      </w:r>
      <w:r>
        <w:t xml:space="preserve"> </w:t>
      </w:r>
      <w:r>
        <w:rPr>
          <w:iCs/>
          <w:i/>
        </w:rPr>
        <w:t xml:space="preserve">pre-consent</w:t>
      </w:r>
      <w:r>
        <w:t xml:space="preserve"> </w:t>
      </w:r>
      <w:r>
        <w:t xml:space="preserve">(explain the screen you are about to approve) to</w:t>
      </w:r>
      <w:r>
        <w:t xml:space="preserve"> </w:t>
      </w:r>
      <w:r>
        <w:rPr>
          <w:iCs/>
          <w:i/>
        </w:rPr>
        <w:t xml:space="preserve">post-consent</w:t>
      </w:r>
      <w:r>
        <w:t xml:space="preserve"> </w:t>
      </w:r>
      <w:r>
        <w:t xml:space="preserve">(work out what you already shared and what protects it). The trigger was establishing that the author’s own data had moved via the</w:t>
      </w:r>
      <w:r>
        <w:t xml:space="preserve"> </w:t>
      </w:r>
      <w:r>
        <w:rPr>
          <w:bCs/>
          <w:b/>
        </w:rPr>
        <w:t xml:space="preserve">eCAS route</w:t>
      </w:r>
      <w:r>
        <w:t xml:space="preserve">, not the Account Aggregator route — and that she could not tell the difference. See §0.</w:t>
      </w:r>
    </w:p>
    <w:bookmarkStart w:id="20" w:name="origin"/>
    <w:p>
      <w:pPr>
        <w:pStyle w:val="Heading2"/>
      </w:pPr>
      <w:r>
        <w:t xml:space="preserve">0. Origin</w:t>
      </w:r>
    </w:p>
    <w:p>
      <w:pPr>
        <w:pStyle w:val="FirstParagraph"/>
      </w:pPr>
      <w:r>
        <w:t xml:space="preserve">I have twenty-eight years in financial services. I have run a recordkeeping platform serving 40M+ end users across 5,000+ institutions, and I have owned a secure data-exchange platform moving regulated financial data between institutions under legal and data-governance constraints.</w:t>
      </w:r>
    </w:p>
    <w:p>
      <w:pPr>
        <w:pStyle w:val="BodyText"/>
      </w:pPr>
      <w:r>
        <w:t xml:space="preserve">Earlier this year, after a home loan application and after using a portfolio advisory service that offered a free review, I became uneasy about how much financial data I had handed over. I could not answer three questions:</w:t>
      </w:r>
    </w:p>
    <w:p>
      <w:pPr>
        <w:numPr>
          <w:ilvl w:val="0"/>
          <w:numId w:val="1001"/>
        </w:numPr>
        <w:pStyle w:val="Compact"/>
      </w:pPr>
      <w:r>
        <w:t xml:space="preserve">What did I actually share?</w:t>
      </w:r>
    </w:p>
    <w:p>
      <w:pPr>
        <w:numPr>
          <w:ilvl w:val="0"/>
          <w:numId w:val="1001"/>
        </w:numPr>
        <w:pStyle w:val="Compact"/>
      </w:pPr>
      <w:r>
        <w:t xml:space="preserve">How will it be used, and for how long?</w:t>
      </w:r>
    </w:p>
    <w:p>
      <w:pPr>
        <w:numPr>
          <w:ilvl w:val="0"/>
          <w:numId w:val="1001"/>
        </w:numPr>
        <w:pStyle w:val="Compact"/>
      </w:pPr>
      <w:r>
        <w:t xml:space="preserve">Can I delete it?</w:t>
      </w:r>
    </w:p>
    <w:p>
      <w:pPr>
        <w:pStyle w:val="FirstParagraph"/>
      </w:pPr>
      <w:r>
        <w:t xml:space="preserve">There was nowhere to find out.</w:t>
      </w:r>
    </w:p>
    <w:p>
      <w:pPr>
        <w:pStyle w:val="BodyText"/>
      </w:pPr>
      <w:r>
        <w:t xml:space="preserve">When I looked properly, I found something worse than not understanding a consent screen:</w:t>
      </w:r>
      <w:r>
        <w:t xml:space="preserve"> </w:t>
      </w:r>
      <w:r>
        <w:rPr>
          <w:bCs/>
          <w:b/>
        </w:rPr>
        <w:t xml:space="preserve">I had not used one.</w:t>
      </w:r>
      <w:r>
        <w:t xml:space="preserve"> </w:t>
      </w:r>
      <w:r>
        <w:t xml:space="preserve">My data had gone by the</w:t>
      </w:r>
      <w:r>
        <w:t xml:space="preserve"> </w:t>
      </w:r>
      <w:r>
        <w:rPr>
          <w:bCs/>
          <w:b/>
        </w:rPr>
        <w:t xml:space="preserve">eCAS route</w:t>
      </w:r>
      <w:r>
        <w:t xml:space="preserve"> </w:t>
      </w:r>
      <w:r>
        <w:t xml:space="preserve">— a consolidated account statement, forwarded. The statement’s</w:t>
      </w:r>
      <w:r>
        <w:t xml:space="preserve"> </w:t>
      </w:r>
      <w:r>
        <w:rPr>
          <w:iCs/>
          <w:i/>
        </w:rPr>
        <w:t xml:space="preserve">issuance</w:t>
      </w:r>
      <w:r>
        <w:t xml:space="preserve"> </w:t>
      </w:r>
      <w:r>
        <w:t xml:space="preserve">is regulated; CAMS and KFintech are SEBI-regulated registrars and NSDL/CDSL are depositories. The</w:t>
      </w:r>
      <w:r>
        <w:t xml:space="preserve"> </w:t>
      </w:r>
      <w:r>
        <w:rPr>
          <w:iCs/>
          <w:i/>
        </w:rPr>
        <w:t xml:space="preserve">onward sharing</w:t>
      </w:r>
      <w:r>
        <w:t xml:space="preserve"> </w:t>
      </w:r>
      <w:r>
        <w:t xml:space="preserve">is governed by nothing: no consent artefact, no purpose limitation, no expiry, no revocation, no audit trail, and no obligation on whoever receives it. ⚠</w:t>
      </w:r>
    </w:p>
    <w:p>
      <w:pPr>
        <w:pStyle w:val="BodyText"/>
      </w:pPr>
      <w:r>
        <w:t xml:space="preserve">That is the finding this product is built on.</w:t>
      </w:r>
      <w:r>
        <w:t xml:space="preserve"> </w:t>
      </w:r>
      <w:r>
        <w:rPr>
          <w:bCs/>
          <w:b/>
        </w:rPr>
        <w:t xml:space="preserve">I could not distinguish a governed rail from an ungoverned one, and I am about as well-equipped as an Indian retail customer gets.</w:t>
      </w:r>
      <w:r>
        <w:t xml:space="preserve"> </w:t>
      </w:r>
      <w:r>
        <w:t xml:space="preserve">If the gap were literacy, it would not have caught me.</w:t>
      </w:r>
    </w:p>
    <w:p>
      <w:pPr>
        <w:pStyle w:val="BodyText"/>
      </w:pPr>
      <w:r>
        <w:t xml:space="preserve">This is one person’s experience, and it is not evidence of scale. Dvara Research’s field study (§2.2) supplies that, and it shows the problem worsening further down the income distribution. The two do different jobs: mine establishes that the failure is not about capability; theirs establishes that it is widespread.</w:t>
      </w:r>
    </w:p>
    <w:bookmarkEnd w:id="20"/>
    <w:bookmarkStart w:id="21" w:name="what-this-build-is"/>
    <w:p>
      <w:pPr>
        <w:pStyle w:val="Heading2"/>
      </w:pPr>
      <w:r>
        <w:t xml:space="preserve">1. What this build is</w:t>
      </w:r>
    </w:p>
    <w:p>
      <w:pPr>
        <w:pStyle w:val="FirstParagraph"/>
      </w:pPr>
      <w:r>
        <w:rPr>
          <w:bCs/>
          <w:b/>
        </w:rPr>
        <w:t xml:space="preserve">Consent Lens answers plain-language questions about financial-data sharing in India, grounded in the published DEPA specification and the RBI Master Direction, with a verifiable clause citation on every answer.</w:t>
      </w:r>
    </w:p>
    <w:p>
      <w:pPr>
        <w:pStyle w:val="BodyText"/>
      </w:pPr>
      <w:r>
        <w:t xml:space="preserve">Its defining constraint is what it will not do. It explains and cites. It never advises whether to consent, never adjudicates whether an organisation is trustworthy, never interprets the user’s finances.</w:t>
      </w:r>
      <w:r>
        <w:t xml:space="preserve"> </w:t>
      </w:r>
      <w:r>
        <w:rPr>
          <w:bCs/>
          <w:b/>
        </w:rPr>
        <w:t xml:space="preserve">That boundary is enforced in code before the question reaches the model</w:t>
      </w:r>
      <w:r>
        <w:t xml:space="preserve"> </w:t>
      </w:r>
      <w:r>
        <w:t xml:space="preserve">— it is the product, not a safety wrapper around it.</w:t>
      </w:r>
    </w:p>
    <w:p>
      <w:pPr>
        <w:pStyle w:val="BodyText"/>
      </w:pPr>
      <w:r>
        <w:t xml:space="preserve">This is a one-day probe, not a product. The claim being made is:</w:t>
      </w:r>
      <w:r>
        <w:t xml:space="preserve"> </w:t>
      </w:r>
      <w:r>
        <w:rPr>
          <w:iCs/>
          <w:i/>
        </w:rPr>
        <w:t xml:space="preserve">I found a real gap in public infrastructure I know well, built the smallest honest test of it, drew a hard boundary and enforced it mechanically, and learned more from the failures than the successes.</w:t>
      </w:r>
    </w:p>
    <w:bookmarkEnd w:id="21"/>
    <w:bookmarkStart w:id="28" w:name="problem"/>
    <w:p>
      <w:pPr>
        <w:pStyle w:val="Heading2"/>
      </w:pPr>
      <w:r>
        <w:t xml:space="preserve">2. Problem</w:t>
      </w:r>
    </w:p>
    <w:bookmarkStart w:id="22" w:name="the-infrastructure-is-not-the-bottleneck"/>
    <w:p>
      <w:pPr>
        <w:pStyle w:val="Heading3"/>
      </w:pPr>
      <w:r>
        <w:t xml:space="preserve">2.1 The infrastructure is not the bottleneck</w:t>
      </w:r>
    </w:p>
    <w:p>
      <w:pPr>
        <w:pStyle w:val="FirstParagraph"/>
      </w:pPr>
      <w:r>
        <w:t xml:space="preserve">The Account Aggregator framework crossed 100 million cumulative consents by August 2024, with roughly 155 FIPs and 475 FIUs, after consent requests grew from 5.5M (FY23) to 63.75M (FY24). ⚠</w:t>
      </w:r>
      <w:r>
        <w:t xml:space="preserve"> </w:t>
      </w:r>
      <w:r>
        <w:rPr>
          <w:iCs/>
          <w:i/>
        </w:rPr>
        <w:t xml:space="preserve">Sahamati, Aug 2024 — two years stale; refresh before publication.</w:t>
      </w:r>
      <w:r>
        <w:t xml:space="preserve"> </w:t>
      </w:r>
      <w:r>
        <w:t xml:space="preserve">The rails work and carry volume. The order of magnitude is the argument, not the number.</w:t>
      </w:r>
    </w:p>
    <w:bookmarkEnd w:id="22"/>
    <w:bookmarkStart w:id="23" w:name="X12ce2b823af9d05dbbadac475bf5c0b1e0e611e"/>
    <w:p>
      <w:pPr>
        <w:pStyle w:val="Heading3"/>
      </w:pPr>
      <w:r>
        <w:t xml:space="preserve">2.2 Disclosure is solved. Comprehension is not.</w:t>
      </w:r>
    </w:p>
    <w:p>
      <w:pPr>
        <w:pStyle w:val="FirstParagraph"/>
      </w:pPr>
      <w:r>
        <w:t xml:space="preserve">This distinction is the spine of the document, and it is not my opinion — it comes from the ecosystem’s own work.</w:t>
      </w:r>
    </w:p>
    <w:p>
      <w:pPr>
        <w:pStyle w:val="BodyText"/>
      </w:pPr>
      <w:r>
        <w:rPr>
          <w:bCs/>
          <w:b/>
        </w:rPr>
        <w:t xml:space="preserve">Disclosure is genuinely well designed.</w:t>
      </w:r>
      <w:r>
        <w:t xml:space="preserve"> </w:t>
      </w:r>
      <w:r>
        <w:t xml:space="preserve">Sahamati publishes</w:t>
      </w:r>
      <w:r>
        <w:t xml:space="preserve"> </w:t>
      </w:r>
      <w:r>
        <w:rPr>
          <w:iCs/>
          <w:i/>
        </w:rPr>
        <w:t xml:space="preserve">Design Principles for Informed Consent</w:t>
      </w:r>
      <w:r>
        <w:t xml:space="preserve">, specifying that the consent screen must show Purpose, Accounts Overview,</w:t>
      </w:r>
      <w:r>
        <w:t xml:space="preserve"> </w:t>
      </w:r>
      <w:r>
        <w:rPr>
          <w:bCs/>
          <w:b/>
        </w:rPr>
        <w:t xml:space="preserve">Consent life</w:t>
      </w:r>
      <w:r>
        <w:t xml:space="preserve">,</w:t>
      </w:r>
      <w:r>
        <w:t xml:space="preserve"> </w:t>
      </w:r>
      <w:r>
        <w:rPr>
          <w:bCs/>
          <w:b/>
        </w:rPr>
        <w:t xml:space="preserve">Data Life</w:t>
      </w:r>
      <w:r>
        <w:t xml:space="preserve">, Fetch type, Frequency, and a cancellation callout — organised around</w:t>
      </w:r>
      <w:r>
        <w:t xml:space="preserve"> </w:t>
      </w:r>
      <w:r>
        <w:rPr>
          <w:iCs/>
          <w:i/>
        </w:rPr>
        <w:t xml:space="preserve">What data sources / What information / Who / How long / Why / How often</w:t>
      </w:r>
      <w:r>
        <w:t xml:space="preserve">. It also says terminology should be</w:t>
      </w:r>
      <w:r>
        <w:t xml:space="preserve"> </w:t>
      </w:r>
      <w:r>
        <w:t xml:space="preserve">“</w:t>
      </w:r>
      <w:r>
        <w:t xml:space="preserve">as close to layman language as possible</w:t>
      </w:r>
      <w:r>
        <w:t xml:space="preserve">”</w:t>
      </w:r>
      <w:r>
        <w:t xml:space="preserve"> </w:t>
      </w:r>
      <w:r>
        <w:t xml:space="preserve">and that consent should be available in multiple Indian languages. ⚠</w:t>
      </w:r>
      <w:r>
        <w:t xml:space="preserve"> </w:t>
      </w:r>
      <w:r>
        <w:rPr>
          <w:iCs/>
          <w:i/>
        </w:rPr>
        <w:t xml:space="preserve">Sourced to Sahamati’s published guidance.</w:t>
      </w:r>
    </w:p>
    <w:p>
      <w:pPr>
        <w:pStyle w:val="BodyText"/>
      </w:pPr>
      <w:r>
        <w:t xml:space="preserve">Three qualifications matter:</w:t>
      </w:r>
    </w:p>
    <w:p>
      <w:pPr>
        <w:numPr>
          <w:ilvl w:val="0"/>
          <w:numId w:val="1002"/>
        </w:numPr>
        <w:pStyle w:val="Compact"/>
      </w:pPr>
      <w:r>
        <w:rPr>
          <w:bCs/>
          <w:b/>
        </w:rPr>
        <w:t xml:space="preserve">It is SRO guidance, not regulation.</w:t>
      </w:r>
      <w:r>
        <w:t xml:space="preserve"> </w:t>
      </w:r>
      <w:r>
        <w:t xml:space="preserve">RBI mandates the artefact’s</w:t>
      </w:r>
      <w:r>
        <w:t xml:space="preserve"> </w:t>
      </w:r>
      <w:r>
        <w:rPr>
          <w:iCs/>
          <w:i/>
        </w:rPr>
        <w:t xml:space="preserve">fields</w:t>
      </w:r>
      <w:r>
        <w:t xml:space="preserve"> </w:t>
      </w:r>
      <w:r>
        <w:t xml:space="preserve">and that the customer be</w:t>
      </w:r>
      <w:r>
        <w:t xml:space="preserve"> </w:t>
      </w:r>
      <w:r>
        <w:rPr>
          <w:iCs/>
          <w:i/>
        </w:rPr>
        <w:t xml:space="preserve">informed</w:t>
      </w:r>
      <w:r>
        <w:t xml:space="preserve"> </w:t>
      </w:r>
      <w:r>
        <w:t xml:space="preserve">of them (2016 cl. 6.3 / 6.5; restated 2025 Directions paras 17, 19, 20, 35). ⚠ It does not mandate layout, plain language, or vernacular.</w:t>
      </w:r>
    </w:p>
    <w:p>
      <w:pPr>
        <w:numPr>
          <w:ilvl w:val="0"/>
          <w:numId w:val="1002"/>
        </w:numPr>
        <w:pStyle w:val="Compact"/>
      </w:pPr>
      <w:r>
        <w:rPr>
          <w:bCs/>
          <w:b/>
        </w:rPr>
        <w:t xml:space="preserve">Implementation is largely unverifiable from outside.</w:t>
      </w:r>
      <w:r>
        <w:t xml:space="preserve"> </w:t>
      </w:r>
      <w:r>
        <w:t xml:space="preserve">Concrete screen copy could be found only for OneMoney. Its own documentation states English and Hindi only, with other languages</w:t>
      </w:r>
      <w:r>
        <w:t xml:space="preserve"> </w:t>
      </w:r>
      <w:r>
        <w:t xml:space="preserve">“</w:t>
      </w:r>
      <w:r>
        <w:t xml:space="preserve">in the future.</w:t>
      </w:r>
      <w:r>
        <w:t xml:space="preserve">”</w:t>
      </w:r>
      <w:r>
        <w:t xml:space="preserve"> </w:t>
      </w:r>
      <w:r>
        <w:t xml:space="preserve">⚠</w:t>
      </w:r>
    </w:p>
    <w:p>
      <w:pPr>
        <w:numPr>
          <w:ilvl w:val="0"/>
          <w:numId w:val="1002"/>
        </w:numPr>
        <w:pStyle w:val="Compact"/>
      </w:pPr>
      <w:r>
        <w:rPr>
          <w:bCs/>
          <w:b/>
        </w:rPr>
        <w:t xml:space="preserve">“</w:t>
      </w:r>
      <w:r>
        <w:rPr>
          <w:bCs/>
          <w:b/>
        </w:rPr>
        <w:t xml:space="preserve">5W</w:t>
      </w:r>
      <w:r>
        <w:rPr>
          <w:bCs/>
          <w:b/>
        </w:rPr>
        <w:t xml:space="preserve">”</w:t>
      </w:r>
      <w:r>
        <w:rPr>
          <w:bCs/>
          <w:b/>
        </w:rPr>
        <w:t xml:space="preserve"> </w:t>
      </w:r>
      <w:r>
        <w:rPr>
          <w:bCs/>
          <w:b/>
        </w:rPr>
        <w:t xml:space="preserve">is not Sahamati’s term.</w:t>
      </w:r>
      <w:r>
        <w:t xml:space="preserve"> </w:t>
      </w:r>
      <w:r>
        <w:t xml:space="preserve">The structure is theirs; the label is not. Do not use it.</w:t>
      </w:r>
    </w:p>
    <w:p>
      <w:pPr>
        <w:pStyle w:val="FirstParagraph"/>
      </w:pPr>
      <w:r>
        <w:rPr>
          <w:bCs/>
          <w:b/>
        </w:rPr>
        <w:t xml:space="preserve">And the ecosystem’s own research says it isn’t landing.</w:t>
      </w:r>
      <w:r>
        <w:t xml:space="preserve"> </w:t>
      </w:r>
      <w:r>
        <w:t xml:space="preserve">Dvara Research, with the behavioural firm Final Mile, ran field studies across rural, semi-urban and urban sites (n=60, ₹2–5 lakh income) and concluded AA consent artefacts remain</w:t>
      </w:r>
      <w:r>
        <w:t xml:space="preserve"> </w:t>
      </w:r>
      <w:r>
        <w:rPr>
          <w:bCs/>
          <w:b/>
        </w:rPr>
        <w:t xml:space="preserve">“</w:t>
      </w:r>
      <w:r>
        <w:rPr>
          <w:bCs/>
          <w:b/>
        </w:rPr>
        <w:t xml:space="preserve">binding, incomprehensible and not intuitive for the customers.</w:t>
      </w:r>
      <w:r>
        <w:rPr>
          <w:bCs/>
          <w:b/>
        </w:rPr>
        <w:t xml:space="preserve">”</w:t>
      </w:r>
      <w:r>
        <w:t xml:space="preserve"> </w:t>
      </w:r>
      <w:r>
        <w:t xml:space="preserve">They found users hold a mental model of consent as a</w:t>
      </w:r>
      <w:r>
        <w:t xml:space="preserve"> </w:t>
      </w:r>
      <w:r>
        <w:rPr>
          <w:iCs/>
          <w:i/>
        </w:rPr>
        <w:t xml:space="preserve">mandatory procedural gate</w:t>
      </w:r>
      <w:r>
        <w:t xml:space="preserve"> </w:t>
      </w:r>
      <w:r>
        <w:t xml:space="preserve">rather than a choice, approached in a</w:t>
      </w:r>
      <w:r>
        <w:t xml:space="preserve"> </w:t>
      </w:r>
      <w:r>
        <w:t xml:space="preserve">“</w:t>
      </w:r>
      <w:r>
        <w:t xml:space="preserve">hot state</w:t>
      </w:r>
      <w:r>
        <w:t xml:space="preserve">”</w:t>
      </w:r>
      <w:r>
        <w:t xml:space="preserve"> </w:t>
      </w:r>
      <w:r>
        <w:t xml:space="preserve">of loan-approval urgency. ⚠</w:t>
      </w:r>
      <w:r>
        <w:t xml:space="preserve"> </w:t>
      </w:r>
      <w:r>
        <w:rPr>
          <w:iCs/>
          <w:i/>
        </w:rPr>
        <w:t xml:space="preserve">Sourced to Dvara’s published write-ups.</w:t>
      </w:r>
    </w:p>
    <w:p>
      <w:pPr>
        <w:pStyle w:val="BodyText"/>
      </w:pPr>
      <w:r>
        <w:rPr>
          <w:bCs/>
          <w:b/>
        </w:rPr>
        <w:t xml:space="preserve">Sahamati’s own informed-consent workshop</w:t>
      </w:r>
      <w:r>
        <w:t xml:space="preserve"> </w:t>
      </w:r>
      <w:r>
        <w:t xml:space="preserve">acknowledges user confusion across FIU/FIP/AA, drop-off during data fetch, ambiguity around revocation, and cognitive burden. ⚠ That is the SRO conceding the point in its own words, and it is the strongest single citation available.</w:t>
      </w:r>
    </w:p>
    <w:bookmarkEnd w:id="23"/>
    <w:bookmarkStart w:id="24" w:name="the-route-problem-the-core-of-this-build"/>
    <w:p>
      <w:pPr>
        <w:pStyle w:val="Heading3"/>
      </w:pPr>
      <w:r>
        <w:t xml:space="preserve">2.3 The route problem — the core of this build</w:t>
      </w:r>
    </w:p>
    <w:p>
      <w:pPr>
        <w:pStyle w:val="FirstParagraph"/>
      </w:pPr>
      <w:r>
        <w:t xml:space="preserve">Everything above concerns people who</w:t>
      </w:r>
      <w:r>
        <w:t xml:space="preserve"> </w:t>
      </w:r>
      <w:r>
        <w:rPr>
          <w:iCs/>
          <w:i/>
        </w:rPr>
        <w:t xml:space="preserve">used</w:t>
      </w:r>
      <w:r>
        <w:t xml:space="preserve"> </w:t>
      </w:r>
      <w:r>
        <w:t xml:space="preserve">the AA route. My case was different and, I suspect, more common:</w:t>
      </w:r>
      <w:r>
        <w:t xml:space="preserve"> </w:t>
      </w:r>
      <w:r>
        <w:rPr>
          <w:bCs/>
          <w:b/>
        </w:rPr>
        <w:t xml:space="preserve">I did not know which route my data had taken.</w:t>
      </w:r>
    </w:p>
    <w:p>
      <w:pPr>
        <w:pStyle w:val="BodyText"/>
      </w:pPr>
      <w:r>
        <w:t xml:space="preserve">The routes carry radically different protection: ⚠</w:t>
      </w:r>
    </w:p>
    <w:tbl>
      <w:tblPr>
        <w:tblStyle w:val="Table"/>
        <w:tblW w:type="pct" w:w="5000"/>
        <w:tblLook w:firstRow="1" w:lastRow="0" w:firstColumn="0" w:lastColumn="0" w:noHBand="0" w:noVBand="0" w:val="0020"/>
        <w:jc w:val="start"/>
      </w:tblPr>
      <w:tblGrid>
        <w:gridCol w:w="2603"/>
        <w:gridCol w:w="1229"/>
        <w:gridCol w:w="1374"/>
        <w:gridCol w:w="795"/>
        <w:gridCol w:w="1084"/>
        <w:gridCol w:w="831"/>
      </w:tblGrid>
      <w:tr>
        <w:trPr>
          <w:tblHeader w:val="true"/>
        </w:trPr>
        <w:tc>
          <w:tcPr/>
          <w:p>
            <w:pPr>
              <w:pStyle w:val="Compact"/>
              <w:jc w:val="left"/>
            </w:pPr>
            <w:r>
              <w:t xml:space="preserve">Route</w:t>
            </w:r>
          </w:p>
        </w:tc>
        <w:tc>
          <w:tcPr/>
          <w:p>
            <w:pPr>
              <w:pStyle w:val="Compact"/>
              <w:jc w:val="left"/>
            </w:pPr>
            <w:r>
              <w:t xml:space="preserve">Consent artefact</w:t>
            </w:r>
          </w:p>
        </w:tc>
        <w:tc>
          <w:tcPr/>
          <w:p>
            <w:pPr>
              <w:pStyle w:val="Compact"/>
              <w:jc w:val="left"/>
            </w:pPr>
            <w:r>
              <w:t xml:space="preserve">Purpose limitation</w:t>
            </w:r>
          </w:p>
        </w:tc>
        <w:tc>
          <w:tcPr/>
          <w:p>
            <w:pPr>
              <w:pStyle w:val="Compact"/>
              <w:jc w:val="left"/>
            </w:pPr>
            <w:r>
              <w:t xml:space="preserve">Expiry</w:t>
            </w:r>
          </w:p>
        </w:tc>
        <w:tc>
          <w:tcPr/>
          <w:p>
            <w:pPr>
              <w:pStyle w:val="Compact"/>
              <w:jc w:val="left"/>
            </w:pPr>
            <w:r>
              <w:t xml:space="preserve">Revocable</w:t>
            </w:r>
          </w:p>
        </w:tc>
        <w:tc>
          <w:tcPr/>
          <w:p>
            <w:pPr>
              <w:pStyle w:val="Compact"/>
              <w:jc w:val="left"/>
            </w:pPr>
            <w:r>
              <w:t xml:space="preserve">Audit trail</w:t>
            </w:r>
          </w:p>
        </w:tc>
      </w:tr>
      <w:tr>
        <w:tc>
          <w:tcPr/>
          <w:p>
            <w:pPr>
              <w:pStyle w:val="Compact"/>
              <w:jc w:val="left"/>
            </w:pPr>
            <w:r>
              <w:t xml:space="preserve">Account Aggregator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eCAS forwarded by email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Statement PDF uploaded to a portal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Net-banking credentials shared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rPr>
          <w:bCs/>
          <w:b/>
        </w:rPr>
        <w:t xml:space="preserve">Nothing tells a citizen which one they used, and the difference is the entire value of the AA framework.</w:t>
      </w:r>
      <w:r>
        <w:t xml:space="preserve"> </w:t>
      </w:r>
      <w:r>
        <w:t xml:space="preserve">A consent explainer that only speaks to people already inside the governed rail misses the population most exposed.</w:t>
      </w:r>
    </w:p>
    <w:p>
      <w:pPr>
        <w:pStyle w:val="BodyText"/>
      </w:pPr>
      <w:r>
        <w:t xml:space="preserve">This also reframes what</w:t>
      </w:r>
      <w:r>
        <w:t xml:space="preserve"> </w:t>
      </w:r>
      <w:r>
        <w:t xml:space="preserve">“</w:t>
      </w:r>
      <w:r>
        <w:t xml:space="preserve">explaining consent</w:t>
      </w:r>
      <w:r>
        <w:t xml:space="preserve">”</w:t>
      </w:r>
      <w:r>
        <w:t xml:space="preserve"> </w:t>
      </w:r>
      <w:r>
        <w:t xml:space="preserve">means. The useful question is not</w:t>
      </w:r>
      <w:r>
        <w:t xml:space="preserve"> </w:t>
      </w:r>
      <w:r>
        <w:rPr>
          <w:iCs/>
          <w:i/>
        </w:rPr>
        <w:t xml:space="preserve">what does this screen say</w:t>
      </w:r>
      <w:r>
        <w:t xml:space="preserve"> </w:t>
      </w:r>
      <w:r>
        <w:t xml:space="preserve">but</w:t>
      </w:r>
      <w:r>
        <w:t xml:space="preserve"> </w:t>
      </w:r>
      <w:r>
        <w:rPr>
          <w:iCs/>
          <w:i/>
        </w:rPr>
        <w:t xml:space="preserve">what protects me, given what I did</w:t>
      </w:r>
      <w:r>
        <w:t xml:space="preserve"> </w:t>
      </w:r>
      <w:r>
        <w:t xml:space="preserve">— and for three of the four rows, the honest answer is</w:t>
      </w:r>
      <w:r>
        <w:t xml:space="preserve"> </w:t>
      </w:r>
      <w:r>
        <w:t xml:space="preserve">“</w:t>
      </w:r>
      <w:r>
        <w:t xml:space="preserve">nothing in these documents, and here is what the fourth row would have given you.</w:t>
      </w:r>
      <w:r>
        <w:t xml:space="preserve">”</w:t>
      </w:r>
    </w:p>
    <w:bookmarkEnd w:id="24"/>
    <w:bookmarkStart w:id="25" w:name="the-consent-moment-is-usually-mediated"/>
    <w:p>
      <w:pPr>
        <w:pStyle w:val="Heading3"/>
      </w:pPr>
      <w:r>
        <w:t xml:space="preserve">2.4 The consent moment is usually mediated</w:t>
      </w:r>
    </w:p>
    <w:p>
      <w:pPr>
        <w:pStyle w:val="FirstParagraph"/>
      </w:pPr>
      <w:r>
        <w:rPr>
          <w:iCs/>
          <w:i/>
        </w:rPr>
        <w:t xml:space="preserve">“</w:t>
      </w:r>
      <w:r>
        <w:rPr>
          <w:iCs/>
          <w:i/>
        </w:rPr>
        <w:t xml:space="preserve">You’ll get an OTP — give it on the next screen and approve it.</w:t>
      </w:r>
      <w:r>
        <w:rPr>
          <w:iCs/>
          <w:i/>
        </w:rPr>
        <w:t xml:space="preserve">”</w:t>
      </w:r>
    </w:p>
    <w:p>
      <w:pPr>
        <w:pStyle w:val="BodyText"/>
      </w:pPr>
      <w:r>
        <w:t xml:space="preserve">The architecture assumes a citizen alone with a screen, reading. In practice the moment is frequently mediated by a relationship manager, DSA, or CA — someone trusted, present, competent-seeming, and</w:t>
      </w:r>
      <w:r>
        <w:t xml:space="preserve"> </w:t>
      </w:r>
      <w:r>
        <w:rPr>
          <w:bCs/>
          <w:b/>
        </w:rPr>
        <w:t xml:space="preserve">structurally interested in the approval happening.</w:t>
      </w:r>
      <w:r>
        <w:t xml:space="preserve"> </w:t>
      </w:r>
      <w:r>
        <w:t xml:space="preserve">The decision compresses into deference.</w:t>
      </w:r>
    </w:p>
    <w:p>
      <w:pPr>
        <w:pStyle w:val="BodyText"/>
      </w:pPr>
      <w:r>
        <w:t xml:space="preserve">This is absent from Sahamati’s design guidance as far as I can establish ⚠, and it sharpens §4: the user is not only time-pressured but socially pressured, by someone whose expertise they are deferring to. Asking a machine costs no dignity — and, in this scenario, no relationship either.</w:t>
      </w:r>
    </w:p>
    <w:bookmarkEnd w:id="25"/>
    <w:bookmarkStart w:id="26" w:name="why-the-aa-apps-dont-already-solve-this"/>
    <w:p>
      <w:pPr>
        <w:pStyle w:val="Heading3"/>
      </w:pPr>
      <w:r>
        <w:t xml:space="preserve">2.5 Why the AA apps don’t already solve this</w:t>
      </w:r>
    </w:p>
    <w:p>
      <w:pPr>
        <w:pStyle w:val="FirstParagraph"/>
      </w:pPr>
      <w:r>
        <w:t xml:space="preserve">Anticipating the obvious objection, because anyone in this ecosystem will raise it.</w:t>
      </w:r>
    </w:p>
    <w:p>
      <w:pPr>
        <w:numPr>
          <w:ilvl w:val="0"/>
          <w:numId w:val="1003"/>
        </w:numPr>
        <w:pStyle w:val="Compact"/>
      </w:pPr>
      <w:r>
        <w:rPr>
          <w:bCs/>
          <w:b/>
        </w:rPr>
        <w:t xml:space="preserve">The screen is declarative; the need is interrogative.</w:t>
      </w:r>
      <w:r>
        <w:t xml:space="preserve"> </w:t>
      </w:r>
      <w:r>
        <w:t xml:space="preserve">A display schema answers a fixed set of anticipated questions. The citizen has a sixth. Showing</w:t>
      </w:r>
      <w:r>
        <w:t xml:space="preserve"> </w:t>
      </w:r>
      <w:r>
        <w:rPr>
          <w:rStyle w:val="VerbatimChar"/>
        </w:rPr>
        <w:t xml:space="preserve">Data Life: 6 months</w:t>
      </w:r>
      <w:r>
        <w:t xml:space="preserve"> </w:t>
      </w:r>
      <w:r>
        <w:t xml:space="preserve">is not answering</w:t>
      </w:r>
      <w:r>
        <w:t xml:space="preserve"> </w:t>
      </w:r>
      <w:r>
        <w:rPr>
          <w:iCs/>
          <w:i/>
        </w:rPr>
        <w:t xml:space="preserve">“</w:t>
      </w:r>
      <w:r>
        <w:rPr>
          <w:iCs/>
          <w:i/>
        </w:rPr>
        <w:t xml:space="preserve">so if I cancel, do they still have it?</w:t>
      </w:r>
      <w:r>
        <w:rPr>
          <w:iCs/>
          <w:i/>
        </w:rPr>
        <w:t xml:space="preserve">”</w:t>
      </w:r>
    </w:p>
    <w:p>
      <w:pPr>
        <w:numPr>
          <w:ilvl w:val="0"/>
          <w:numId w:val="1003"/>
        </w:numPr>
        <w:pStyle w:val="Compact"/>
      </w:pPr>
      <w:r>
        <w:rPr>
          <w:bCs/>
          <w:b/>
        </w:rPr>
        <w:t xml:space="preserve">The screen renders one artefact.</w:t>
      </w:r>
      <w:r>
        <w:t xml:space="preserve"> </w:t>
      </w:r>
      <w:r>
        <w:t xml:space="preserve">It has no surface for framework questions — what a purpose code means, what AA cannot do at all, what happens after.</w:t>
      </w:r>
    </w:p>
    <w:p>
      <w:pPr>
        <w:numPr>
          <w:ilvl w:val="0"/>
          <w:numId w:val="1003"/>
        </w:numPr>
        <w:pStyle w:val="Compact"/>
      </w:pPr>
      <w:r>
        <w:rPr>
          <w:bCs/>
          <w:b/>
        </w:rPr>
        <w:t xml:space="preserve">No intermediary volunteers its own limitations.</w:t>
      </w:r>
      <w:r>
        <w:t xml:space="preserve"> </w:t>
      </w:r>
      <w:r>
        <w:t xml:space="preserve">An AA app will never open with</w:t>
      </w:r>
      <w:r>
        <w:t xml:space="preserve"> </w:t>
      </w:r>
      <w:r>
        <w:t xml:space="preserve">“</w:t>
      </w:r>
      <w:r>
        <w:t xml:space="preserve">joint accounts don’t work here.</w:t>
      </w:r>
      <w:r>
        <w:t xml:space="preserve">”</w:t>
      </w:r>
    </w:p>
    <w:p>
      <w:pPr>
        <w:numPr>
          <w:ilvl w:val="0"/>
          <w:numId w:val="1003"/>
        </w:numPr>
        <w:pStyle w:val="Compact"/>
      </w:pPr>
      <w:r>
        <w:rPr>
          <w:bCs/>
          <w:b/>
        </w:rPr>
        <w:t xml:space="preserve">The AA renders its own copy; Consent Lens cites the regulation.</w:t>
      </w:r>
      <w:r>
        <w:t xml:space="preserve"> </w:t>
      </w:r>
      <w:r>
        <w:t xml:space="preserve">Different epistemic objects. If a rendering diverges from the Master Direction, only the second can show you.</w:t>
      </w:r>
    </w:p>
    <w:p>
      <w:pPr>
        <w:numPr>
          <w:ilvl w:val="0"/>
          <w:numId w:val="1003"/>
        </w:numPr>
        <w:pStyle w:val="Compact"/>
      </w:pPr>
      <w:r>
        <w:rPr>
          <w:bCs/>
          <w:b/>
        </w:rPr>
        <w:t xml:space="preserve">And structurally: the AA is inside the transaction.</w:t>
      </w:r>
      <w:r>
        <w:t xml:space="preserve"> </w:t>
      </w:r>
      <w:r>
        <w:t xml:space="preserve">Consent Lens is not, which is the only reason its explanation is worth anything (§5).</w:t>
      </w:r>
    </w:p>
    <w:bookmarkEnd w:id="26"/>
    <w:bookmarkStart w:id="27" w:name="where-the-gap-is-not-ours-to-close"/>
    <w:p>
      <w:pPr>
        <w:pStyle w:val="Heading3"/>
      </w:pPr>
      <w:r>
        <w:t xml:space="preserve">2.6 Where the gap is not ours to close</w:t>
      </w:r>
    </w:p>
    <w:p>
      <w:pPr>
        <w:pStyle w:val="FirstParagraph"/>
      </w:pPr>
      <w:r>
        <w:t xml:space="preserve">Some questions are unanswerable because the framework or its implementations do not cover the case. Distinguishing</w:t>
      </w:r>
      <w:r>
        <w:t xml:space="preserve"> </w:t>
      </w:r>
      <w:r>
        <w:rPr>
          <w:iCs/>
          <w:i/>
        </w:rPr>
        <w:t xml:space="preserve">my retrieval failed</w:t>
      </w:r>
      <w:r>
        <w:t xml:space="preserve"> </w:t>
      </w:r>
      <w:r>
        <w:t xml:space="preserve">/</w:t>
      </w:r>
      <w:r>
        <w:t xml:space="preserve"> </w:t>
      </w:r>
      <w:r>
        <w:rPr>
          <w:iCs/>
          <w:i/>
        </w:rPr>
        <w:t xml:space="preserve">the corpus lacks it</w:t>
      </w:r>
      <w:r>
        <w:t xml:space="preserve"> </w:t>
      </w:r>
      <w:r>
        <w:t xml:space="preserve">/</w:t>
      </w:r>
      <w:r>
        <w:t xml:space="preserve"> </w:t>
      </w:r>
      <w:r>
        <w:rPr>
          <w:iCs/>
          <w:i/>
        </w:rPr>
        <w:t xml:space="preserve">the spec excludes it</w:t>
      </w:r>
      <w:r>
        <w:t xml:space="preserve"> </w:t>
      </w:r>
      <w:r>
        <w:t xml:space="preserve">/</w:t>
      </w:r>
      <w:r>
        <w:t xml:space="preserve"> </w:t>
      </w:r>
      <w:r>
        <w:rPr>
          <w:iCs/>
          <w:i/>
        </w:rPr>
        <w:t xml:space="preserve">the spec allows it but nobody built it</w:t>
      </w:r>
      <w:r>
        <w:t xml:space="preserve"> </w:t>
      </w:r>
      <w:r>
        <w:t xml:space="preserve">/</w:t>
      </w:r>
      <w:r>
        <w:t xml:space="preserve"> </w:t>
      </w:r>
      <w:r>
        <w:rPr>
          <w:iCs/>
          <w:i/>
        </w:rPr>
        <w:t xml:space="preserve">the rule lives in another instrument</w:t>
      </w:r>
      <w:r>
        <w:t xml:space="preserve"> </w:t>
      </w:r>
      <w:r>
        <w:t xml:space="preserve">is</w:t>
      </w:r>
      <w:r>
        <w:t xml:space="preserve"> </w:t>
      </w:r>
      <w:r>
        <w:rPr>
          <w:bCs/>
          <w:b/>
        </w:rPr>
        <w:t xml:space="preserve">the primary analytical output of this build.</w:t>
      </w:r>
      <w:r>
        <w:t xml:space="preserve"> </w:t>
      </w:r>
      <w:r>
        <w:t xml:space="preserve">Seed register in Appendix B.</w:t>
      </w:r>
    </w:p>
    <w:bookmarkEnd w:id="27"/>
    <w:bookmarkEnd w:id="28"/>
    <w:bookmarkStart w:id="29" w:name="user-and-moment"/>
    <w:p>
      <w:pPr>
        <w:pStyle w:val="Heading2"/>
      </w:pPr>
      <w:r>
        <w:t xml:space="preserve">3. User and moment</w:t>
      </w:r>
    </w:p>
    <w:tbl>
      <w:tblPr>
        <w:tblStyle w:val="Table"/>
        <w:tblW w:type="pct" w:w="5000"/>
        <w:tblLook w:firstRow="0" w:lastRow="0" w:firstColumn="0" w:lastColumn="0" w:noHBand="0" w:noVBand="0" w:val="0000"/>
        <w:jc w:val="start"/>
      </w:tblPr>
      <w:tblGrid>
        <w:gridCol w:w="2268"/>
        <w:gridCol w:w="5652"/>
      </w:tblGrid>
      <w:tr>
        <w:tc>
          <w:tcPr/>
          <w:p>
            <w:pPr>
              <w:pStyle w:val="Compact"/>
              <w:jc w:val="left"/>
            </w:pPr>
            <w:r>
              <w:rPr>
                <w:bCs/>
                <w:b/>
              </w:rPr>
              <w:t xml:space="preserve">Primary user</w:t>
            </w:r>
          </w:p>
        </w:tc>
        <w:tc>
          <w:tcPr/>
          <w:p>
            <w:pPr>
              <w:pStyle w:val="Compact"/>
              <w:jc w:val="left"/>
            </w:pPr>
            <w:r>
              <w:t xml:space="preserve">An adult who has already shared financial data and is uneasy about it. Not necessarily low-literacy — see §0.</w:t>
            </w:r>
          </w:p>
        </w:tc>
      </w:tr>
      <w:tr>
        <w:tc>
          <w:tcPr/>
          <w:p>
            <w:pPr>
              <w:pStyle w:val="Compact"/>
              <w:jc w:val="left"/>
            </w:pPr>
            <w:r>
              <w:rPr>
                <w:bCs/>
                <w:b/>
              </w:rPr>
              <w:t xml:space="preserve">Moment</w:t>
            </w:r>
          </w:p>
        </w:tc>
        <w:tc>
          <w:tcPr/>
          <w:p>
            <w:pPr>
              <w:pStyle w:val="Compact"/>
              <w:jc w:val="left"/>
            </w:pPr>
            <w:r>
              <w:rPr>
                <w:bCs/>
                <w:b/>
              </w:rPr>
              <w:t xml:space="preserve">Post-consent.</w:t>
            </w:r>
            <w:r>
              <w:t xml:space="preserve"> </w:t>
            </w:r>
            <w:r>
              <w:t xml:space="preserve">Retrospective, self-initiated, no time pressure, no transaction in flight.</w:t>
            </w:r>
          </w:p>
        </w:tc>
      </w:tr>
      <w:tr>
        <w:tc>
          <w:tcPr/>
          <w:p>
            <w:pPr>
              <w:pStyle w:val="Compact"/>
              <w:jc w:val="left"/>
            </w:pPr>
            <w:r>
              <w:rPr>
                <w:bCs/>
                <w:b/>
              </w:rPr>
              <w:t xml:space="preserve">Not this build</w:t>
            </w:r>
          </w:p>
        </w:tc>
        <w:tc>
          <w:tcPr/>
          <w:p>
            <w:pPr>
              <w:pStyle w:val="Compact"/>
              <w:jc w:val="left"/>
            </w:pPr>
            <w:r>
              <w:t xml:space="preserve">Pre-consent, at the screen, deciding in fifteen seconds. Deferred — see §6.</w:t>
            </w:r>
          </w:p>
        </w:tc>
      </w:tr>
    </w:tbl>
    <w:p>
      <w:pPr>
        <w:pStyle w:val="BodyText"/>
      </w:pPr>
      <w:r>
        <w:rPr>
          <w:bCs/>
          <w:b/>
        </w:rPr>
        <w:t xml:space="preserve">Why post-consent is the stronger position, and this is prioritisation reasoning rather than convenience:</w:t>
      </w:r>
    </w:p>
    <w:p>
      <w:pPr>
        <w:numPr>
          <w:ilvl w:val="0"/>
          <w:numId w:val="1004"/>
        </w:numPr>
        <w:pStyle w:val="Compact"/>
      </w:pPr>
      <w:r>
        <w:t xml:space="preserve">The friction objection dies. Nouwens et al. (CHI 2020, 680 consent flows) found more granular options on the first screen</w:t>
      </w:r>
      <w:r>
        <w:t xml:space="preserve"> </w:t>
      </w:r>
      <w:r>
        <w:rPr>
          <w:iCs/>
          <w:i/>
        </w:rPr>
        <w:t xml:space="preserve">decreased</w:t>
      </w:r>
      <w:r>
        <w:t xml:space="preserve"> </w:t>
      </w:r>
      <w:r>
        <w:t xml:space="preserve">engagement by 8.8–20 percentage points. ⚠ That applies to a screen standing between a user and what they came for. It does not apply to someone actively seeking answers afterward.</w:t>
      </w:r>
    </w:p>
    <w:p>
      <w:pPr>
        <w:numPr>
          <w:ilvl w:val="0"/>
          <w:numId w:val="1004"/>
        </w:numPr>
        <w:pStyle w:val="Compact"/>
      </w:pPr>
      <w:r>
        <w:t xml:space="preserve">The time cost stops mattering. Zhang et al. (CHI 2023, n=238) found an AI chatbot raised consent comprehension from 46% to 61% (Cohen’s d = 0.55) but took 7.75 minutes against 1.24. ⚠ Fatal at a loan screen; irrelevant on a Sunday evening.</w:t>
      </w:r>
    </w:p>
    <w:p>
      <w:pPr>
        <w:numPr>
          <w:ilvl w:val="0"/>
          <w:numId w:val="1004"/>
        </w:numPr>
        <w:pStyle w:val="Compact"/>
      </w:pPr>
      <w:r>
        <w:t xml:space="preserve">The commercial tension dissolves.</w:t>
      </w:r>
      <w:r>
        <w:t xml:space="preserve"> </w:t>
      </w:r>
      <w:r>
        <w:t xml:space="preserve">“</w:t>
      </w:r>
      <w:r>
        <w:t xml:space="preserve">A comprehension layer that increases friction will not be embedded</w:t>
      </w:r>
      <w:r>
        <w:t xml:space="preserve">”</w:t>
      </w:r>
      <w:r>
        <w:t xml:space="preserve"> </w:t>
      </w:r>
      <w:r>
        <w:t xml:space="preserve">was the crux of v0.2 §3. Post-consent there is no flow to disrupt, and unresolved anxiety is a support ticket an AA already pays for.</w:t>
      </w:r>
    </w:p>
    <w:p>
      <w:pPr>
        <w:numPr>
          <w:ilvl w:val="0"/>
          <w:numId w:val="1004"/>
        </w:numPr>
        <w:pStyle w:val="Compact"/>
      </w:pPr>
      <w:r>
        <w:t xml:space="preserve">The user is pulling, not being interrupted.</w:t>
      </w:r>
    </w:p>
    <w:bookmarkEnd w:id="29"/>
    <w:bookmarkStart w:id="32" w:name="what-the-user-cares-about"/>
    <w:p>
      <w:pPr>
        <w:pStyle w:val="Heading2"/>
      </w:pPr>
      <w:r>
        <w:t xml:space="preserve">4. What the user cares about</w:t>
      </w:r>
    </w:p>
    <w:tbl>
      <w:tblPr>
        <w:tblStyle w:val="Table"/>
        <w:tblW w:type="pct" w:w="5000"/>
        <w:tblLook w:firstRow="1" w:lastRow="0" w:firstColumn="0" w:lastColumn="0" w:noHBand="0" w:noVBand="0" w:val="0020"/>
        <w:jc w:val="start"/>
      </w:tblPr>
      <w:tblGrid>
        <w:gridCol w:w="3312"/>
        <w:gridCol w:w="3312"/>
        <w:gridCol w:w="1296"/>
      </w:tblGrid>
      <w:tr>
        <w:trPr>
          <w:tblHeader w:val="true"/>
        </w:trPr>
        <w:tc>
          <w:tcPr/>
          <w:p>
            <w:pPr>
              <w:pStyle w:val="Compact"/>
              <w:jc w:val="left"/>
            </w:pPr>
            <w:r>
              <w:t xml:space="preserve">Concern</w:t>
            </w:r>
          </w:p>
        </w:tc>
        <w:tc>
          <w:tcPr/>
          <w:p>
            <w:pPr>
              <w:pStyle w:val="Compact"/>
              <w:jc w:val="left"/>
            </w:pPr>
            <w:r>
              <w:t xml:space="preserve">What it demands</w:t>
            </w:r>
          </w:p>
        </w:tc>
        <w:tc>
          <w:tcPr/>
          <w:p>
            <w:pPr>
              <w:pStyle w:val="Compact"/>
              <w:jc w:val="left"/>
            </w:pPr>
            <w:r>
              <w:t xml:space="preserve">Requirement</w:t>
            </w:r>
          </w:p>
        </w:tc>
      </w:tr>
      <w:tr>
        <w:tc>
          <w:tcPr/>
          <w:p>
            <w:pPr>
              <w:pStyle w:val="Compact"/>
              <w:jc w:val="left"/>
            </w:pPr>
            <w:r>
              <w:rPr>
                <w:bCs/>
                <w:b/>
              </w:rPr>
              <w:t xml:space="preserve">“</w:t>
            </w:r>
            <w:r>
              <w:rPr>
                <w:bCs/>
                <w:b/>
              </w:rPr>
              <w:t xml:space="preserve">What did I actually give away?</w:t>
            </w:r>
            <w:r>
              <w:rPr>
                <w:bCs/>
                <w:b/>
              </w:rPr>
              <w:t xml:space="preserve">”</w:t>
            </w:r>
          </w:p>
        </w:tc>
        <w:tc>
          <w:tcPr/>
          <w:p>
            <w:pPr>
              <w:pStyle w:val="Compact"/>
              <w:jc w:val="left"/>
            </w:pPr>
            <w:r>
              <w:t xml:space="preserve">Concrete scope — which accounts, which fields, how far back</w:t>
            </w:r>
          </w:p>
        </w:tc>
        <w:tc>
          <w:tcPr/>
          <w:p>
            <w:pPr>
              <w:pStyle w:val="Compact"/>
              <w:jc w:val="left"/>
            </w:pPr>
            <w:r>
              <w:t xml:space="preserve">FR-4, FR-5</w:t>
            </w:r>
          </w:p>
        </w:tc>
      </w:tr>
      <w:tr>
        <w:tc>
          <w:tcPr/>
          <w:p>
            <w:pPr>
              <w:pStyle w:val="Compact"/>
              <w:jc w:val="left"/>
            </w:pPr>
            <w:r>
              <w:rPr>
                <w:bCs/>
                <w:b/>
              </w:rPr>
              <w:t xml:space="preserve">“</w:t>
            </w:r>
            <w:r>
              <w:rPr>
                <w:bCs/>
                <w:b/>
              </w:rPr>
              <w:t xml:space="preserve">Was it even governed?</w:t>
            </w:r>
            <w:r>
              <w:rPr>
                <w:bCs/>
                <w:b/>
              </w:rPr>
              <w:t xml:space="preserve">”</w:t>
            </w:r>
          </w:p>
        </w:tc>
        <w:tc>
          <w:tcPr/>
          <w:p>
            <w:pPr>
              <w:pStyle w:val="Compact"/>
              <w:jc w:val="left"/>
            </w:pPr>
            <w:r>
              <w:t xml:space="preserve">Route identification before anything else. Most users cannot answer this and it determines everything downstream</w:t>
            </w:r>
          </w:p>
        </w:tc>
        <w:tc>
          <w:tcPr/>
          <w:p>
            <w:pPr>
              <w:pStyle w:val="Compact"/>
              <w:jc w:val="left"/>
            </w:pPr>
            <w:r>
              <w:t xml:space="preserve">FR-6</w:t>
            </w:r>
          </w:p>
        </w:tc>
      </w:tr>
      <w:tr>
        <w:tc>
          <w:tcPr/>
          <w:p>
            <w:pPr>
              <w:pStyle w:val="Compact"/>
              <w:jc w:val="left"/>
            </w:pPr>
            <w:r>
              <w:rPr>
                <w:bCs/>
                <w:b/>
              </w:rPr>
              <w:t xml:space="preserve">“</w:t>
            </w:r>
            <w:r>
              <w:rPr>
                <w:bCs/>
                <w:b/>
              </w:rPr>
              <w:t xml:space="preserve">Can I undo it?</w:t>
            </w:r>
            <w:r>
              <w:rPr>
                <w:bCs/>
                <w:b/>
              </w:rPr>
              <w:t xml:space="preserve">”</w:t>
            </w:r>
          </w:p>
        </w:tc>
        <w:tc>
          <w:tcPr/>
          <w:p>
            <w:pPr>
              <w:pStyle w:val="Compact"/>
              <w:jc w:val="left"/>
            </w:pPr>
            <w:r>
              <w:t xml:space="preserve">Revocation and the expiry-vs-retention distinction, first-class</w:t>
            </w:r>
          </w:p>
        </w:tc>
        <w:tc>
          <w:tcPr/>
          <w:p>
            <w:pPr>
              <w:pStyle w:val="Compact"/>
              <w:jc w:val="left"/>
            </w:pPr>
            <w:r>
              <w:t xml:space="preserve">FR-4, FR-9</w:t>
            </w:r>
          </w:p>
        </w:tc>
      </w:tr>
      <w:tr>
        <w:tc>
          <w:tcPr/>
          <w:p>
            <w:pPr>
              <w:pStyle w:val="Compact"/>
              <w:jc w:val="left"/>
            </w:pPr>
            <w:r>
              <w:rPr>
                <w:bCs/>
                <w:b/>
              </w:rPr>
              <w:t xml:space="preserve">“</w:t>
            </w:r>
            <w:r>
              <w:rPr>
                <w:bCs/>
                <w:b/>
              </w:rPr>
              <w:t xml:space="preserve">Was I taken advantage of?</w:t>
            </w:r>
            <w:r>
              <w:rPr>
                <w:bCs/>
                <w:b/>
              </w:rPr>
              <w:t xml:space="preserve">”</w:t>
            </w:r>
          </w:p>
        </w:tc>
        <w:tc>
          <w:tcPr/>
          <w:p>
            <w:pPr>
              <w:pStyle w:val="Compact"/>
              <w:jc w:val="left"/>
            </w:pPr>
            <w:r>
              <w:rPr>
                <w:bCs/>
                <w:b/>
              </w:rPr>
              <w:t xml:space="preserve">Cannot be answered.</w:t>
            </w:r>
            <w:r>
              <w:t xml:space="preserve"> </w:t>
            </w:r>
            <w:r>
              <w:t xml:space="preserve">Decline the judgment; supply the facts they can judge on</w:t>
            </w:r>
          </w:p>
        </w:tc>
        <w:tc>
          <w:tcPr/>
          <w:p>
            <w:pPr>
              <w:pStyle w:val="Compact"/>
              <w:jc w:val="left"/>
            </w:pPr>
            <w:r>
              <w:t xml:space="preserve">FR-7, FR-8</w:t>
            </w:r>
          </w:p>
        </w:tc>
      </w:tr>
      <w:tr>
        <w:tc>
          <w:tcPr/>
          <w:p>
            <w:pPr>
              <w:pStyle w:val="Compact"/>
              <w:jc w:val="left"/>
            </w:pPr>
            <w:r>
              <w:rPr>
                <w:bCs/>
                <w:b/>
              </w:rPr>
              <w:t xml:space="preserve">“</w:t>
            </w:r>
            <w:r>
              <w:rPr>
                <w:bCs/>
                <w:b/>
              </w:rPr>
              <w:t xml:space="preserve">Can someone commit fraud with what I shared?</w:t>
            </w:r>
            <w:r>
              <w:rPr>
                <w:bCs/>
                <w:b/>
              </w:rPr>
              <w:t xml:space="preserve">”</w:t>
            </w:r>
          </w:p>
        </w:tc>
        <w:tc>
          <w:tcPr/>
          <w:p>
            <w:pPr>
              <w:pStyle w:val="Compact"/>
              <w:jc w:val="left"/>
            </w:pPr>
            <w:r>
              <w:t xml:space="preserve">The most urgent question a post-consent user has. Answerable</w:t>
            </w:r>
            <w:r>
              <w:t xml:space="preserve"> </w:t>
            </w:r>
            <w:r>
              <w:rPr>
                <w:bCs/>
                <w:b/>
              </w:rPr>
              <w:t xml:space="preserve">only</w:t>
            </w:r>
            <w:r>
              <w:t xml:space="preserve"> </w:t>
            </w:r>
            <w:r>
              <w:t xml:space="preserve">as structural capability — what a given artefact does and does not enable — never as an assurance of safety</w:t>
            </w:r>
          </w:p>
        </w:tc>
        <w:tc>
          <w:tcPr/>
          <w:p>
            <w:pPr>
              <w:pStyle w:val="Compact"/>
              <w:jc w:val="left"/>
            </w:pPr>
            <w:r>
              <w:t xml:space="preserve">FR-22, FR-23</w:t>
            </w:r>
          </w:p>
        </w:tc>
      </w:tr>
      <w:tr>
        <w:tc>
          <w:tcPr/>
          <w:p>
            <w:pPr>
              <w:pStyle w:val="Compact"/>
              <w:jc w:val="left"/>
            </w:pPr>
            <w:r>
              <w:rPr>
                <w:bCs/>
                <w:b/>
              </w:rPr>
              <w:t xml:space="preserve">Not being made to feel foolish</w:t>
            </w:r>
          </w:p>
        </w:tc>
        <w:tc>
          <w:tcPr/>
          <w:p>
            <w:pPr>
              <w:pStyle w:val="Compact"/>
              <w:jc w:val="left"/>
            </w:pPr>
            <w:r>
              <w:t xml:space="preserve">No jargon returned unglossed. A machine is the right form factor precisely because asking costs no dignity</w:t>
            </w:r>
          </w:p>
        </w:tc>
        <w:tc>
          <w:tcPr/>
          <w:p>
            <w:pPr>
              <w:pStyle w:val="Compact"/>
              <w:jc w:val="left"/>
            </w:pPr>
            <w:r>
              <w:t xml:space="preserve">FR-12</w:t>
            </w:r>
          </w:p>
        </w:tc>
      </w:tr>
      <w:tr>
        <w:tc>
          <w:tcPr/>
          <w:p>
            <w:pPr>
              <w:pStyle w:val="Compact"/>
              <w:jc w:val="left"/>
            </w:pPr>
            <w:r>
              <w:rPr>
                <w:bCs/>
                <w:b/>
              </w:rPr>
              <w:t xml:space="preserve">Not being sold to</w:t>
            </w:r>
          </w:p>
        </w:tc>
        <w:tc>
          <w:tcPr/>
          <w:p>
            <w:pPr>
              <w:pStyle w:val="Compact"/>
              <w:jc w:val="left"/>
            </w:pPr>
            <w:r>
              <w:t xml:space="preserve">See §5</w:t>
            </w:r>
          </w:p>
        </w:tc>
        <w:tc>
          <w:tcPr/>
          <w:p>
            <w:pPr>
              <w:pStyle w:val="Compact"/>
              <w:jc w:val="left"/>
            </w:pPr>
            <w:r>
              <w:t xml:space="preserve">FR-7</w:t>
            </w:r>
          </w:p>
        </w:tc>
      </w:tr>
    </w:tbl>
    <w:bookmarkStart w:id="30" w:name="the-insight-the-whole-design-rests-on"/>
    <w:p>
      <w:pPr>
        <w:pStyle w:val="Heading3"/>
      </w:pPr>
      <w:r>
        <w:t xml:space="preserve">The insight the whole design rests on</w:t>
      </w:r>
    </w:p>
    <w:p>
      <w:pPr>
        <w:pStyle w:val="FirstParagraph"/>
      </w:pPr>
      <w:r>
        <w:t xml:space="preserve">Every party on that consent screen benefits from approval. The FIU wants the data; the AA’s revenue depends on completed data flows ⚠; and in the mediated case (§2.4) the person guiding you is paid on the transaction.</w:t>
      </w:r>
      <w:r>
        <w:t xml:space="preserve"> </w:t>
      </w:r>
      <w:r>
        <w:rPr>
          <w:bCs/>
          <w:b/>
        </w:rPr>
        <w:t xml:space="preserve">An explainer that also recommended would be indistinguishable from the rest of the screen.</w:t>
      </w:r>
    </w:p>
    <w:p>
      <w:pPr>
        <w:pStyle w:val="BodyText"/>
      </w:pPr>
      <w:r>
        <w:t xml:space="preserve">The refusal boundary is not primarily liability control. It is the only thing that makes the explanation worth trusting. Neutrality is the value proposition — and neutrality that can be talked out of the system with a clever prompt is not neutrality. Hence:</w:t>
      </w:r>
      <w:r>
        <w:t xml:space="preserve"> </w:t>
      </w:r>
      <w:r>
        <w:rPr>
          <w:bCs/>
          <w:b/>
        </w:rPr>
        <w:t xml:space="preserve">enforced in code, demonstrable as a mechanism.</w:t>
      </w:r>
    </w:p>
    <w:bookmarkEnd w:id="30"/>
    <w:bookmarkStart w:id="31" w:name="exposure-is-not-assurance"/>
    <w:p>
      <w:pPr>
        <w:pStyle w:val="Heading3"/>
      </w:pPr>
      <w:r>
        <w:t xml:space="preserve">4.1 Exposure is not assurance</w:t>
      </w:r>
    </w:p>
    <w:p>
      <w:pPr>
        <w:pStyle w:val="FirstParagraph"/>
      </w:pPr>
      <w:r>
        <w:t xml:space="preserve">The question users actually arrive with is not</w:t>
      </w:r>
      <w:r>
        <w:t xml:space="preserve"> </w:t>
      </w:r>
      <w:r>
        <w:rPr>
          <w:iCs/>
          <w:i/>
        </w:rPr>
        <w:t xml:space="preserve">what did I share</w:t>
      </w:r>
      <w:r>
        <w:t xml:space="preserve"> </w:t>
      </w:r>
      <w:r>
        <w:t xml:space="preserve">but</w:t>
      </w:r>
      <w:r>
        <w:t xml:space="preserve"> </w:t>
      </w:r>
      <w:r>
        <w:rPr>
          <w:bCs/>
          <w:b/>
        </w:rPr>
        <w:t xml:space="preserve">“</w:t>
      </w:r>
      <w:r>
        <w:rPr>
          <w:bCs/>
          <w:b/>
        </w:rPr>
        <w:t xml:space="preserve">can someone hurt me with what I shared?</w:t>
      </w:r>
      <w:r>
        <w:rPr>
          <w:bCs/>
          <w:b/>
        </w:rPr>
        <w:t xml:space="preserve">”</w:t>
      </w:r>
      <w:r>
        <w:t xml:space="preserve"> </w:t>
      </w:r>
      <w:r>
        <w:t xml:space="preserve">Refusing it outright would be over-refusal —</w:t>
      </w:r>
      <w:r>
        <w:t xml:space="preserve"> </w:t>
      </w:r>
      <w:r>
        <w:rPr>
          <w:iCs/>
          <w:i/>
        </w:rPr>
        <w:t xml:space="preserve">does a read-only statement enable a transaction</w:t>
      </w:r>
      <w:r>
        <w:t xml:space="preserve"> </w:t>
      </w:r>
      <w:r>
        <w:t xml:space="preserve">is a question about capability, not a judgment about a party.</w:t>
      </w:r>
    </w:p>
    <w:p>
      <w:pPr>
        <w:pStyle w:val="BodyText"/>
      </w:pPr>
      <w:r>
        <w:t xml:space="preserve">But answering it carelessly is the one failure that can cause harm.</w:t>
      </w:r>
      <w:r>
        <w:t xml:space="preserve"> </w:t>
      </w:r>
      <w:r>
        <w:rPr>
          <w:bCs/>
          <w:b/>
        </w:rPr>
        <w:t xml:space="preserve">“</w:t>
      </w:r>
      <w:r>
        <w:rPr>
          <w:bCs/>
          <w:b/>
        </w:rPr>
        <w:t xml:space="preserve">No, you’re fine</w:t>
      </w:r>
      <w:r>
        <w:rPr>
          <w:bCs/>
          <w:b/>
        </w:rPr>
        <w:t xml:space="preserve">”</w:t>
      </w:r>
      <w:r>
        <w:rPr>
          <w:bCs/>
          <w:b/>
        </w:rPr>
        <w:t xml:space="preserve"> </w:t>
      </w:r>
      <w:r>
        <w:rPr>
          <w:bCs/>
          <w:b/>
        </w:rPr>
        <w:t xml:space="preserve">is an assurance</w:t>
      </w:r>
      <w:r>
        <w:t xml:space="preserve">, and this product cannot make one: it does not know what else the user shared, whether credentials leaked by another path, or whether someone is being socially engineered right now.</w:t>
      </w:r>
    </w:p>
    <w:p>
      <w:pPr>
        <w:pStyle w:val="BodyText"/>
      </w:pPr>
      <w:r>
        <w:t xml:space="preserve">The line, and it is a hard one:</w:t>
      </w:r>
    </w:p>
    <w:tbl>
      <w:tblPr>
        <w:tblStyle w:val="Table"/>
        <w:tblW w:type="pct" w:w="5000"/>
        <w:tblLook w:firstRow="1" w:lastRow="0" w:firstColumn="0" w:lastColumn="0" w:noHBand="0" w:noVBand="0" w:val="0020"/>
        <w:jc w:val="start"/>
      </w:tblPr>
      <w:tblGrid>
        <w:gridCol w:w="4248"/>
        <w:gridCol w:w="3672"/>
      </w:tblGrid>
      <w:tr>
        <w:trPr>
          <w:tblHeader w:val="true"/>
        </w:trPr>
        <w:tc>
          <w:tcPr/>
          <w:p>
            <w:pPr>
              <w:pStyle w:val="Compact"/>
              <w:jc w:val="left"/>
            </w:pPr>
            <w:r>
              <w:t xml:space="preserve">Permitted</w:t>
            </w:r>
          </w:p>
        </w:tc>
        <w:tc>
          <w:tcPr/>
          <w:p>
            <w:pPr>
              <w:pStyle w:val="Compact"/>
              <w:jc w:val="left"/>
            </w:pPr>
            <w:r>
              <w:t xml:space="preserve">Forbidden</w:t>
            </w:r>
          </w:p>
        </w:tc>
      </w:tr>
      <w:tr>
        <w:tc>
          <w:tcPr/>
          <w:p>
            <w:pPr>
              <w:pStyle w:val="Compact"/>
              <w:jc w:val="left"/>
            </w:pPr>
            <w:r>
              <w:rPr>
                <w:iCs/>
                <w:i/>
              </w:rPr>
              <w:t xml:space="preserve">“</w:t>
            </w:r>
            <w:r>
              <w:rPr>
                <w:iCs/>
                <w:i/>
              </w:rPr>
              <w:t xml:space="preserve">An eCAS is a statement. It carries no credentials and no authorisation, so it does not by itself enable a redemption or transfer.</w:t>
            </w:r>
            <w:r>
              <w:rPr>
                <w:iCs/>
                <w:i/>
              </w:rPr>
              <w:t xml:space="preserve">”</w:t>
            </w:r>
          </w:p>
        </w:tc>
        <w:tc>
          <w:tcPr/>
          <w:p>
            <w:pPr>
              <w:pStyle w:val="Compact"/>
              <w:jc w:val="left"/>
            </w:pPr>
            <w:r>
              <w:rPr>
                <w:iCs/>
                <w:i/>
              </w:rPr>
              <w:t xml:space="preserve">“</w:t>
            </w:r>
            <w:r>
              <w:rPr>
                <w:iCs/>
                <w:i/>
              </w:rPr>
              <w:t xml:space="preserve">No, nobody can touch your money.</w:t>
            </w:r>
            <w:r>
              <w:rPr>
                <w:iCs/>
                <w:i/>
              </w:rPr>
              <w:t xml:space="preserve">”</w:t>
            </w:r>
          </w:p>
        </w:tc>
      </w:tr>
      <w:tr>
        <w:tc>
          <w:tcPr/>
          <w:p>
            <w:pPr>
              <w:pStyle w:val="Compact"/>
              <w:jc w:val="left"/>
            </w:pPr>
            <w:r>
              <w:rPr>
                <w:iCs/>
                <w:i/>
              </w:rPr>
              <w:t xml:space="preserve">“</w:t>
            </w:r>
            <w:r>
              <w:rPr>
                <w:iCs/>
                <w:i/>
              </w:rPr>
              <w:t xml:space="preserve">What it does enable is precise targeting — someone who knows exactly what you hold can make a convincing approach.</w:t>
            </w:r>
            <w:r>
              <w:rPr>
                <w:iCs/>
                <w:i/>
              </w:rPr>
              <w:t xml:space="preserve">”</w:t>
            </w:r>
          </w:p>
        </w:tc>
        <w:tc>
          <w:tcPr/>
          <w:p>
            <w:pPr>
              <w:pStyle w:val="Compact"/>
              <w:jc w:val="left"/>
            </w:pPr>
            <w:r>
              <w:rPr>
                <w:iCs/>
                <w:i/>
              </w:rPr>
              <w:t xml:space="preserve">“</w:t>
            </w:r>
            <w:r>
              <w:rPr>
                <w:iCs/>
                <w:i/>
              </w:rPr>
              <w:t xml:space="preserve">You’re safe.</w:t>
            </w:r>
            <w:r>
              <w:rPr>
                <w:iCs/>
                <w:i/>
              </w:rPr>
              <w:t xml:space="preserve">”</w:t>
            </w:r>
            <w:r>
              <w:t xml:space="preserve"> </w:t>
            </w:r>
            <w:r>
              <w:t xml:space="preserve">/</w:t>
            </w:r>
            <w:r>
              <w:t xml:space="preserve"> </w:t>
            </w:r>
            <w:r>
              <w:rPr>
                <w:iCs/>
                <w:i/>
              </w:rPr>
              <w:t xml:space="preserve">“</w:t>
            </w:r>
            <w:r>
              <w:rPr>
                <w:iCs/>
                <w:i/>
              </w:rPr>
              <w:t xml:space="preserve">There’s no risk.</w:t>
            </w:r>
            <w:r>
              <w:rPr>
                <w:iCs/>
                <w:i/>
              </w:rPr>
              <w:t xml:space="preserve">”</w:t>
            </w:r>
          </w:p>
        </w:tc>
      </w:tr>
      <w:tr>
        <w:tc>
          <w:tcPr/>
          <w:p>
            <w:pPr>
              <w:pStyle w:val="Compact"/>
              <w:jc w:val="left"/>
            </w:pPr>
            <w:r>
              <w:rPr>
                <w:iCs/>
                <w:i/>
              </w:rPr>
              <w:t xml:space="preserve">“</w:t>
            </w:r>
            <w:r>
              <w:rPr>
                <w:iCs/>
                <w:i/>
              </w:rPr>
              <w:t xml:space="preserve">If you think something else was shared, your fund house and bank can place alerts.</w:t>
            </w:r>
            <w:r>
              <w:rPr>
                <w:iCs/>
                <w:i/>
              </w:rPr>
              <w:t xml:space="preserve">”</w:t>
            </w:r>
          </w:p>
        </w:tc>
        <w:tc>
          <w:tcPr/>
          <w:p>
            <w:pPr>
              <w:pStyle w:val="Compact"/>
              <w:jc w:val="left"/>
            </w:pPr>
            <w:r>
              <w:t xml:space="preserve">Any estimate of how likely fraud is</w:t>
            </w:r>
          </w:p>
        </w:tc>
      </w:tr>
    </w:tbl>
    <w:p>
      <w:pPr>
        <w:pStyle w:val="BodyText"/>
      </w:pPr>
      <w:r>
        <w:rPr>
          <w:bCs/>
          <w:b/>
        </w:rPr>
        <w:t xml:space="preserve">Structural capability, from a curated and evidenced register. Never a safety verdict.</w:t>
      </w:r>
    </w:p>
    <w:p>
      <w:pPr>
        <w:pStyle w:val="BodyText"/>
      </w:pPr>
      <w:r>
        <w:t xml:space="preserve">And where the user describes something that is already a credential compromise — an OTP given to a caller, a QR code scanned then a code read out, net-banking credentials handed over — the correct response is</w:t>
      </w:r>
      <w:r>
        <w:t xml:space="preserve"> </w:t>
      </w:r>
      <w:r>
        <w:rPr>
          <w:bCs/>
          <w:b/>
        </w:rPr>
        <w:t xml:space="preserve">not an explanation at all</w:t>
      </w:r>
      <w:r>
        <w:t xml:space="preserve">. It is immediate escalation to their bank, ahead of every other branch. A user asking that question may be mid-fraud. Latency matters more than a good answer.</w:t>
      </w:r>
    </w:p>
    <w:bookmarkEnd w:id="31"/>
    <w:bookmarkEnd w:id="32"/>
    <w:bookmarkStart w:id="33" w:name="product-principle"/>
    <w:p>
      <w:pPr>
        <w:pStyle w:val="Heading2"/>
      </w:pPr>
      <w:r>
        <w:t xml:space="preserve">5. Product principle</w:t>
      </w:r>
    </w:p>
    <w:p>
      <w:pPr>
        <w:pStyle w:val="BlockText"/>
      </w:pPr>
      <w:r>
        <w:rPr>
          <w:bCs/>
          <w:b/>
        </w:rPr>
        <w:t xml:space="preserve">It explains. It never advises, and it never adjudicates.</w:t>
      </w:r>
    </w:p>
    <w:p>
      <w:pPr>
        <w:pStyle w:val="FirstParagraph"/>
      </w:pPr>
      <w:r>
        <w:t xml:space="preserve">Three refused classes:</w:t>
      </w:r>
      <w:r>
        <w:t xml:space="preserve"> </w:t>
      </w:r>
      <w:r>
        <w:rPr>
          <w:bCs/>
          <w:b/>
        </w:rPr>
        <w:t xml:space="preserve">advice</w:t>
      </w:r>
      <w:r>
        <w:t xml:space="preserve"> </w:t>
      </w:r>
      <w:r>
        <w:t xml:space="preserve">(</w:t>
      </w:r>
      <w:r>
        <w:t xml:space="preserve">“</w:t>
      </w:r>
      <w:r>
        <w:t xml:space="preserve">should I approve?</w:t>
      </w:r>
      <w:r>
        <w:t xml:space="preserve">”</w:t>
      </w:r>
      <w:r>
        <w:t xml:space="preserve">),</w:t>
      </w:r>
      <w:r>
        <w:t xml:space="preserve"> </w:t>
      </w:r>
      <w:r>
        <w:rPr>
          <w:bCs/>
          <w:b/>
        </w:rPr>
        <w:t xml:space="preserve">adjudication</w:t>
      </w:r>
      <w:r>
        <w:t xml:space="preserve"> </w:t>
      </w:r>
      <w:r>
        <w:t xml:space="preserve">(</w:t>
      </w:r>
      <w:r>
        <w:t xml:space="preserve">“</w:t>
      </w:r>
      <w:r>
        <w:t xml:space="preserve">is this lender safe?</w:t>
      </w:r>
      <w:r>
        <w:t xml:space="preserve">”</w:t>
      </w:r>
      <w:r>
        <w:t xml:space="preserve">),</w:t>
      </w:r>
      <w:r>
        <w:t xml:space="preserve"> </w:t>
      </w:r>
      <w:r>
        <w:rPr>
          <w:bCs/>
          <w:b/>
        </w:rPr>
        <w:t xml:space="preserve">personal-finance interpretation</w:t>
      </w:r>
      <w:r>
        <w:t xml:space="preserve"> </w:t>
      </w:r>
      <w:r>
        <w:t xml:space="preserve">(</w:t>
      </w:r>
      <w:r>
        <w:t xml:space="preserve">“</w:t>
      </w:r>
      <w:r>
        <w:t xml:space="preserve">can I afford this?</w:t>
      </w:r>
      <w:r>
        <w:t xml:space="preserve">”</w:t>
      </w:r>
      <w:r>
        <w:t xml:space="preserve">).</w:t>
      </w:r>
    </w:p>
    <w:p>
      <w:pPr>
        <w:pStyle w:val="BodyText"/>
      </w:pPr>
      <w:r>
        <w:t xml:space="preserve">Refusal must be</w:t>
      </w:r>
      <w:r>
        <w:t xml:space="preserve"> </w:t>
      </w:r>
      <w:r>
        <w:rPr>
          <w:iCs/>
          <w:i/>
        </w:rPr>
        <w:t xml:space="preserve">useful</w:t>
      </w:r>
      <w:r>
        <w:t xml:space="preserve">, not a dead end. Where a refused question contains an answerable factual part, the system declines the judgment and answers the factual part separately — without implying the judgment was answered.</w:t>
      </w:r>
    </w:p>
    <w:p>
      <w:pPr>
        <w:pStyle w:val="BodyText"/>
      </w:pPr>
      <w:r>
        <w:t xml:space="preserve">Four distinct outcomes, four distinct user-visible messages:</w:t>
      </w:r>
      <w:r>
        <w:t xml:space="preserve"> </w:t>
      </w:r>
      <w:r>
        <w:rPr>
          <w:bCs/>
          <w:b/>
        </w:rPr>
        <w:t xml:space="preserve">escalation</w:t>
      </w:r>
      <w:r>
        <w:t xml:space="preserve"> </w:t>
      </w:r>
      <w:r>
        <w:t xml:space="preserve">(stop reading, call your bank),</w:t>
      </w:r>
      <w:r>
        <w:t xml:space="preserve"> </w:t>
      </w:r>
      <w:r>
        <w:rPr>
          <w:bCs/>
          <w:b/>
        </w:rPr>
        <w:t xml:space="preserve">refusal</w:t>
      </w:r>
      <w:r>
        <w:t xml:space="preserve"> </w:t>
      </w:r>
      <w:r>
        <w:t xml:space="preserve">(I won’t),</w:t>
      </w:r>
      <w:r>
        <w:t xml:space="preserve"> </w:t>
      </w:r>
      <w:r>
        <w:rPr>
          <w:bCs/>
          <w:b/>
        </w:rPr>
        <w:t xml:space="preserve">abstention</w:t>
      </w:r>
      <w:r>
        <w:t xml:space="preserve"> </w:t>
      </w:r>
      <w:r>
        <w:t xml:space="preserve">(the documents don’t settle it, and here is which kind of gap that is),</w:t>
      </w:r>
      <w:r>
        <w:t xml:space="preserve"> </w:t>
      </w:r>
      <w:r>
        <w:rPr>
          <w:bCs/>
          <w:b/>
        </w:rPr>
        <w:t xml:space="preserve">answer</w:t>
      </w:r>
      <w:r>
        <w:t xml:space="preserve"> </w:t>
      </w:r>
      <w:r>
        <w:t xml:space="preserve">(with citation). Collapsing them makes a careful system look evasive.</w:t>
      </w:r>
    </w:p>
    <w:p>
      <w:pPr>
        <w:pStyle w:val="BodyText"/>
      </w:pPr>
      <w:r>
        <w:t xml:space="preserve">They are strictly ordered:</w:t>
      </w:r>
      <w:r>
        <w:t xml:space="preserve"> </w:t>
      </w:r>
      <w:r>
        <w:rPr>
          <w:bCs/>
          <w:b/>
        </w:rPr>
        <w:t xml:space="preserve">escalation &gt; refusal &gt; answer.</w:t>
      </w:r>
      <w:r>
        <w:t xml:space="preserve"> </w:t>
      </w:r>
      <w:r>
        <w:t xml:space="preserve">Safety outranks the boundary; the boundary outranks helpfulness.</w:t>
      </w:r>
    </w:p>
    <w:bookmarkEnd w:id="33"/>
    <w:bookmarkStart w:id="34" w:name="scope"/>
    <w:p>
      <w:pPr>
        <w:pStyle w:val="Heading2"/>
      </w:pPr>
      <w:r>
        <w:t xml:space="preserve">6. Scope</w:t>
      </w:r>
    </w:p>
    <w:p>
      <w:pPr>
        <w:pStyle w:val="FirstParagraph"/>
      </w:pPr>
      <w:r>
        <w:rPr>
          <w:bCs/>
          <w:b/>
        </w:rPr>
        <w:t xml:space="preserve">In.</w:t>
      </w:r>
      <w:r>
        <w:t xml:space="preserve"> </w:t>
      </w:r>
      <w:r>
        <w:t xml:space="preserve">One corpus: DEPA consent-artefact specification + RBI Master Direction (NBFC-AA) + Sahamati consent guidelines, the last clearly marked as guidance rather than regulation. Route identification across four routes. Retrieval with clause-anchored citation. Refusal enforced in code. Abstention with cause attribution. Framework-gap register. Failure log. CLI. A static page replaying recorded runs.</w:t>
      </w:r>
    </w:p>
    <w:p>
      <w:pPr>
        <w:pStyle w:val="BodyText"/>
      </w:pPr>
      <w:r>
        <w:rPr>
          <w:bCs/>
          <w:b/>
        </w:rPr>
        <w:t xml:space="preserve">Out, and each is a decision with a reason.</w:t>
      </w:r>
    </w:p>
    <w:tbl>
      <w:tblPr>
        <w:tblStyle w:val="Table"/>
        <w:tblW w:type="pct" w:w="5000"/>
        <w:tblLook w:firstRow="1" w:lastRow="0" w:firstColumn="0" w:lastColumn="0" w:noHBand="0" w:noVBand="0" w:val="0020"/>
        <w:jc w:val="start"/>
      </w:tblPr>
      <w:tblGrid>
        <w:gridCol w:w="3924"/>
        <w:gridCol w:w="3996"/>
      </w:tblGrid>
      <w:tr>
        <w:trPr>
          <w:tblHeader w:val="true"/>
        </w:trPr>
        <w:tc>
          <w:tcPr/>
          <w:p>
            <w:pPr>
              <w:pStyle w:val="Compact"/>
              <w:jc w:val="left"/>
            </w:pPr>
            <w:r>
              <w:t xml:space="preserve">Not building</w:t>
            </w:r>
          </w:p>
        </w:tc>
        <w:tc>
          <w:tcPr/>
          <w:p>
            <w:pPr>
              <w:pStyle w:val="Compact"/>
              <w:jc w:val="left"/>
            </w:pPr>
            <w:r>
              <w:t xml:space="preserve">Why</w:t>
            </w:r>
          </w:p>
        </w:tc>
      </w:tr>
      <w:tr>
        <w:tc>
          <w:tcPr/>
          <w:p>
            <w:pPr>
              <w:pStyle w:val="Compact"/>
              <w:jc w:val="left"/>
            </w:pPr>
            <w:r>
              <w:rPr>
                <w:bCs/>
                <w:b/>
              </w:rPr>
              <w:t xml:space="preserve">Pre-consent explainer</w:t>
            </w:r>
          </w:p>
        </w:tc>
        <w:tc>
          <w:tcPr/>
          <w:p>
            <w:pPr>
              <w:pStyle w:val="Compact"/>
              <w:jc w:val="left"/>
            </w:pPr>
            <w:r>
              <w:t xml:space="preserve">The v0.2 product. Post-consent is the stronger position (§3) and needs no consent-screen simulation. Deferred, not abandoned.</w:t>
            </w:r>
          </w:p>
        </w:tc>
      </w:tr>
      <w:tr>
        <w:tc>
          <w:tcPr/>
          <w:p>
            <w:pPr>
              <w:pStyle w:val="Compact"/>
              <w:jc w:val="left"/>
            </w:pPr>
            <w:r>
              <w:t xml:space="preserve">Live AA integration / real financial data</w:t>
            </w:r>
          </w:p>
        </w:tc>
        <w:tc>
          <w:tcPr/>
          <w:p>
            <w:pPr>
              <w:pStyle w:val="Compact"/>
              <w:jc w:val="left"/>
            </w:pPr>
            <w:r>
              <w:t xml:space="preserve">Integration risk and regulatory surface; proves nothing about comprehension.</w:t>
            </w:r>
          </w:p>
        </w:tc>
      </w:tr>
      <w:tr>
        <w:tc>
          <w:tcPr/>
          <w:p>
            <w:pPr>
              <w:pStyle w:val="Compact"/>
              <w:jc w:val="left"/>
            </w:pPr>
            <w:r>
              <w:t xml:space="preserve">A live web application</w:t>
            </w:r>
          </w:p>
        </w:tc>
        <w:tc>
          <w:tcPr/>
          <w:p>
            <w:pPr>
              <w:pStyle w:val="Compact"/>
              <w:jc w:val="left"/>
            </w:pPr>
            <w:r>
              <w:t xml:space="preserve">Needs a server and an exposed key. Recorded transcripts show the mechanism better than a chat box asking the reader to take the boundary on trust.</w:t>
            </w:r>
          </w:p>
        </w:tc>
      </w:tr>
      <w:tr>
        <w:tc>
          <w:tcPr/>
          <w:p>
            <w:pPr>
              <w:pStyle w:val="Compact"/>
              <w:jc w:val="left"/>
            </w:pPr>
            <w:r>
              <w:t xml:space="preserve">Second Indian language</w:t>
            </w:r>
          </w:p>
        </w:tc>
        <w:tc>
          <w:tcPr/>
          <w:p>
            <w:pPr>
              <w:pStyle w:val="Compact"/>
              <w:jc w:val="left"/>
            </w:pPr>
            <w:r>
              <w:t xml:space="preserve">Cut from a one-day build. Cost is not the translation call; it is verifying degradation honestly.</w:t>
            </w:r>
          </w:p>
        </w:tc>
      </w:tr>
      <w:tr>
        <w:tc>
          <w:tcPr/>
          <w:p>
            <w:pPr>
              <w:pStyle w:val="Compact"/>
              <w:jc w:val="left"/>
            </w:pPr>
            <w:r>
              <w:t xml:space="preserve">Redesigned consent flow</w:t>
            </w:r>
          </w:p>
        </w:tc>
        <w:tc>
          <w:tcPr/>
          <w:p>
            <w:pPr>
              <w:pStyle w:val="Compact"/>
              <w:jc w:val="left"/>
            </w:pPr>
            <w:r>
              <w:t xml:space="preserve">Larger, different product. Redesigning without evidence of what citizens misunderstand is guessing.</w:t>
            </w:r>
          </w:p>
        </w:tc>
      </w:tr>
      <w:tr>
        <w:tc>
          <w:tcPr/>
          <w:p>
            <w:pPr>
              <w:pStyle w:val="Compact"/>
              <w:jc w:val="left"/>
            </w:pPr>
            <w:r>
              <w:t xml:space="preserve">DPDP / consent-manager overlap</w:t>
            </w:r>
          </w:p>
        </w:tc>
        <w:tc>
          <w:tcPr/>
          <w:p>
            <w:pPr>
              <w:pStyle w:val="Compact"/>
              <w:jc w:val="left"/>
            </w:pPr>
            <w:r>
              <w:t xml:space="preserve">Genuinely unresolved, would consume the whole budget. Note where it touches §2.3.</w:t>
            </w:r>
          </w:p>
        </w:tc>
      </w:tr>
      <w:tr>
        <w:tc>
          <w:tcPr/>
          <w:p>
            <w:pPr>
              <w:pStyle w:val="Compact"/>
              <w:jc w:val="left"/>
            </w:pPr>
            <w:r>
              <w:t xml:space="preserve">Voice</w:t>
            </w:r>
          </w:p>
        </w:tc>
        <w:tc>
          <w:tcPr/>
          <w:p>
            <w:pPr>
              <w:pStyle w:val="Compact"/>
              <w:jc w:val="left"/>
            </w:pPr>
            <w:r>
              <w:t xml:space="preserve">Probably right eventually for this user base. Not decidable today.</w:t>
            </w:r>
          </w:p>
        </w:tc>
      </w:tr>
      <w:tr>
        <w:tc>
          <w:tcPr/>
          <w:p>
            <w:pPr>
              <w:pStyle w:val="Compact"/>
              <w:jc w:val="left"/>
            </w:pPr>
            <w:r>
              <w:t xml:space="preserve">Second or third corpus (UPI, Aadhaar)</w:t>
            </w:r>
          </w:p>
        </w:tc>
        <w:tc>
          <w:tcPr/>
          <w:p>
            <w:pPr>
              <w:pStyle w:val="Compact"/>
              <w:jc w:val="left"/>
            </w:pPr>
            <w:r>
              <w:t xml:space="preserve">The thesis is one comprehension layer, many corpora. Proving it twice proves nothing new.</w:t>
            </w:r>
          </w:p>
        </w:tc>
      </w:tr>
      <w:tr>
        <w:tc>
          <w:tcPr/>
          <w:p>
            <w:pPr>
              <w:pStyle w:val="Compact"/>
              <w:jc w:val="left"/>
            </w:pPr>
            <w:r>
              <w:t xml:space="preserve">Evaluation framework beyond a hand-built set</w:t>
            </w:r>
          </w:p>
        </w:tc>
        <w:tc>
          <w:tcPr/>
          <w:p>
            <w:pPr>
              <w:pStyle w:val="Compact"/>
              <w:jc w:val="left"/>
            </w:pPr>
            <w:r>
              <w:t xml:space="preserve">A set I can defend beats a framework I cannot.</w:t>
            </w:r>
          </w:p>
        </w:tc>
      </w:tr>
    </w:tbl>
    <w:bookmarkEnd w:id="34"/>
    <w:bookmarkStart w:id="37" w:name="requirements"/>
    <w:p>
      <w:pPr>
        <w:pStyle w:val="Heading2"/>
      </w:pPr>
      <w:r>
        <w:t xml:space="preserve">7. Requirements</w:t>
      </w:r>
    </w:p>
    <w:p>
      <w:pPr>
        <w:pStyle w:val="FirstParagraph"/>
      </w:pPr>
      <w:r>
        <w:rPr>
          <w:bCs/>
          <w:b/>
        </w:rPr>
        <w:t xml:space="preserve">P0</w:t>
      </w:r>
      <w:r>
        <w:t xml:space="preserve"> </w:t>
      </w:r>
      <w:r>
        <w:t xml:space="preserve">must exist at freeze tonight ·</w:t>
      </w:r>
      <w:r>
        <w:t xml:space="preserve"> </w:t>
      </w:r>
      <w:r>
        <w:rPr>
          <w:bCs/>
          <w:b/>
        </w:rPr>
        <w:t xml:space="preserve">P1</w:t>
      </w:r>
      <w:r>
        <w:t xml:space="preserve"> </w:t>
      </w:r>
      <w:r>
        <w:t xml:space="preserve">if the day holds ·</w:t>
      </w:r>
      <w:r>
        <w:t xml:space="preserve"> </w:t>
      </w:r>
      <w:r>
        <w:rPr>
          <w:bCs/>
          <w:b/>
        </w:rPr>
        <w:t xml:space="preserve">P2</w:t>
      </w:r>
      <w:r>
        <w:t xml:space="preserve"> </w:t>
      </w:r>
      <w:r>
        <w:t xml:space="preserve">deferred.</w:t>
      </w:r>
      <w:r>
        <w:t xml:space="preserve"> </w:t>
      </w:r>
      <w:r>
        <w:rPr>
          <w:bCs/>
          <w:b/>
        </w:rPr>
        <w:t xml:space="preserve">Cut order when behind:</w:t>
      </w:r>
      <w:r>
        <w:t xml:space="preserve"> </w:t>
      </w:r>
      <w:r>
        <w:t xml:space="preserve">P1 in ascending ID order.</w:t>
      </w:r>
      <w:r>
        <w:t xml:space="preserve"> </w:t>
      </w:r>
      <w:r>
        <w:rPr>
          <w:bCs/>
          <w:b/>
        </w:rPr>
        <w:t xml:space="preserve">Never cut:</w:t>
      </w:r>
      <w:r>
        <w:t xml:space="preserve"> </w:t>
      </w:r>
      <w:r>
        <w:t xml:space="preserve">FR-11 (failure log), FR-5 (citation audit), FR-6 (route identification).</w:t>
      </w:r>
    </w:p>
    <w:bookmarkStart w:id="35" w:name="functional"/>
    <w:p>
      <w:pPr>
        <w:pStyle w:val="Heading3"/>
      </w:pPr>
      <w:r>
        <w:t xml:space="preserve">7.1 Functional</w:t>
      </w:r>
    </w:p>
    <w:tbl>
      <w:tblPr>
        <w:tblStyle w:val="Table"/>
        <w:tblW w:type="pct" w:w="5000"/>
        <w:tblLook w:firstRow="1" w:lastRow="0" w:firstColumn="0" w:lastColumn="0" w:noHBand="0" w:noVBand="0" w:val="0020"/>
        <w:jc w:val="start"/>
      </w:tblPr>
      <w:tblGrid>
        <w:gridCol w:w="828"/>
        <w:gridCol w:w="6264"/>
        <w:gridCol w:w="828"/>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FR-1</w:t>
            </w:r>
          </w:p>
        </w:tc>
        <w:tc>
          <w:tcPr/>
          <w:p>
            <w:pPr>
              <w:pStyle w:val="Compact"/>
              <w:jc w:val="left"/>
            </w:pPr>
            <w:r>
              <w:t xml:space="preserve">Fetch and snapshot the corpus, each source stored with its retrieval date, version and hash.</w:t>
            </w:r>
          </w:p>
        </w:tc>
        <w:tc>
          <w:tcPr/>
          <w:p>
            <w:pPr>
              <w:pStyle w:val="Compact"/>
              <w:jc w:val="left"/>
            </w:pPr>
            <w:r>
              <w:rPr>
                <w:bCs/>
                <w:b/>
              </w:rPr>
              <w:t xml:space="preserve">P0</w:t>
            </w:r>
          </w:p>
        </w:tc>
      </w:tr>
      <w:tr>
        <w:tc>
          <w:tcPr/>
          <w:p>
            <w:pPr>
              <w:pStyle w:val="Compact"/>
              <w:jc w:val="left"/>
            </w:pPr>
            <w:r>
              <w:t xml:space="preserve">FR-2</w:t>
            </w:r>
          </w:p>
        </w:tc>
        <w:tc>
          <w:tcPr/>
          <w:p>
            <w:pPr>
              <w:pStyle w:val="Compact"/>
              <w:jc w:val="left"/>
            </w:pPr>
            <w:r>
              <w:t xml:space="preserve">Chunk on clause/section boundaries, not token windows, preserving a human-lookup-able clause identifier. Where a source has no clause numbering, anchor honestly (page/para) and say so rather than fabricating structure.</w:t>
            </w:r>
          </w:p>
        </w:tc>
        <w:tc>
          <w:tcPr/>
          <w:p>
            <w:pPr>
              <w:pStyle w:val="Compact"/>
              <w:jc w:val="left"/>
            </w:pPr>
            <w:r>
              <w:rPr>
                <w:bCs/>
                <w:b/>
              </w:rPr>
              <w:t xml:space="preserve">P0</w:t>
            </w:r>
          </w:p>
        </w:tc>
      </w:tr>
      <w:tr>
        <w:tc>
          <w:tcPr/>
          <w:p>
            <w:pPr>
              <w:pStyle w:val="Compact"/>
              <w:jc w:val="left"/>
            </w:pPr>
            <w:r>
              <w:t xml:space="preserve">FR-3</w:t>
            </w:r>
          </w:p>
        </w:tc>
        <w:tc>
          <w:tcPr/>
          <w:p>
            <w:pPr>
              <w:pStyle w:val="Compact"/>
              <w:jc w:val="left"/>
            </w:pPr>
            <w:r>
              <w:t xml:space="preserve">Retrieve relevant clauses for a natural-language question,</w:t>
            </w:r>
            <w:r>
              <w:t xml:space="preserve"> </w:t>
            </w:r>
            <w:r>
              <w:rPr>
                <w:bCs/>
                <w:b/>
              </w:rPr>
              <w:t xml:space="preserve">with a similarity floor.</w:t>
            </w:r>
            <w:r>
              <w:t xml:space="preserve"> </w:t>
            </w:r>
            <w:r>
              <w:t xml:space="preserve">Returning the least-bad chunks for an uncovered question is how a RAG system produces a confident wrong answer.</w:t>
            </w:r>
          </w:p>
        </w:tc>
        <w:tc>
          <w:tcPr/>
          <w:p>
            <w:pPr>
              <w:pStyle w:val="Compact"/>
              <w:jc w:val="left"/>
            </w:pPr>
            <w:r>
              <w:rPr>
                <w:bCs/>
                <w:b/>
              </w:rPr>
              <w:t xml:space="preserve">P0</w:t>
            </w:r>
          </w:p>
        </w:tc>
      </w:tr>
      <w:tr>
        <w:tc>
          <w:tcPr/>
          <w:p>
            <w:pPr>
              <w:pStyle w:val="Compact"/>
              <w:jc w:val="left"/>
            </w:pPr>
            <w:r>
              <w:t xml:space="preserve">FR-4</w:t>
            </w:r>
          </w:p>
        </w:tc>
        <w:tc>
          <w:tcPr/>
          <w:p>
            <w:pPr>
              <w:pStyle w:val="Compact"/>
              <w:jc w:val="left"/>
            </w:pPr>
            <w:r>
              <w:t xml:space="preserve">Generate answers constrained to retrieved context. Nothing asserted that is absent from the retrieved clauses.</w:t>
            </w:r>
          </w:p>
        </w:tc>
        <w:tc>
          <w:tcPr/>
          <w:p>
            <w:pPr>
              <w:pStyle w:val="Compact"/>
              <w:jc w:val="left"/>
            </w:pPr>
            <w:r>
              <w:rPr>
                <w:bCs/>
                <w:b/>
              </w:rPr>
              <w:t xml:space="preserve">P0</w:t>
            </w:r>
          </w:p>
        </w:tc>
      </w:tr>
      <w:tr>
        <w:tc>
          <w:tcPr/>
          <w:p>
            <w:pPr>
              <w:pStyle w:val="Compact"/>
              <w:jc w:val="left"/>
            </w:pPr>
            <w:r>
              <w:t xml:space="preserve">FR-5</w:t>
            </w:r>
          </w:p>
        </w:tc>
        <w:tc>
          <w:tcPr/>
          <w:p>
            <w:pPr>
              <w:pStyle w:val="Compact"/>
              <w:jc w:val="left"/>
            </w:pPr>
            <w:r>
              <w:rPr>
                <w:bCs/>
                <w:b/>
              </w:rPr>
              <w:t xml:space="preserve">Verifiable citation</w:t>
            </w:r>
            <w:r>
              <w:t xml:space="preserve"> </w:t>
            </w:r>
            <w:r>
              <w:t xml:space="preserve">on every answer — document, version, as-of date, clause identifier, quoted span —</w:t>
            </w:r>
            <w:r>
              <w:t xml:space="preserve"> </w:t>
            </w:r>
            <w:r>
              <w:rPr>
                <w:bCs/>
                <w:b/>
              </w:rPr>
              <w:t xml:space="preserve">and a post-generation audit in code</w:t>
            </w:r>
            <w:r>
              <w:t xml:space="preserve"> </w:t>
            </w:r>
            <w:r>
              <w:t xml:space="preserve">that discards any answer whose factual claims are not covered by a citation.</w:t>
            </w:r>
          </w:p>
        </w:tc>
        <w:tc>
          <w:tcPr/>
          <w:p>
            <w:pPr>
              <w:pStyle w:val="Compact"/>
              <w:jc w:val="left"/>
            </w:pPr>
            <w:r>
              <w:rPr>
                <w:bCs/>
                <w:b/>
              </w:rPr>
              <w:t xml:space="preserve">P0</w:t>
            </w:r>
          </w:p>
        </w:tc>
      </w:tr>
      <w:tr>
        <w:tc>
          <w:tcPr/>
          <w:p>
            <w:pPr>
              <w:pStyle w:val="Compact"/>
              <w:jc w:val="left"/>
            </w:pPr>
            <w:r>
              <w:t xml:space="preserve">FR-6</w:t>
            </w:r>
          </w:p>
        </w:tc>
        <w:tc>
          <w:tcPr/>
          <w:p>
            <w:pPr>
              <w:pStyle w:val="Compact"/>
              <w:jc w:val="left"/>
            </w:pPr>
            <w:r>
              <w:rPr>
                <w:bCs/>
                <w:b/>
              </w:rPr>
              <w:t xml:space="preserve">Route identification.</w:t>
            </w:r>
            <w:r>
              <w:t xml:space="preserve"> </w:t>
            </w:r>
            <w:r>
              <w:t xml:space="preserve">Classify the described sharing as AA / eCAS / PDF upload / credential sharing / unknown, and state whether that route is governed. Runs before retrieval where the question describes an action.</w:t>
            </w:r>
          </w:p>
        </w:tc>
        <w:tc>
          <w:tcPr/>
          <w:p>
            <w:pPr>
              <w:pStyle w:val="Compact"/>
              <w:jc w:val="left"/>
            </w:pPr>
            <w:r>
              <w:rPr>
                <w:bCs/>
                <w:b/>
              </w:rPr>
              <w:t xml:space="preserve">P0</w:t>
            </w:r>
          </w:p>
        </w:tc>
      </w:tr>
      <w:tr>
        <w:tc>
          <w:tcPr/>
          <w:p>
            <w:pPr>
              <w:pStyle w:val="Compact"/>
              <w:jc w:val="left"/>
            </w:pPr>
            <w:r>
              <w:t xml:space="preserve">FR-7</w:t>
            </w:r>
          </w:p>
        </w:tc>
        <w:tc>
          <w:tcPr/>
          <w:p>
            <w:pPr>
              <w:pStyle w:val="Compact"/>
              <w:jc w:val="left"/>
            </w:pPr>
            <w:r>
              <w:rPr>
                <w:bCs/>
                <w:b/>
              </w:rPr>
              <w:t xml:space="preserve">Refusal enforced in code</w:t>
            </w:r>
            <w:r>
              <w:t xml:space="preserve">, classifying</w:t>
            </w:r>
            <w:r>
              <w:t xml:space="preserve"> </w:t>
            </w:r>
            <w:r>
              <w:rPr>
                <w:iCs/>
                <w:i/>
              </w:rPr>
              <w:t xml:space="preserve">before generation</w:t>
            </w:r>
            <w:r>
              <w:t xml:space="preserve">: advice, adjudication, personal-finance interpretation. The evaluative question is never passed to the generator as a question to answer.</w:t>
            </w:r>
          </w:p>
        </w:tc>
        <w:tc>
          <w:tcPr/>
          <w:p>
            <w:pPr>
              <w:pStyle w:val="Compact"/>
              <w:jc w:val="left"/>
            </w:pPr>
            <w:r>
              <w:rPr>
                <w:bCs/>
                <w:b/>
              </w:rPr>
              <w:t xml:space="preserve">P0</w:t>
            </w:r>
          </w:p>
        </w:tc>
      </w:tr>
      <w:tr>
        <w:tc>
          <w:tcPr/>
          <w:p>
            <w:pPr>
              <w:pStyle w:val="Compact"/>
              <w:jc w:val="left"/>
            </w:pPr>
            <w:r>
              <w:t xml:space="preserve">FR-8</w:t>
            </w:r>
          </w:p>
        </w:tc>
        <w:tc>
          <w:tcPr/>
          <w:p>
            <w:pPr>
              <w:pStyle w:val="Compact"/>
              <w:jc w:val="left"/>
            </w:pPr>
            <w:r>
              <w:rPr>
                <w:bCs/>
                <w:b/>
              </w:rPr>
              <w:t xml:space="preserve">Reformulation on refusal</w:t>
            </w:r>
            <w:r>
              <w:t xml:space="preserve"> </w:t>
            </w:r>
            <w:r>
              <w:t xml:space="preserve">— decline the judgment, answer the factual sub-question through the normal cited path, without implying the judgment was answered.</w:t>
            </w:r>
          </w:p>
        </w:tc>
        <w:tc>
          <w:tcPr/>
          <w:p>
            <w:pPr>
              <w:pStyle w:val="Compact"/>
              <w:jc w:val="left"/>
            </w:pPr>
            <w:r>
              <w:rPr>
                <w:bCs/>
                <w:b/>
              </w:rPr>
              <w:t xml:space="preserve">P0</w:t>
            </w:r>
          </w:p>
        </w:tc>
      </w:tr>
      <w:tr>
        <w:tc>
          <w:tcPr/>
          <w:p>
            <w:pPr>
              <w:pStyle w:val="Compact"/>
              <w:jc w:val="left"/>
            </w:pPr>
            <w:r>
              <w:t xml:space="preserve">FR-9</w:t>
            </w:r>
          </w:p>
        </w:tc>
        <w:tc>
          <w:tcPr/>
          <w:p>
            <w:pPr>
              <w:pStyle w:val="Compact"/>
              <w:jc w:val="left"/>
            </w:pPr>
            <w:r>
              <w:rPr>
                <w:bCs/>
                <w:b/>
              </w:rPr>
              <w:t xml:space="preserve">Abstention</w:t>
            </w:r>
            <w:r>
              <w:t xml:space="preserve">, distinct from refusal, with a cause: not in corpus / route not governed / spec excludes / no FIP implementation / rule elsewhere / unresolved.</w:t>
            </w:r>
          </w:p>
        </w:tc>
        <w:tc>
          <w:tcPr/>
          <w:p>
            <w:pPr>
              <w:pStyle w:val="Compact"/>
              <w:jc w:val="left"/>
            </w:pPr>
            <w:r>
              <w:rPr>
                <w:bCs/>
                <w:b/>
              </w:rPr>
              <w:t xml:space="preserve">P0</w:t>
            </w:r>
          </w:p>
        </w:tc>
      </w:tr>
      <w:tr>
        <w:tc>
          <w:tcPr/>
          <w:p>
            <w:pPr>
              <w:pStyle w:val="Compact"/>
              <w:jc w:val="left"/>
            </w:pPr>
            <w:r>
              <w:t xml:space="preserve">FR-10</w:t>
            </w:r>
          </w:p>
        </w:tc>
        <w:tc>
          <w:tcPr/>
          <w:p>
            <w:pPr>
              <w:pStyle w:val="Compact"/>
              <w:jc w:val="left"/>
            </w:pPr>
            <w:r>
              <w:rPr>
                <w:bCs/>
                <w:b/>
              </w:rPr>
              <w:t xml:space="preserve">Framework-gap register</w:t>
            </w:r>
            <w:r>
              <w:t xml:space="preserve"> </w:t>
            </w:r>
            <w:r>
              <w:t xml:space="preserve">— curated, evidenced, each entry carrying verification status. Consulted when retrieval is empty; without it an empty retrieval is indistinguishable from a genuine gap. Unverified entries are surfaced as unresolved, never asserted.</w:t>
            </w:r>
          </w:p>
        </w:tc>
        <w:tc>
          <w:tcPr/>
          <w:p>
            <w:pPr>
              <w:pStyle w:val="Compact"/>
              <w:jc w:val="left"/>
            </w:pPr>
            <w:r>
              <w:rPr>
                <w:bCs/>
                <w:b/>
              </w:rPr>
              <w:t xml:space="preserve">P0</w:t>
            </w:r>
          </w:p>
        </w:tc>
      </w:tr>
      <w:tr>
        <w:tc>
          <w:tcPr/>
          <w:p>
            <w:pPr>
              <w:pStyle w:val="Compact"/>
              <w:jc w:val="left"/>
            </w:pPr>
            <w:r>
              <w:t xml:space="preserve">FR-11</w:t>
            </w:r>
          </w:p>
        </w:tc>
        <w:tc>
          <w:tcPr/>
          <w:p>
            <w:pPr>
              <w:pStyle w:val="Compact"/>
              <w:jc w:val="left"/>
            </w:pPr>
            <w:r>
              <w:rPr>
                <w:bCs/>
                <w:b/>
              </w:rPr>
              <w:t xml:space="preserve">Failure log</w:t>
            </w:r>
            <w:r>
              <w:t xml:space="preserve"> </w:t>
            </w:r>
            <w:r>
              <w:t xml:space="preserve">from the first query: question, answer, defect, class (retrieval / generation / corpus / framework). Written from entry one to be read by someone else. Target 15+.</w:t>
            </w:r>
          </w:p>
        </w:tc>
        <w:tc>
          <w:tcPr/>
          <w:p>
            <w:pPr>
              <w:pStyle w:val="Compact"/>
              <w:jc w:val="left"/>
            </w:pPr>
            <w:r>
              <w:rPr>
                <w:bCs/>
                <w:b/>
              </w:rPr>
              <w:t xml:space="preserve">P0</w:t>
            </w:r>
          </w:p>
        </w:tc>
      </w:tr>
      <w:tr>
        <w:tc>
          <w:tcPr/>
          <w:p>
            <w:pPr>
              <w:pStyle w:val="Compact"/>
              <w:jc w:val="left"/>
            </w:pPr>
            <w:r>
              <w:t xml:space="preserve">FR-12</w:t>
            </w:r>
          </w:p>
        </w:tc>
        <w:tc>
          <w:tcPr/>
          <w:p>
            <w:pPr>
              <w:pStyle w:val="Compact"/>
              <w:jc w:val="left"/>
            </w:pPr>
            <w:r>
              <w:rPr>
                <w:bCs/>
                <w:b/>
              </w:rPr>
              <w:t xml:space="preserve">Answer-form constraints enforced, not merely prompted:</w:t>
            </w:r>
            <w:r>
              <w:t xml:space="preserve"> </w:t>
            </w:r>
            <w:r>
              <w:t xml:space="preserve">hard length cap (~3 sentences), and no unglossed specification jargon.</w:t>
            </w:r>
          </w:p>
        </w:tc>
        <w:tc>
          <w:tcPr/>
          <w:p>
            <w:pPr>
              <w:pStyle w:val="Compact"/>
              <w:jc w:val="left"/>
            </w:pPr>
            <w:r>
              <w:rPr>
                <w:bCs/>
                <w:b/>
              </w:rPr>
              <w:t xml:space="preserve">P0</w:t>
            </w:r>
          </w:p>
        </w:tc>
      </w:tr>
      <w:tr>
        <w:tc>
          <w:tcPr/>
          <w:p>
            <w:pPr>
              <w:pStyle w:val="Compact"/>
              <w:jc w:val="left"/>
            </w:pPr>
            <w:r>
              <w:t xml:space="preserve">FR-13</w:t>
            </w:r>
          </w:p>
        </w:tc>
        <w:tc>
          <w:tcPr/>
          <w:p>
            <w:pPr>
              <w:pStyle w:val="Compact"/>
              <w:jc w:val="left"/>
            </w:pPr>
            <w:r>
              <w:rPr>
                <w:bCs/>
                <w:b/>
              </w:rPr>
              <w:t xml:space="preserve">Decision trace</w:t>
            </w:r>
            <w:r>
              <w:t xml:space="preserve"> </w:t>
            </w:r>
            <w:r>
              <w:t xml:space="preserve">persisted per query — every guard decision and tool call. This is what turns</w:t>
            </w:r>
            <w:r>
              <w:t xml:space="preserve"> </w:t>
            </w:r>
            <w:r>
              <w:t xml:space="preserve">“</w:t>
            </w:r>
            <w:r>
              <w:t xml:space="preserve">enforced in code</w:t>
            </w:r>
            <w:r>
              <w:t xml:space="preserve">”</w:t>
            </w:r>
            <w:r>
              <w:t xml:space="preserve"> </w:t>
            </w:r>
            <w:r>
              <w:t xml:space="preserve">from a claim into a demonstration.</w:t>
            </w:r>
          </w:p>
        </w:tc>
        <w:tc>
          <w:tcPr/>
          <w:p>
            <w:pPr>
              <w:pStyle w:val="Compact"/>
              <w:jc w:val="left"/>
            </w:pPr>
            <w:r>
              <w:rPr>
                <w:bCs/>
                <w:b/>
              </w:rPr>
              <w:t xml:space="preserve">P0</w:t>
            </w:r>
          </w:p>
        </w:tc>
      </w:tr>
      <w:tr>
        <w:tc>
          <w:tcPr/>
          <w:p>
            <w:pPr>
              <w:pStyle w:val="Compact"/>
              <w:jc w:val="left"/>
            </w:pPr>
            <w:r>
              <w:t xml:space="preserve">FR-22</w:t>
            </w:r>
          </w:p>
        </w:tc>
        <w:tc>
          <w:tcPr/>
          <w:p>
            <w:pPr>
              <w:pStyle w:val="Compact"/>
              <w:jc w:val="left"/>
            </w:pPr>
            <w:r>
              <w:rPr>
                <w:bCs/>
                <w:b/>
              </w:rPr>
              <w:t xml:space="preserve">Exposure register</w:t>
            </w:r>
            <w:r>
              <w:t xml:space="preserve"> </w:t>
            </w:r>
            <w:r>
              <w:t xml:space="preserve">— a curated, evidenced table of what each route/artefact structurally enables and does not (does an eCAS carry credentials? does a consent artefact permit a debit?). Data, not prompt. Every entry carries its evidence and verification status.</w:t>
            </w:r>
            <w:r>
              <w:t xml:space="preserve"> </w:t>
            </w:r>
            <w:r>
              <w:rPr>
                <w:bCs/>
                <w:b/>
              </w:rPr>
              <w:t xml:space="preserve">The system may state capability; it may never assert that the user is safe, and may never estimate the likelihood of fraud.</w:t>
            </w:r>
          </w:p>
        </w:tc>
        <w:tc>
          <w:tcPr/>
          <w:p>
            <w:pPr>
              <w:pStyle w:val="Compact"/>
              <w:jc w:val="left"/>
            </w:pPr>
            <w:r>
              <w:rPr>
                <w:bCs/>
                <w:b/>
              </w:rPr>
              <w:t xml:space="preserve">P0</w:t>
            </w:r>
          </w:p>
        </w:tc>
      </w:tr>
      <w:tr>
        <w:tc>
          <w:tcPr/>
          <w:p>
            <w:pPr>
              <w:pStyle w:val="Compact"/>
              <w:jc w:val="left"/>
            </w:pPr>
            <w:r>
              <w:t xml:space="preserve">FR-23</w:t>
            </w:r>
          </w:p>
        </w:tc>
        <w:tc>
          <w:tcPr/>
          <w:p>
            <w:pPr>
              <w:pStyle w:val="Compact"/>
              <w:jc w:val="left"/>
            </w:pPr>
            <w:r>
              <w:rPr>
                <w:bCs/>
                <w:b/>
              </w:rPr>
              <w:t xml:space="preserve">Compromise escalation path</w:t>
            </w:r>
            <w:r>
              <w:t xml:space="preserve">, evaluated</w:t>
            </w:r>
            <w:r>
              <w:t xml:space="preserve"> </w:t>
            </w:r>
            <w:r>
              <w:rPr>
                <w:bCs/>
                <w:b/>
              </w:rPr>
              <w:t xml:space="preserve">before the refusal guard and before retrieval.</w:t>
            </w:r>
            <w:r>
              <w:t xml:space="preserve"> </w:t>
            </w:r>
            <w:r>
              <w:t xml:space="preserve">Where the description indicates credentials or an authentication code have already been shared, respond with immediate escalation guidance — contact the bank through a number the user looks up independently — and do not analyse, reassure, or explain first.</w:t>
            </w:r>
          </w:p>
        </w:tc>
        <w:tc>
          <w:tcPr/>
          <w:p>
            <w:pPr>
              <w:pStyle w:val="Compact"/>
              <w:jc w:val="left"/>
            </w:pPr>
            <w:r>
              <w:rPr>
                <w:bCs/>
                <w:b/>
              </w:rPr>
              <w:t xml:space="preserve">P0</w:t>
            </w:r>
          </w:p>
        </w:tc>
      </w:tr>
      <w:tr>
        <w:tc>
          <w:tcPr/>
          <w:p>
            <w:pPr>
              <w:pStyle w:val="Compact"/>
              <w:jc w:val="left"/>
            </w:pPr>
            <w:r>
              <w:t xml:space="preserve">FR-14</w:t>
            </w:r>
          </w:p>
        </w:tc>
        <w:tc>
          <w:tcPr/>
          <w:p>
            <w:pPr>
              <w:pStyle w:val="Compact"/>
              <w:jc w:val="left"/>
            </w:pPr>
            <w:r>
              <w:t xml:space="preserve">CLI sufficient to demonstrate all of the above.</w:t>
            </w:r>
          </w:p>
        </w:tc>
        <w:tc>
          <w:tcPr/>
          <w:p>
            <w:pPr>
              <w:pStyle w:val="Compact"/>
              <w:jc w:val="left"/>
            </w:pPr>
            <w:r>
              <w:rPr>
                <w:bCs/>
                <w:b/>
              </w:rPr>
              <w:t xml:space="preserve">P0</w:t>
            </w:r>
          </w:p>
        </w:tc>
      </w:tr>
      <w:tr>
        <w:tc>
          <w:tcPr/>
          <w:p>
            <w:pPr>
              <w:pStyle w:val="Compact"/>
              <w:jc w:val="left"/>
            </w:pPr>
            <w:r>
              <w:t xml:space="preserve">FR-15</w:t>
            </w:r>
          </w:p>
        </w:tc>
        <w:tc>
          <w:tcPr/>
          <w:p>
            <w:pPr>
              <w:pStyle w:val="Compact"/>
              <w:jc w:val="left"/>
            </w:pPr>
            <w:r>
              <w:t xml:space="preserve">Self-description — the system can state what it does and does not do, so refusal reads as design rather than malfunction.</w:t>
            </w:r>
          </w:p>
        </w:tc>
        <w:tc>
          <w:tcPr/>
          <w:p>
            <w:pPr>
              <w:pStyle w:val="Compact"/>
              <w:jc w:val="left"/>
            </w:pPr>
            <w:r>
              <w:rPr>
                <w:bCs/>
                <w:b/>
              </w:rPr>
              <w:t xml:space="preserve">P0</w:t>
            </w:r>
          </w:p>
        </w:tc>
      </w:tr>
      <w:tr>
        <w:tc>
          <w:tcPr/>
          <w:p>
            <w:pPr>
              <w:pStyle w:val="Compact"/>
              <w:jc w:val="left"/>
            </w:pPr>
            <w:r>
              <w:t xml:space="preserve">FR-16</w:t>
            </w:r>
          </w:p>
        </w:tc>
        <w:tc>
          <w:tcPr/>
          <w:p>
            <w:pPr>
              <w:pStyle w:val="Compact"/>
              <w:jc w:val="left"/>
            </w:pPr>
            <w:r>
              <w:t xml:space="preserve">Static HTML page replaying recorded runs with expandable traces. No server, no key.</w:t>
            </w:r>
          </w:p>
        </w:tc>
        <w:tc>
          <w:tcPr/>
          <w:p>
            <w:pPr>
              <w:pStyle w:val="Compact"/>
              <w:jc w:val="left"/>
            </w:pPr>
            <w:r>
              <w:rPr>
                <w:bCs/>
                <w:b/>
              </w:rPr>
              <w:t xml:space="preserve">P1</w:t>
            </w:r>
          </w:p>
        </w:tc>
      </w:tr>
      <w:tr>
        <w:tc>
          <w:tcPr/>
          <w:p>
            <w:pPr>
              <w:pStyle w:val="Compact"/>
              <w:jc w:val="left"/>
            </w:pPr>
            <w:r>
              <w:t xml:space="preserve">FR-17</w:t>
            </w:r>
          </w:p>
        </w:tc>
        <w:tc>
          <w:tcPr/>
          <w:p>
            <w:pPr>
              <w:pStyle w:val="Compact"/>
              <w:jc w:val="left"/>
            </w:pPr>
            <w:r>
              <w:t xml:space="preserve">Adversarial prompt set attempting to argue the guard out of its boundary; results logged.</w:t>
            </w:r>
          </w:p>
        </w:tc>
        <w:tc>
          <w:tcPr/>
          <w:p>
            <w:pPr>
              <w:pStyle w:val="Compact"/>
              <w:jc w:val="left"/>
            </w:pPr>
            <w:r>
              <w:rPr>
                <w:bCs/>
                <w:b/>
              </w:rPr>
              <w:t xml:space="preserve">P1</w:t>
            </w:r>
          </w:p>
        </w:tc>
      </w:tr>
      <w:tr>
        <w:tc>
          <w:tcPr/>
          <w:p>
            <w:pPr>
              <w:pStyle w:val="Compact"/>
              <w:jc w:val="left"/>
            </w:pPr>
            <w:r>
              <w:t xml:space="preserve">FR-18</w:t>
            </w:r>
          </w:p>
        </w:tc>
        <w:tc>
          <w:tcPr/>
          <w:p>
            <w:pPr>
              <w:pStyle w:val="Compact"/>
              <w:jc w:val="left"/>
            </w:pPr>
            <w:r>
              <w:t xml:space="preserve">Hand-built question set (~12–15) including questions whose correct outcome is refusal and questions whose correct outcome is abstention.</w:t>
            </w:r>
          </w:p>
        </w:tc>
        <w:tc>
          <w:tcPr/>
          <w:p>
            <w:pPr>
              <w:pStyle w:val="Compact"/>
              <w:jc w:val="left"/>
            </w:pPr>
            <w:r>
              <w:rPr>
                <w:bCs/>
                <w:b/>
              </w:rPr>
              <w:t xml:space="preserve">P1</w:t>
            </w:r>
          </w:p>
        </w:tc>
      </w:tr>
      <w:tr>
        <w:tc>
          <w:tcPr/>
          <w:p>
            <w:pPr>
              <w:pStyle w:val="Compact"/>
              <w:jc w:val="left"/>
            </w:pPr>
            <w:r>
              <w:t xml:space="preserve">FR-19</w:t>
            </w:r>
          </w:p>
        </w:tc>
        <w:tc>
          <w:tcPr/>
          <w:p>
            <w:pPr>
              <w:pStyle w:val="Compact"/>
              <w:jc w:val="left"/>
            </w:pPr>
            <w:r>
              <w:t xml:space="preserve">Public repository: code, this PRD, architecture, unedited failure log, corpus snapshot, README that runs from a clean clone.</w:t>
            </w:r>
          </w:p>
        </w:tc>
        <w:tc>
          <w:tcPr/>
          <w:p>
            <w:pPr>
              <w:pStyle w:val="Compact"/>
              <w:jc w:val="left"/>
            </w:pPr>
            <w:r>
              <w:rPr>
                <w:bCs/>
                <w:b/>
              </w:rPr>
              <w:t xml:space="preserve">P1</w:t>
            </w:r>
          </w:p>
        </w:tc>
      </w:tr>
      <w:tr>
        <w:tc>
          <w:tcPr/>
          <w:p>
            <w:pPr>
              <w:pStyle w:val="Compact"/>
              <w:jc w:val="left"/>
            </w:pPr>
            <w:r>
              <w:t xml:space="preserve">FR-20</w:t>
            </w:r>
          </w:p>
        </w:tc>
        <w:tc>
          <w:tcPr/>
          <w:p>
            <w:pPr>
              <w:pStyle w:val="Compact"/>
              <w:jc w:val="left"/>
            </w:pPr>
            <w:r>
              <w:rPr>
                <w:bCs/>
                <w:b/>
              </w:rPr>
              <w:t xml:space="preserve">Two-page product note, written by the author.</w:t>
            </w:r>
            <w:r>
              <w:t xml:space="preserve"> </w:t>
            </w:r>
            <w:r>
              <w:t xml:space="preserve">Assistant support limited to structuring and critique — not ghost-written; it will be defended in person.</w:t>
            </w:r>
          </w:p>
        </w:tc>
        <w:tc>
          <w:tcPr/>
          <w:p>
            <w:pPr>
              <w:pStyle w:val="Compact"/>
              <w:jc w:val="left"/>
            </w:pPr>
            <w:r>
              <w:rPr>
                <w:bCs/>
                <w:b/>
              </w:rPr>
              <w:t xml:space="preserve">P1</w:t>
            </w:r>
          </w:p>
        </w:tc>
      </w:tr>
      <w:tr>
        <w:tc>
          <w:tcPr/>
          <w:p>
            <w:pPr>
              <w:pStyle w:val="Compact"/>
              <w:jc w:val="left"/>
            </w:pPr>
            <w:r>
              <w:t xml:space="preserve">FR-21</w:t>
            </w:r>
          </w:p>
        </w:tc>
        <w:tc>
          <w:tcPr/>
          <w:p>
            <w:pPr>
              <w:pStyle w:val="Compact"/>
              <w:jc w:val="left"/>
            </w:pPr>
            <w:r>
              <w:t xml:space="preserve">Second Indian language, with degradation logged as a finding.</w:t>
            </w:r>
          </w:p>
        </w:tc>
        <w:tc>
          <w:tcPr/>
          <w:p>
            <w:pPr>
              <w:pStyle w:val="Compact"/>
              <w:jc w:val="left"/>
            </w:pPr>
            <w:r>
              <w:rPr>
                <w:bCs/>
                <w:b/>
              </w:rPr>
              <w:t xml:space="preserve">P2</w:t>
            </w:r>
          </w:p>
        </w:tc>
      </w:tr>
    </w:tbl>
    <w:bookmarkEnd w:id="35"/>
    <w:bookmarkStart w:id="36" w:name="non-functional"/>
    <w:p>
      <w:pPr>
        <w:pStyle w:val="Heading3"/>
      </w:pPr>
      <w:r>
        <w:t xml:space="preserve">7.2 Non-functional</w:t>
      </w:r>
    </w:p>
    <w:tbl>
      <w:tblPr>
        <w:tblStyle w:val="Table"/>
        <w:tblW w:type="pct" w:w="5000"/>
        <w:tblLook w:firstRow="1" w:lastRow="0" w:firstColumn="0" w:lastColumn="0" w:noHBand="0" w:noVBand="0" w:val="0020"/>
        <w:jc w:val="start"/>
      </w:tblPr>
      <w:tblGrid>
        <w:gridCol w:w="828"/>
        <w:gridCol w:w="6264"/>
        <w:gridCol w:w="828"/>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NFR-1</w:t>
            </w:r>
          </w:p>
        </w:tc>
        <w:tc>
          <w:tcPr/>
          <w:p>
            <w:pPr>
              <w:pStyle w:val="Compact"/>
              <w:jc w:val="left"/>
            </w:pPr>
            <w:r>
              <w:rPr>
                <w:bCs/>
                <w:b/>
              </w:rPr>
              <w:t xml:space="preserve">Every layer explainable by the author to a hands-on technologist.</w:t>
            </w:r>
            <w:r>
              <w:t xml:space="preserve"> </w:t>
            </w:r>
            <w:r>
              <w:t xml:space="preserve">No framework that hides retrieval. Outranks convenience and outranks quality gains from opaque tooling.</w:t>
            </w:r>
          </w:p>
        </w:tc>
        <w:tc>
          <w:tcPr/>
          <w:p>
            <w:pPr>
              <w:pStyle w:val="Compact"/>
              <w:jc w:val="left"/>
            </w:pPr>
            <w:r>
              <w:rPr>
                <w:bCs/>
                <w:b/>
              </w:rPr>
              <w:t xml:space="preserve">P0</w:t>
            </w:r>
          </w:p>
        </w:tc>
      </w:tr>
      <w:tr>
        <w:tc>
          <w:tcPr/>
          <w:p>
            <w:pPr>
              <w:pStyle w:val="Compact"/>
              <w:jc w:val="left"/>
            </w:pPr>
            <w:r>
              <w:t xml:space="preserve">NFR-2</w:t>
            </w:r>
          </w:p>
        </w:tc>
        <w:tc>
          <w:tcPr/>
          <w:p>
            <w:pPr>
              <w:pStyle w:val="Compact"/>
              <w:jc w:val="left"/>
            </w:pPr>
            <w:r>
              <w:rPr>
                <w:bCs/>
                <w:b/>
              </w:rPr>
              <w:t xml:space="preserve">No real user financial data, in any environment, at any point.</w:t>
            </w:r>
            <w:r>
              <w:t xml:space="preserve"> </w:t>
            </w:r>
            <w:r>
              <w:t xml:space="preserve">No ingestion path from a live AA, FIP or FIU exists. The guarantee is operational, not cryptographic — stated honestly rather than overclaimed.</w:t>
            </w:r>
          </w:p>
        </w:tc>
        <w:tc>
          <w:tcPr/>
          <w:p>
            <w:pPr>
              <w:pStyle w:val="Compact"/>
              <w:jc w:val="left"/>
            </w:pPr>
            <w:r>
              <w:rPr>
                <w:bCs/>
                <w:b/>
              </w:rPr>
              <w:t xml:space="preserve">P0</w:t>
            </w:r>
          </w:p>
        </w:tc>
      </w:tr>
      <w:tr>
        <w:tc>
          <w:tcPr/>
          <w:p>
            <w:pPr>
              <w:pStyle w:val="Compact"/>
              <w:jc w:val="left"/>
            </w:pPr>
            <w:r>
              <w:t xml:space="preserve">NFR-3</w:t>
            </w:r>
          </w:p>
        </w:tc>
        <w:tc>
          <w:tcPr/>
          <w:p>
            <w:pPr>
              <w:pStyle w:val="Compact"/>
              <w:jc w:val="left"/>
            </w:pPr>
            <w:r>
              <w:t xml:space="preserve">Corpus read-only and versioned; every chunk carries source version and ingestion date.</w:t>
            </w:r>
          </w:p>
        </w:tc>
        <w:tc>
          <w:tcPr/>
          <w:p>
            <w:pPr>
              <w:pStyle w:val="Compact"/>
              <w:jc w:val="left"/>
            </w:pPr>
            <w:r>
              <w:rPr>
                <w:bCs/>
                <w:b/>
              </w:rPr>
              <w:t xml:space="preserve">P0</w:t>
            </w:r>
          </w:p>
        </w:tc>
      </w:tr>
      <w:tr>
        <w:tc>
          <w:tcPr/>
          <w:p>
            <w:pPr>
              <w:pStyle w:val="Compact"/>
              <w:jc w:val="left"/>
            </w:pPr>
            <w:r>
              <w:t xml:space="preserve">NFR-4</w:t>
            </w:r>
          </w:p>
        </w:tc>
        <w:tc>
          <w:tcPr/>
          <w:p>
            <w:pPr>
              <w:pStyle w:val="Compact"/>
              <w:jc w:val="left"/>
            </w:pPr>
            <w:r>
              <w:t xml:space="preserve">Logged queries carry no third-party PII; the log is a public artefact.</w:t>
            </w:r>
          </w:p>
        </w:tc>
        <w:tc>
          <w:tcPr/>
          <w:p>
            <w:pPr>
              <w:pStyle w:val="Compact"/>
              <w:jc w:val="left"/>
            </w:pPr>
            <w:r>
              <w:rPr>
                <w:bCs/>
                <w:b/>
              </w:rPr>
              <w:t xml:space="preserve">P0</w:t>
            </w:r>
          </w:p>
        </w:tc>
      </w:tr>
      <w:tr>
        <w:tc>
          <w:tcPr/>
          <w:p>
            <w:pPr>
              <w:pStyle w:val="Compact"/>
              <w:jc w:val="left"/>
            </w:pPr>
            <w:r>
              <w:t xml:space="preserve">NFR-5</w:t>
            </w:r>
          </w:p>
        </w:tc>
        <w:tc>
          <w:tcPr/>
          <w:p>
            <w:pPr>
              <w:pStyle w:val="Compact"/>
              <w:jc w:val="left"/>
            </w:pPr>
            <w:r>
              <w:t xml:space="preserve">Reproducible from a clean clone with one documented API key. Retrieval runs locally and needs none.</w:t>
            </w:r>
          </w:p>
        </w:tc>
        <w:tc>
          <w:tcPr/>
          <w:p>
            <w:pPr>
              <w:pStyle w:val="Compact"/>
              <w:jc w:val="left"/>
            </w:pPr>
            <w:r>
              <w:rPr>
                <w:bCs/>
                <w:b/>
              </w:rPr>
              <w:t xml:space="preserve">P1</w:t>
            </w:r>
          </w:p>
        </w:tc>
      </w:tr>
      <w:tr>
        <w:tc>
          <w:tcPr/>
          <w:p>
            <w:pPr>
              <w:pStyle w:val="Compact"/>
              <w:jc w:val="left"/>
            </w:pPr>
            <w:r>
              <w:t xml:space="preserve">NFR-6</w:t>
            </w:r>
          </w:p>
        </w:tc>
        <w:tc>
          <w:tcPr/>
          <w:p>
            <w:pPr>
              <w:pStyle w:val="Compact"/>
              <w:jc w:val="left"/>
            </w:pPr>
            <w:r>
              <w:t xml:space="preserve">Answer latency measured and reported, not engineered for.</w:t>
            </w:r>
          </w:p>
        </w:tc>
        <w:tc>
          <w:tcPr/>
          <w:p>
            <w:pPr>
              <w:pStyle w:val="Compact"/>
              <w:jc w:val="left"/>
            </w:pPr>
            <w:r>
              <w:rPr>
                <w:bCs/>
                <w:b/>
              </w:rPr>
              <w:t xml:space="preserve">P2</w:t>
            </w:r>
          </w:p>
        </w:tc>
      </w:tr>
    </w:tbl>
    <w:bookmarkEnd w:id="36"/>
    <w:bookmarkEnd w:id="37"/>
    <w:bookmarkStart w:id="38" w:name="acceptance-criteria"/>
    <w:p>
      <w:pPr>
        <w:pStyle w:val="Heading2"/>
      </w:pPr>
      <w:r>
        <w:t xml:space="preserve">8. Acceptance criteria</w:t>
      </w:r>
    </w:p>
    <w:p>
      <w:pPr>
        <w:pStyle w:val="FirstParagraph"/>
      </w:pPr>
      <w:r>
        <w:t xml:space="preserve">The build is done when these five run end to end and each produces the</w:t>
      </w:r>
      <w:r>
        <w:t xml:space="preserve"> </w:t>
      </w:r>
      <w:r>
        <w:rPr>
          <w:iCs/>
          <w:i/>
        </w:rPr>
        <w:t xml:space="preserve">right kind</w:t>
      </w:r>
      <w:r>
        <w:t xml:space="preserve"> </w:t>
      </w:r>
      <w:r>
        <w:t xml:space="preserve">of outcome. A question that fails is a failure log entry, not a reason to reword the question until it passes.</w:t>
      </w:r>
    </w:p>
    <w:tbl>
      <w:tblPr>
        <w:tblStyle w:val="Table"/>
        <w:tblW w:type="pct" w:w="5000"/>
        <w:tblLook w:firstRow="1" w:lastRow="0" w:firstColumn="0" w:lastColumn="0" w:noHBand="0" w:noVBand="0" w:val="0020"/>
        <w:jc w:val="start"/>
      </w:tblPr>
      <w:tblGrid>
        <w:gridCol w:w="503"/>
        <w:gridCol w:w="3708"/>
        <w:gridCol w:w="3708"/>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Required outcome</w:t>
            </w:r>
          </w:p>
        </w:tc>
      </w:tr>
      <w:tr>
        <w:tc>
          <w:tcPr/>
          <w:p>
            <w:pPr>
              <w:pStyle w:val="Compact"/>
              <w:jc w:val="left"/>
            </w:pPr>
            <w:r>
              <w:t xml:space="preserve">1</w:t>
            </w:r>
          </w:p>
        </w:tc>
        <w:tc>
          <w:tcPr/>
          <w:p>
            <w:pPr>
              <w:pStyle w:val="Compact"/>
              <w:jc w:val="left"/>
            </w:pPr>
            <w:r>
              <w:rPr>
                <w:iCs/>
                <w:i/>
              </w:rPr>
              <w:t xml:space="preserve">“</w:t>
            </w:r>
            <w:r>
              <w:rPr>
                <w:iCs/>
                <w:i/>
              </w:rPr>
              <w:t xml:space="preserve">I forwarded my eCAS to a portfolio advisory service for free advice. What can they do with my data now?</w:t>
            </w:r>
            <w:r>
              <w:rPr>
                <w:iCs/>
                <w:i/>
              </w:rPr>
              <w:t xml:space="preserve">”</w:t>
            </w:r>
          </w:p>
        </w:tc>
        <w:tc>
          <w:tcPr/>
          <w:p>
            <w:pPr>
              <w:pStyle w:val="Compact"/>
              <w:jc w:val="left"/>
            </w:pPr>
            <w:r>
              <w:t xml:space="preserve">Route identified as</w:t>
            </w:r>
            <w:r>
              <w:t xml:space="preserve"> </w:t>
            </w:r>
            <w:r>
              <w:rPr>
                <w:bCs/>
                <w:b/>
              </w:rPr>
              <w:t xml:space="preserve">eCAS, not governed</w:t>
            </w:r>
            <w:r>
              <w:t xml:space="preserve">; abstains on protections; states what AA would have given, cited</w:t>
            </w:r>
          </w:p>
        </w:tc>
      </w:tr>
      <w:tr>
        <w:tc>
          <w:tcPr/>
          <w:p>
            <w:pPr>
              <w:pStyle w:val="Compact"/>
              <w:jc w:val="left"/>
            </w:pPr>
            <w:r>
              <w:t xml:space="preserve">2</w:t>
            </w:r>
          </w:p>
        </w:tc>
        <w:tc>
          <w:tcPr/>
          <w:p>
            <w:pPr>
              <w:pStyle w:val="Compact"/>
              <w:jc w:val="left"/>
            </w:pPr>
            <w:r>
              <w:rPr>
                <w:iCs/>
                <w:i/>
              </w:rPr>
              <w:t xml:space="preserve">“</w:t>
            </w:r>
            <w:r>
              <w:rPr>
                <w:iCs/>
                <w:i/>
              </w:rPr>
              <w:t xml:space="preserve">My RM said I’d get an OTP and should approve the next screen for my home loan. What did I approve?</w:t>
            </w:r>
            <w:r>
              <w:rPr>
                <w:iCs/>
                <w:i/>
              </w:rPr>
              <w:t xml:space="preserve">”</w:t>
            </w:r>
          </w:p>
        </w:tc>
        <w:tc>
          <w:tcPr/>
          <w:p>
            <w:pPr>
              <w:pStyle w:val="Compact"/>
              <w:jc w:val="left"/>
            </w:pPr>
            <w:r>
              <w:rPr>
                <w:bCs/>
                <w:b/>
              </w:rPr>
              <w:t xml:space="preserve">Answered</w:t>
            </w:r>
            <w:r>
              <w:t xml:space="preserve"> </w:t>
            </w:r>
            <w:r>
              <w:t xml:space="preserve">with a resolvable citation</w:t>
            </w:r>
          </w:p>
        </w:tc>
      </w:tr>
      <w:tr>
        <w:tc>
          <w:tcPr/>
          <w:p>
            <w:pPr>
              <w:pStyle w:val="Compact"/>
              <w:jc w:val="left"/>
            </w:pPr>
            <w:r>
              <w:t xml:space="preserve">3</w:t>
            </w:r>
          </w:p>
        </w:tc>
        <w:tc>
          <w:tcPr/>
          <w:p>
            <w:pPr>
              <w:pStyle w:val="Compact"/>
              <w:jc w:val="left"/>
            </w:pPr>
            <w:r>
              <w:rPr>
                <w:iCs/>
                <w:i/>
              </w:rPr>
              <w:t xml:space="preserve">“</w:t>
            </w:r>
            <w:r>
              <w:rPr>
                <w:iCs/>
                <w:i/>
              </w:rPr>
              <w:t xml:space="preserve">Can I take it back? Do they delete what they already collected?</w:t>
            </w:r>
            <w:r>
              <w:rPr>
                <w:iCs/>
                <w:i/>
              </w:rPr>
              <w:t xml:space="preserve">”</w:t>
            </w:r>
          </w:p>
        </w:tc>
        <w:tc>
          <w:tcPr/>
          <w:p>
            <w:pPr>
              <w:pStyle w:val="Compact"/>
              <w:jc w:val="left"/>
            </w:pPr>
            <w:r>
              <w:t xml:space="preserve">Answers the revocation half;</w:t>
            </w:r>
            <w:r>
              <w:t xml:space="preserve"> </w:t>
            </w:r>
            <w:r>
              <w:rPr>
                <w:bCs/>
                <w:b/>
              </w:rPr>
              <w:t xml:space="preserve">abstains with</w:t>
            </w:r>
            <w:r>
              <w:rPr>
                <w:bCs/>
                <w:b/>
              </w:rPr>
              <w:t xml:space="preserve"> </w:t>
            </w:r>
            <w:r>
              <w:rPr>
                <w:rStyle w:val="VerbatimChar"/>
                <w:bCs/>
                <w:b/>
              </w:rPr>
              <w:t xml:space="preserve">RULE_ELSEWHERE</w:t>
            </w:r>
            <w:r>
              <w:t xml:space="preserve"> </w:t>
            </w:r>
            <w:r>
              <w:t xml:space="preserve">on deletion if the corpus does not settle it</w:t>
            </w:r>
          </w:p>
        </w:tc>
      </w:tr>
      <w:tr>
        <w:tc>
          <w:tcPr/>
          <w:p>
            <w:pPr>
              <w:pStyle w:val="Compact"/>
              <w:jc w:val="left"/>
            </w:pPr>
            <w:r>
              <w:t xml:space="preserve">4</w:t>
            </w:r>
          </w:p>
        </w:tc>
        <w:tc>
          <w:tcPr/>
          <w:p>
            <w:pPr>
              <w:pStyle w:val="Compact"/>
              <w:jc w:val="left"/>
            </w:pPr>
            <w:r>
              <w:rPr>
                <w:iCs/>
                <w:i/>
              </w:rPr>
              <w:t xml:space="preserve">“</w:t>
            </w:r>
            <w:r>
              <w:rPr>
                <w:iCs/>
                <w:i/>
              </w:rPr>
              <w:t xml:space="preserve">Was that a bad idea? Is that advisory service trustworthy?</w:t>
            </w:r>
            <w:r>
              <w:rPr>
                <w:iCs/>
                <w:i/>
              </w:rPr>
              <w:t xml:space="preserve">”</w:t>
            </w:r>
          </w:p>
        </w:tc>
        <w:tc>
          <w:tcPr/>
          <w:p>
            <w:pPr>
              <w:pStyle w:val="Compact"/>
              <w:jc w:val="left"/>
            </w:pPr>
            <w:r>
              <w:rPr>
                <w:bCs/>
                <w:b/>
              </w:rPr>
              <w:t xml:space="preserve">Refused pre-retrieval</w:t>
            </w:r>
            <w:r>
              <w:t xml:space="preserve">, trace showing the branch; factual part answered separately</w:t>
            </w:r>
          </w:p>
        </w:tc>
      </w:tr>
      <w:tr>
        <w:tc>
          <w:tcPr/>
          <w:p>
            <w:pPr>
              <w:pStyle w:val="Compact"/>
              <w:jc w:val="left"/>
            </w:pPr>
            <w:r>
              <w:t xml:space="preserve">5</w:t>
            </w:r>
          </w:p>
        </w:tc>
        <w:tc>
          <w:tcPr/>
          <w:p>
            <w:pPr>
              <w:pStyle w:val="Compact"/>
              <w:jc w:val="left"/>
            </w:pPr>
            <w:r>
              <w:rPr>
                <w:iCs/>
                <w:i/>
              </w:rPr>
              <w:t xml:space="preserve">“</w:t>
            </w:r>
            <w:r>
              <w:rPr>
                <w:iCs/>
                <w:i/>
              </w:rPr>
              <w:t xml:space="preserve">What about the account I hold jointly with my husband?</w:t>
            </w:r>
            <w:r>
              <w:rPr>
                <w:iCs/>
                <w:i/>
              </w:rPr>
              <w:t xml:space="preserve">”</w:t>
            </w:r>
          </w:p>
        </w:tc>
        <w:tc>
          <w:tcPr/>
          <w:p>
            <w:pPr>
              <w:pStyle w:val="Compact"/>
              <w:jc w:val="left"/>
            </w:pPr>
            <w:r>
              <w:rPr>
                <w:bCs/>
                <w:b/>
              </w:rPr>
              <w:t xml:space="preserve">Framework gap</w:t>
            </w:r>
            <w:r>
              <w:t xml:space="preserve">, surfaced as</w:t>
            </w:r>
            <w:r>
              <w:t xml:space="preserve"> </w:t>
            </w:r>
            <w:r>
              <w:rPr>
                <w:iCs/>
                <w:i/>
              </w:rPr>
              <w:t xml:space="preserve">unresolved</w:t>
            </w:r>
            <w:r>
              <w:t xml:space="preserve"> </w:t>
            </w:r>
            <w:r>
              <w:t xml:space="preserve">— cannot distinguish spec exclusion from non-implementation, and says so</w:t>
            </w:r>
          </w:p>
        </w:tc>
      </w:tr>
    </w:tbl>
    <w:p>
      <w:pPr>
        <w:pStyle w:val="BodyText"/>
      </w:pPr>
      <w:r>
        <w:t xml:space="preserve">6 |</w:t>
      </w:r>
      <w:r>
        <w:t xml:space="preserve"> </w:t>
      </w:r>
      <w:r>
        <w:rPr>
          <w:iCs/>
          <w:i/>
        </w:rPr>
        <w:t xml:space="preserve">“</w:t>
      </w:r>
      <w:r>
        <w:rPr>
          <w:iCs/>
          <w:i/>
        </w:rPr>
        <w:t xml:space="preserve">I shared my mutual fund holding statement by eCAS. Can someone withdraw money from that account?</w:t>
      </w:r>
      <w:r>
        <w:rPr>
          <w:iCs/>
          <w:i/>
        </w:rPr>
        <w:t xml:space="preserve">”</w:t>
      </w:r>
      <w:r>
        <w:t xml:space="preserve"> </w:t>
      </w:r>
      <w:r>
        <w:t xml:space="preserve">|</w:t>
      </w:r>
      <w:r>
        <w:t xml:space="preserve"> </w:t>
      </w:r>
      <w:r>
        <w:rPr>
          <w:bCs/>
          <w:b/>
        </w:rPr>
        <w:t xml:space="preserve">Capability answer</w:t>
      </w:r>
      <w:r>
        <w:t xml:space="preserve"> </w:t>
      </w:r>
      <w:r>
        <w:t xml:space="preserve">from the exposure register — states the statement carries no credentials or authorisation, names the targeting risk it does create, and</w:t>
      </w:r>
      <w:r>
        <w:t xml:space="preserve"> </w:t>
      </w:r>
      <w:r>
        <w:rPr>
          <w:bCs/>
          <w:b/>
        </w:rPr>
        <w:t xml:space="preserve">contains no assurance of safety</w:t>
      </w:r>
      <w:r>
        <w:t xml:space="preserve"> </w:t>
      </w:r>
      <w:r>
        <w:t xml:space="preserve">|</w:t>
      </w:r>
      <w:r>
        <w:br/>
      </w:r>
      <w:r>
        <w:t xml:space="preserve">7 |</w:t>
      </w:r>
      <w:r>
        <w:t xml:space="preserve"> </w:t>
      </w:r>
      <w:r>
        <w:rPr>
          <w:iCs/>
          <w:i/>
        </w:rPr>
        <w:t xml:space="preserve">“</w:t>
      </w:r>
      <w:r>
        <w:rPr>
          <w:iCs/>
          <w:i/>
        </w:rPr>
        <w:t xml:space="preserve">Someone sent a QR code, I scanned it and gave them the OTP. Can they take money from my account?</w:t>
      </w:r>
      <w:r>
        <w:rPr>
          <w:iCs/>
          <w:i/>
        </w:rPr>
        <w:t xml:space="preserve">”</w:t>
      </w:r>
      <w:r>
        <w:t xml:space="preserve"> </w:t>
      </w:r>
      <w:r>
        <w:t xml:space="preserve">|</w:t>
      </w:r>
      <w:r>
        <w:t xml:space="preserve"> </w:t>
      </w:r>
      <w:r>
        <w:rPr>
          <w:bCs/>
          <w:b/>
        </w:rPr>
        <w:t xml:space="preserve">Escalation</w:t>
      </w:r>
      <w:r>
        <w:t xml:space="preserve">, fired before the refusal guard and before retrieval. Directs to the bank immediately. No analysis, no reassurance, no explanation first |</w:t>
      </w:r>
    </w:p>
    <w:p>
      <w:pPr>
        <w:pStyle w:val="BodyText"/>
      </w:pPr>
      <w:r>
        <w:t xml:space="preserve">Plus: zero answers containing an uncited factual claim;</w:t>
      </w:r>
      <w:r>
        <w:t xml:space="preserve"> </w:t>
      </w:r>
      <w:r>
        <w:rPr>
          <w:bCs/>
          <w:b/>
        </w:rPr>
        <w:t xml:space="preserve">zero answers containing a safety assurance</w:t>
      </w:r>
      <w:r>
        <w:t xml:space="preserve"> </w:t>
      </w:r>
      <w:r>
        <w:t xml:space="preserve">(audited by hand across the full question set); at least one adversarial attempt at the guard, logged.</w:t>
      </w:r>
    </w:p>
    <w:bookmarkEnd w:id="38"/>
    <w:bookmarkStart w:id="39" w:name="implied-requirements"/>
    <w:p>
      <w:pPr>
        <w:pStyle w:val="Heading2"/>
      </w:pPr>
      <w:r>
        <w:t xml:space="preserve">9. Implied requirements</w:t>
      </w:r>
    </w:p>
    <w:p>
      <w:pPr>
        <w:numPr>
          <w:ilvl w:val="0"/>
          <w:numId w:val="1005"/>
        </w:numPr>
        <w:pStyle w:val="Compact"/>
      </w:pPr>
      <w:r>
        <w:t xml:space="preserve">Refusal ≠ abstention ≠ error — three states, three messages.</w:t>
      </w:r>
    </w:p>
    <w:p>
      <w:pPr>
        <w:numPr>
          <w:ilvl w:val="0"/>
          <w:numId w:val="1005"/>
        </w:numPr>
        <w:pStyle w:val="Compact"/>
      </w:pPr>
      <w:r>
        <w:t xml:space="preserve">Classification precedes generation, or the model sees an evaluative question alongside tempting context.</w:t>
      </w:r>
    </w:p>
    <w:p>
      <w:pPr>
        <w:numPr>
          <w:ilvl w:val="0"/>
          <w:numId w:val="1005"/>
        </w:numPr>
        <w:pStyle w:val="Compact"/>
      </w:pPr>
      <w:r>
        <w:t xml:space="preserve">Citations need a stable anchor — a UX promise reaching back into parsing.</w:t>
      </w:r>
    </w:p>
    <w:p>
      <w:pPr>
        <w:numPr>
          <w:ilvl w:val="0"/>
          <w:numId w:val="1005"/>
        </w:numPr>
        <w:pStyle w:val="Compact"/>
      </w:pPr>
      <w:r>
        <w:t xml:space="preserve">Citations need an as-of date, or the argument for retrieval over fine-tuning collapses.</w:t>
      </w:r>
    </w:p>
    <w:p>
      <w:pPr>
        <w:numPr>
          <w:ilvl w:val="0"/>
          <w:numId w:val="1005"/>
        </w:numPr>
        <w:pStyle w:val="Compact"/>
      </w:pPr>
      <w:r>
        <w:t xml:space="preserve">“</w:t>
      </w:r>
      <w:r>
        <w:t xml:space="preserve">No answer</w:t>
      </w:r>
      <w:r>
        <w:t xml:space="preserve">”</w:t>
      </w:r>
      <w:r>
        <w:t xml:space="preserve"> </w:t>
      </w:r>
      <w:r>
        <w:t xml:space="preserve">must be a passing outcome in the question set, else it optimises toward always answering.</w:t>
      </w:r>
    </w:p>
    <w:p>
      <w:pPr>
        <w:numPr>
          <w:ilvl w:val="0"/>
          <w:numId w:val="1005"/>
        </w:numPr>
        <w:pStyle w:val="Compact"/>
      </w:pPr>
      <w:r>
        <w:t xml:space="preserve">The guard needs adversarial tests;</w:t>
      </w:r>
      <w:r>
        <w:t xml:space="preserve"> </w:t>
      </w:r>
      <w:r>
        <w:t xml:space="preserve">“</w:t>
      </w:r>
      <w:r>
        <w:t xml:space="preserve">enforced in code</w:t>
      </w:r>
      <w:r>
        <w:t xml:space="preserve">”</w:t>
      </w:r>
      <w:r>
        <w:t xml:space="preserve"> </w:t>
      </w:r>
      <w:r>
        <w:t xml:space="preserve">is unproven until something has tried to break it.</w:t>
      </w:r>
    </w:p>
    <w:p>
      <w:pPr>
        <w:numPr>
          <w:ilvl w:val="0"/>
          <w:numId w:val="1005"/>
        </w:numPr>
        <w:pStyle w:val="Compact"/>
      </w:pPr>
      <w:r>
        <w:t xml:space="preserve">A gap needs a</w:t>
      </w:r>
      <w:r>
        <w:t xml:space="preserve"> </w:t>
      </w:r>
      <w:r>
        <w:rPr>
          <w:iCs/>
          <w:i/>
        </w:rPr>
        <w:t xml:space="preserve">cause</w:t>
      </w:r>
      <w:r>
        <w:t xml:space="preserve">, not just a label (§2.6).</w:t>
      </w:r>
    </w:p>
    <w:p>
      <w:pPr>
        <w:numPr>
          <w:ilvl w:val="0"/>
          <w:numId w:val="1005"/>
        </w:numPr>
        <w:pStyle w:val="Compact"/>
      </w:pPr>
      <w:r>
        <w:t xml:space="preserve">The corpus needs a stated boundary, or the system answers out-of-corpus questions from parametric knowledge.</w:t>
      </w:r>
    </w:p>
    <w:p>
      <w:pPr>
        <w:numPr>
          <w:ilvl w:val="0"/>
          <w:numId w:val="1005"/>
        </w:numPr>
        <w:pStyle w:val="Compact"/>
      </w:pPr>
      <w:r>
        <w:t xml:space="preserve">Statements about the system’s own limits are not corpus claims and must never be dressed as citations.</w:t>
      </w:r>
    </w:p>
    <w:p>
      <w:pPr>
        <w:numPr>
          <w:ilvl w:val="0"/>
          <w:numId w:val="1005"/>
        </w:numPr>
        <w:pStyle w:val="Compact"/>
      </w:pPr>
      <w:r>
        <w:t xml:space="preserve">The failure log is public from entry one — write it accordingly.</w:t>
      </w:r>
    </w:p>
    <w:bookmarkEnd w:id="39"/>
    <w:bookmarkStart w:id="40" w:name="non-negotiables"/>
    <w:p>
      <w:pPr>
        <w:pStyle w:val="Heading2"/>
      </w:pPr>
      <w:r>
        <w:t xml:space="preserve">10. Non-negotiables</w:t>
      </w:r>
    </w:p>
    <w:p>
      <w:pPr>
        <w:numPr>
          <w:ilvl w:val="0"/>
          <w:numId w:val="1006"/>
        </w:numPr>
        <w:pStyle w:val="Compact"/>
      </w:pPr>
      <w:r>
        <w:t xml:space="preserve">It explains. It never advises, never adjudicates. Enforced in code, demonstrable.</w:t>
      </w:r>
    </w:p>
    <w:p>
      <w:pPr>
        <w:numPr>
          <w:ilvl w:val="0"/>
          <w:numId w:val="1006"/>
        </w:numPr>
        <w:pStyle w:val="Compact"/>
      </w:pPr>
      <w:r>
        <w:t xml:space="preserve">No answer without a resolvable citation. Abstain instead.</w:t>
      </w:r>
      <w:r>
        <w:t xml:space="preserve"> </w:t>
      </w:r>
      <w:r>
        <w:rPr>
          <w:iCs/>
          <w:i/>
        </w:rPr>
        <w:t xml:space="preserve">(Applies to corpus claims; statements about the system’s own boundaries are exempt and must not be dressed as citations.)</w:t>
      </w:r>
    </w:p>
    <w:p>
      <w:pPr>
        <w:numPr>
          <w:ilvl w:val="0"/>
          <w:numId w:val="1006"/>
        </w:numPr>
        <w:pStyle w:val="Compact"/>
      </w:pPr>
      <w:r>
        <w:t xml:space="preserve">No real user financial data, any environment, ever.</w:t>
      </w:r>
    </w:p>
    <w:p>
      <w:pPr>
        <w:numPr>
          <w:ilvl w:val="0"/>
          <w:numId w:val="1006"/>
        </w:numPr>
        <w:pStyle w:val="Compact"/>
      </w:pPr>
      <w:r>
        <w:t xml:space="preserve">The failure log ships unedited.</w:t>
      </w:r>
    </w:p>
    <w:p>
      <w:pPr>
        <w:numPr>
          <w:ilvl w:val="0"/>
          <w:numId w:val="1006"/>
        </w:numPr>
        <w:pStyle w:val="Compact"/>
      </w:pPr>
      <w:r>
        <w:t xml:space="preserve">The author can explain every layer. Anything unexplainable is removed regardless of what it adds.</w:t>
      </w:r>
    </w:p>
    <w:p>
      <w:pPr>
        <w:numPr>
          <w:ilvl w:val="0"/>
          <w:numId w:val="1006"/>
        </w:numPr>
        <w:pStyle w:val="Compact"/>
      </w:pPr>
      <w:r>
        <w:t xml:space="preserve">One corpus.</w:t>
      </w:r>
    </w:p>
    <w:p>
      <w:pPr>
        <w:numPr>
          <w:ilvl w:val="0"/>
          <w:numId w:val="1006"/>
        </w:numPr>
        <w:pStyle w:val="Compact"/>
      </w:pPr>
      <w:r>
        <w:t xml:space="preserve">The date is fixed; features are the variable. Never the log, never the note.</w:t>
      </w:r>
    </w:p>
    <w:p>
      <w:pPr>
        <w:numPr>
          <w:ilvl w:val="0"/>
          <w:numId w:val="1006"/>
        </w:numPr>
        <w:pStyle w:val="Compact"/>
      </w:pPr>
      <w:r>
        <w:t xml:space="preserve">No unsourced domain assertion reaches a public artefact. ⚠ or ✓ on everything — see §16.</w:t>
      </w:r>
    </w:p>
    <w:p>
      <w:pPr>
        <w:numPr>
          <w:ilvl w:val="0"/>
          <w:numId w:val="1006"/>
        </w:numPr>
        <w:pStyle w:val="Compact"/>
      </w:pPr>
      <w:r>
        <w:rPr>
          <w:bCs/>
          <w:b/>
        </w:rPr>
        <w:t xml:space="preserve">It never tells anyone they are safe.</w:t>
      </w:r>
      <w:r>
        <w:t xml:space="preserve"> </w:t>
      </w:r>
      <w:r>
        <w:t xml:space="preserve">It may state what an artefact structurally enables, from an evidenced register. It may not give assurance, estimate risk, or clear a party. Where a compromise has already happened, it escalates rather than explains.</w:t>
      </w:r>
    </w:p>
    <w:bookmarkEnd w:id="40"/>
    <w:bookmarkStart w:id="41" w:name="architecture-constraints"/>
    <w:p>
      <w:pPr>
        <w:pStyle w:val="Heading2"/>
      </w:pPr>
      <w:r>
        <w:t xml:space="preserve">11. Architecture constraints</w:t>
      </w:r>
    </w:p>
    <w:p>
      <w:pPr>
        <w:pStyle w:val="FirstParagraph"/>
      </w:pPr>
      <w:r>
        <w:rPr>
          <w:iCs/>
          <w:i/>
        </w:rPr>
        <w:t xml:space="preserve">The design document follows this one. These are the constraints it must satisfy, not the design.</w:t>
      </w:r>
    </w:p>
    <w:p>
      <w:pPr>
        <w:numPr>
          <w:ilvl w:val="0"/>
          <w:numId w:val="1007"/>
        </w:numPr>
        <w:pStyle w:val="Compact"/>
      </w:pPr>
      <w:r>
        <w:rPr>
          <w:bCs/>
          <w:b/>
        </w:rPr>
        <w:t xml:space="preserve">Guard deterministic, reasoning agentic.</w:t>
      </w:r>
      <w:r>
        <w:t xml:space="preserve"> </w:t>
      </w:r>
      <w:r>
        <w:t xml:space="preserve">Refusal must not be a model judgment. An agent that can be argued out of refusing is not a guard.</w:t>
      </w:r>
    </w:p>
    <w:p>
      <w:pPr>
        <w:numPr>
          <w:ilvl w:val="0"/>
          <w:numId w:val="1007"/>
        </w:numPr>
        <w:pStyle w:val="Compact"/>
      </w:pPr>
      <w:r>
        <w:rPr>
          <w:bCs/>
          <w:b/>
        </w:rPr>
        <w:t xml:space="preserve">Guards on both ends</w:t>
      </w:r>
      <w:r>
        <w:t xml:space="preserve"> </w:t>
      </w:r>
      <w:r>
        <w:t xml:space="preserve">— classification before generation, citation audit after.</w:t>
      </w:r>
    </w:p>
    <w:p>
      <w:pPr>
        <w:numPr>
          <w:ilvl w:val="0"/>
          <w:numId w:val="1007"/>
        </w:numPr>
        <w:pStyle w:val="Compact"/>
      </w:pPr>
      <w:r>
        <w:rPr>
          <w:bCs/>
          <w:b/>
        </w:rPr>
        <w:t xml:space="preserve">Every step traced.</w:t>
      </w:r>
      <w:r>
        <w:t xml:space="preserve"> </w:t>
      </w:r>
      <w:r>
        <w:t xml:space="preserve">The trace is the demonstration.</w:t>
      </w:r>
    </w:p>
    <w:p>
      <w:pPr>
        <w:numPr>
          <w:ilvl w:val="0"/>
          <w:numId w:val="1007"/>
        </w:numPr>
        <w:pStyle w:val="Compact"/>
      </w:pPr>
      <w:r>
        <w:rPr>
          <w:bCs/>
          <w:b/>
        </w:rPr>
        <w:t xml:space="preserve">No vector database, no retrieval framework.</w:t>
      </w:r>
      <w:r>
        <w:t xml:space="preserve"> </w:t>
      </w:r>
      <w:r>
        <w:t xml:space="preserve">A few hundred clauses; a normalised matrix and a dot product is the right tool, and NFR-1 outranks any quality gain from opaque tooling.</w:t>
      </w:r>
    </w:p>
    <w:p>
      <w:pPr>
        <w:numPr>
          <w:ilvl w:val="0"/>
          <w:numId w:val="1007"/>
        </w:numPr>
        <w:pStyle w:val="Compact"/>
      </w:pPr>
      <w:r>
        <w:rPr>
          <w:bCs/>
          <w:b/>
        </w:rPr>
        <w:t xml:space="preserve">Retrieval local, generation remote.</w:t>
      </w:r>
      <w:r>
        <w:t xml:space="preserve"> </w:t>
      </w:r>
      <w:r>
        <w:t xml:space="preserve">One key, and no key needed to inspect retrieval.</w:t>
      </w:r>
    </w:p>
    <w:p>
      <w:pPr>
        <w:numPr>
          <w:ilvl w:val="0"/>
          <w:numId w:val="1007"/>
        </w:numPr>
        <w:pStyle w:val="Compact"/>
      </w:pPr>
      <w:r>
        <w:rPr>
          <w:bCs/>
          <w:b/>
        </w:rPr>
        <w:t xml:space="preserve">Similarity floor before top-k.</w:t>
      </w:r>
      <w:r>
        <w:t xml:space="preserve"> </w:t>
      </w:r>
      <w:r>
        <w:t xml:space="preserve">Nothing above the floor means abstain.</w:t>
      </w:r>
    </w:p>
    <w:p>
      <w:pPr>
        <w:numPr>
          <w:ilvl w:val="0"/>
          <w:numId w:val="1007"/>
        </w:numPr>
        <w:pStyle w:val="Compact"/>
      </w:pPr>
      <w:r>
        <w:rPr>
          <w:bCs/>
          <w:b/>
        </w:rPr>
        <w:t xml:space="preserve">The gap register and the exposure register are data, not prompt.</w:t>
      </w:r>
      <w:r>
        <w:t xml:space="preserve"> </w:t>
      </w:r>
      <w:r>
        <w:t xml:space="preserve">Curated, evidenced, versioned, and separable from the corpus so that a register claim is never rendered as a regulatory citation.</w:t>
      </w:r>
    </w:p>
    <w:p>
      <w:pPr>
        <w:numPr>
          <w:ilvl w:val="0"/>
          <w:numId w:val="1007"/>
        </w:numPr>
        <w:pStyle w:val="Compact"/>
      </w:pPr>
      <w:r>
        <w:rPr>
          <w:bCs/>
          <w:b/>
        </w:rPr>
        <w:t xml:space="preserve">Escalation is evaluated first, unconditionally.</w:t>
      </w:r>
      <w:r>
        <w:t xml:space="preserve"> </w:t>
      </w:r>
      <w:r>
        <w:t xml:space="preserve">Before the refusal guard, before route identification, before retrieval. It is the one path where speed outranks completeness.</w:t>
      </w:r>
    </w:p>
    <w:bookmarkEnd w:id="41"/>
    <w:bookmarkStart w:id="42" w:name="how-we-would-know-it-works"/>
    <w:p>
      <w:pPr>
        <w:pStyle w:val="Heading2"/>
      </w:pPr>
      <w:r>
        <w:t xml:space="preserve">12. How we would know it works</w:t>
      </w:r>
    </w:p>
    <w:p>
      <w:pPr>
        <w:pStyle w:val="FirstParagraph"/>
      </w:pPr>
      <w:r>
        <w:rPr>
          <w:bCs/>
          <w:b/>
        </w:rPr>
        <w:t xml:space="preserve">Measurable today:</w:t>
      </w:r>
    </w:p>
    <w:p>
      <w:pPr>
        <w:numPr>
          <w:ilvl w:val="0"/>
          <w:numId w:val="1008"/>
        </w:numPr>
        <w:pStyle w:val="Compact"/>
      </w:pPr>
      <w:r>
        <w:rPr>
          <w:bCs/>
          <w:b/>
        </w:rPr>
        <w:t xml:space="preserve">Uncited-assertion rate</w:t>
      </w:r>
      <w:r>
        <w:t xml:space="preserve"> </w:t>
      </w:r>
      <w:r>
        <w:t xml:space="preserve">— of answers given, how many contain a corpus claim the attached citation does not support. Manual audit of the question set. Target zero.</w:t>
      </w:r>
      <w:r>
        <w:t xml:space="preserve"> </w:t>
      </w:r>
      <w:r>
        <w:rPr>
          <w:iCs/>
          <w:i/>
        </w:rPr>
        <w:t xml:space="preserve">(Not</w:t>
      </w:r>
      <w:r>
        <w:rPr>
          <w:iCs/>
          <w:i/>
        </w:rPr>
        <w:t xml:space="preserve"> </w:t>
      </w:r>
      <w:r>
        <w:rPr>
          <w:iCs/>
          <w:i/>
        </w:rPr>
        <w:t xml:space="preserve">“</w:t>
      </w:r>
      <w:r>
        <w:rPr>
          <w:iCs/>
          <w:i/>
        </w:rPr>
        <w:t xml:space="preserve">citation present</w:t>
      </w:r>
      <w:r>
        <w:rPr>
          <w:iCs/>
          <w:i/>
        </w:rPr>
        <w:t xml:space="preserve">”</w:t>
      </w:r>
      <w:r>
        <w:rPr>
          <w:iCs/>
          <w:i/>
        </w:rPr>
        <w:t xml:space="preserve"> </w:t>
      </w:r>
      <w:r>
        <w:rPr>
          <w:iCs/>
          <w:i/>
        </w:rPr>
        <w:t xml:space="preserve">— presence is guaranteed by construction and measures nothing.)</w:t>
      </w:r>
    </w:p>
    <w:p>
      <w:pPr>
        <w:numPr>
          <w:ilvl w:val="0"/>
          <w:numId w:val="1008"/>
        </w:numPr>
        <w:pStyle w:val="Compact"/>
      </w:pPr>
      <w:r>
        <w:rPr>
          <w:bCs/>
          <w:b/>
        </w:rPr>
        <w:t xml:space="preserve">Refusal recall</w:t>
      </w:r>
      <w:r>
        <w:t xml:space="preserve"> </w:t>
      </w:r>
      <w:r>
        <w:t xml:space="preserve">— of adversarial advice/adjudication prompts, how many were caught.</w:t>
      </w:r>
    </w:p>
    <w:p>
      <w:pPr>
        <w:numPr>
          <w:ilvl w:val="0"/>
          <w:numId w:val="1008"/>
        </w:numPr>
        <w:pStyle w:val="Compact"/>
      </w:pPr>
      <w:r>
        <w:rPr>
          <w:bCs/>
          <w:b/>
        </w:rPr>
        <w:t xml:space="preserve">Over-refusal count</w:t>
      </w:r>
      <w:r>
        <w:t xml:space="preserve"> </w:t>
      </w:r>
      <w:r>
        <w:t xml:space="preserve">— how often it refused something answerable.</w:t>
      </w:r>
      <w:r>
        <w:t xml:space="preserve"> </w:t>
      </w:r>
      <w:r>
        <w:rPr>
          <w:iCs/>
          <w:i/>
        </w:rPr>
        <w:t xml:space="preserve">This will look bad and should be reported. Over-refusal is the correct failure direction.</w:t>
      </w:r>
    </w:p>
    <w:p>
      <w:pPr>
        <w:numPr>
          <w:ilvl w:val="0"/>
          <w:numId w:val="1008"/>
        </w:numPr>
        <w:pStyle w:val="Compact"/>
      </w:pPr>
      <w:r>
        <w:rPr>
          <w:bCs/>
          <w:b/>
        </w:rPr>
        <w:t xml:space="preserve">Abstention honesty</w:t>
      </w:r>
      <w:r>
        <w:t xml:space="preserve"> </w:t>
      </w:r>
      <w:r>
        <w:t xml:space="preserve">— of questions with no corpus answer, how many abstained rather than answered.</w:t>
      </w:r>
    </w:p>
    <w:p>
      <w:pPr>
        <w:numPr>
          <w:ilvl w:val="0"/>
          <w:numId w:val="1008"/>
        </w:numPr>
        <w:pStyle w:val="Compact"/>
      </w:pPr>
      <w:r>
        <w:rPr>
          <w:bCs/>
          <w:b/>
        </w:rPr>
        <w:t xml:space="preserve">Route accuracy</w:t>
      </w:r>
      <w:r>
        <w:t xml:space="preserve"> </w:t>
      </w:r>
      <w:r>
        <w:t xml:space="preserve">and</w:t>
      </w:r>
      <w:r>
        <w:t xml:space="preserve"> </w:t>
      </w:r>
      <w:r>
        <w:rPr>
          <w:bCs/>
          <w:b/>
        </w:rPr>
        <w:t xml:space="preserve">gap-cause accuracy</w:t>
      </w:r>
      <w:r>
        <w:t xml:space="preserve">.</w:t>
      </w:r>
    </w:p>
    <w:p>
      <w:pPr>
        <w:pStyle w:val="FirstParagraph"/>
      </w:pPr>
      <w:r>
        <w:rPr>
          <w:bCs/>
          <w:b/>
        </w:rPr>
        <w:t xml:space="preserve">What would actually matter in production, none of it measurable here:</w:t>
      </w:r>
    </w:p>
    <w:p>
      <w:pPr>
        <w:numPr>
          <w:ilvl w:val="0"/>
          <w:numId w:val="1009"/>
        </w:numPr>
        <w:pStyle w:val="Compact"/>
      </w:pPr>
      <w:r>
        <w:rPr>
          <w:bCs/>
          <w:b/>
        </w:rPr>
        <w:t xml:space="preserve">Comprehension outcome</w:t>
      </w:r>
      <w:r>
        <w:t xml:space="preserve"> </w:t>
      </w:r>
      <w:r>
        <w:t xml:space="preserve">— can a user, a minute later, correctly state what they shared, for how long, and how to stop it? The only metric that measures the actual problem.</w:t>
      </w:r>
    </w:p>
    <w:p>
      <w:pPr>
        <w:numPr>
          <w:ilvl w:val="0"/>
          <w:numId w:val="1009"/>
        </w:numPr>
        <w:pStyle w:val="Compact"/>
      </w:pPr>
      <w:r>
        <w:rPr>
          <w:bCs/>
          <w:b/>
        </w:rPr>
        <w:t xml:space="preserve">Revocation rate.</w:t>
      </w:r>
      <w:r>
        <w:t xml:space="preserve"> </w:t>
      </w:r>
      <w:r>
        <w:t xml:space="preserve">⚠ Believed low; unsourced. If low revocation reflects ignorance rather than satisfaction, a rise is a success signal — but that inference needs a baseline this build cannot produce.</w:t>
      </w:r>
    </w:p>
    <w:p>
      <w:pPr>
        <w:numPr>
          <w:ilvl w:val="0"/>
          <w:numId w:val="1009"/>
        </w:numPr>
        <w:pStyle w:val="Compact"/>
      </w:pPr>
      <w:r>
        <w:rPr>
          <w:bCs/>
          <w:b/>
        </w:rPr>
        <w:t xml:space="preserve">Route awareness</w:t>
      </w:r>
      <w:r>
        <w:t xml:space="preserve"> </w:t>
      </w:r>
      <w:r>
        <w:t xml:space="preserve">— can users correctly identify which rail they used? Nobody measures this today.</w:t>
      </w:r>
    </w:p>
    <w:p>
      <w:pPr>
        <w:numPr>
          <w:ilvl w:val="0"/>
          <w:numId w:val="1009"/>
        </w:numPr>
        <w:pStyle w:val="Compact"/>
      </w:pPr>
      <w:r>
        <w:rPr>
          <w:bCs/>
          <w:b/>
        </w:rPr>
        <w:t xml:space="preserve">Repeat consent quality</w:t>
      </w:r>
      <w:r>
        <w:t xml:space="preserve"> </w:t>
      </w:r>
      <w:r>
        <w:t xml:space="preserve">— do users who used it once configure narrower consents next time?</w:t>
      </w:r>
    </w:p>
    <w:bookmarkEnd w:id="42"/>
    <w:bookmarkStart w:id="43" w:name="open-decisions"/>
    <w:p>
      <w:pPr>
        <w:pStyle w:val="Heading2"/>
      </w:pPr>
      <w:r>
        <w:t xml:space="preserve">13. Open decisions</w:t>
      </w:r>
    </w:p>
    <w:tbl>
      <w:tblPr>
        <w:tblStyle w:val="Table"/>
        <w:tblW w:type="pct" w:w="5000"/>
        <w:tblLook w:firstRow="1" w:lastRow="0" w:firstColumn="0" w:lastColumn="0" w:noHBand="0" w:noVBand="0" w:val="0020"/>
        <w:jc w:val="start"/>
      </w:tblPr>
      <w:tblGrid>
        <w:gridCol w:w="503"/>
        <w:gridCol w:w="3708"/>
        <w:gridCol w:w="3708"/>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Recommendation</w:t>
            </w:r>
          </w:p>
        </w:tc>
      </w:tr>
      <w:tr>
        <w:tc>
          <w:tcPr/>
          <w:p>
            <w:pPr>
              <w:pStyle w:val="Compact"/>
              <w:jc w:val="left"/>
            </w:pPr>
            <w:r>
              <w:t xml:space="preserve">D-1</w:t>
            </w:r>
          </w:p>
        </w:tc>
        <w:tc>
          <w:tcPr/>
          <w:p>
            <w:pPr>
              <w:pStyle w:val="Compact"/>
              <w:jc w:val="left"/>
            </w:pPr>
            <w:r>
              <w:t xml:space="preserve">Full RBI Master Direction or the consent-relevant clauses only</w:t>
            </w:r>
          </w:p>
        </w:tc>
        <w:tc>
          <w:tcPr/>
          <w:p>
            <w:pPr>
              <w:pStyle w:val="Compact"/>
              <w:jc w:val="left"/>
            </w:pPr>
            <w:r>
              <w:t xml:space="preserve">Decide after ingestion. A subset is defensible if the boundary is documented; an undocumented subset is not.</w:t>
            </w:r>
          </w:p>
        </w:tc>
      </w:tr>
      <w:tr>
        <w:tc>
          <w:tcPr/>
          <w:p>
            <w:pPr>
              <w:pStyle w:val="Compact"/>
              <w:jc w:val="left"/>
            </w:pPr>
            <w:r>
              <w:t xml:space="preserve">D-2</w:t>
            </w:r>
          </w:p>
        </w:tc>
        <w:tc>
          <w:tcPr/>
          <w:p>
            <w:pPr>
              <w:pStyle w:val="Compact"/>
              <w:jc w:val="left"/>
            </w:pPr>
            <w:r>
              <w:t xml:space="preserve">If post-revocation deletion proves to be governed outside the corpus</w:t>
            </w:r>
          </w:p>
        </w:tc>
        <w:tc>
          <w:tcPr/>
          <w:p>
            <w:pPr>
              <w:pStyle w:val="Compact"/>
              <w:jc w:val="left"/>
            </w:pPr>
            <w:r>
              <w:rPr>
                <w:bCs/>
                <w:b/>
              </w:rPr>
              <w:t xml:space="preserve">Abstain and log.</w:t>
            </w:r>
            <w:r>
              <w:t xml:space="preserve"> </w:t>
            </w:r>
            <w:r>
              <w:t xml:space="preserve">Extending the corpus breaks non-negotiable 6, and the abstention is a better finding than the answer.</w:t>
            </w:r>
          </w:p>
        </w:tc>
      </w:tr>
      <w:tr>
        <w:tc>
          <w:tcPr/>
          <w:p>
            <w:pPr>
              <w:pStyle w:val="Compact"/>
              <w:jc w:val="left"/>
            </w:pPr>
            <w:r>
              <w:t xml:space="preserve">D-3</w:t>
            </w:r>
          </w:p>
        </w:tc>
        <w:tc>
          <w:tcPr/>
          <w:p>
            <w:pPr>
              <w:pStyle w:val="Compact"/>
              <w:jc w:val="left"/>
            </w:pPr>
            <w:r>
              <w:t xml:space="preserve">Whether to state the joint-account cause</w:t>
            </w:r>
          </w:p>
        </w:tc>
        <w:tc>
          <w:tcPr/>
          <w:p>
            <w:pPr>
              <w:pStyle w:val="Compact"/>
              <w:jc w:val="left"/>
            </w:pPr>
            <w:r>
              <w:rPr>
                <w:bCs/>
                <w:b/>
              </w:rPr>
              <w:t xml:space="preserve">No.</w:t>
            </w:r>
            <w:r>
              <w:t xml:space="preserve"> </w:t>
            </w:r>
            <w:r>
              <w:t xml:space="preserve">Surface as unresolved. This is the exact error §16 records; repeating it in the shipped product would be worse than the original.</w:t>
            </w:r>
          </w:p>
        </w:tc>
      </w:tr>
      <w:tr>
        <w:tc>
          <w:tcPr/>
          <w:p>
            <w:pPr>
              <w:pStyle w:val="Compact"/>
              <w:jc w:val="left"/>
            </w:pPr>
            <w:r>
              <w:t xml:space="preserve">D-4</w:t>
            </w:r>
          </w:p>
        </w:tc>
        <w:tc>
          <w:tcPr/>
          <w:p>
            <w:pPr>
              <w:pStyle w:val="Compact"/>
              <w:jc w:val="left"/>
            </w:pPr>
            <w:r>
              <w:t xml:space="preserve">Second language</w:t>
            </w:r>
          </w:p>
        </w:tc>
        <w:tc>
          <w:tcPr/>
          <w:p>
            <w:pPr>
              <w:pStyle w:val="Compact"/>
              <w:jc w:val="left"/>
            </w:pPr>
            <w:r>
              <w:t xml:space="preserve">Deferred to P2. Confirmed cut.</w:t>
            </w:r>
          </w:p>
        </w:tc>
      </w:tr>
      <w:tr>
        <w:tc>
          <w:tcPr/>
          <w:p>
            <w:pPr>
              <w:pStyle w:val="Compact"/>
              <w:jc w:val="left"/>
            </w:pPr>
            <w:r>
              <w:t xml:space="preserve">D-5</w:t>
            </w:r>
          </w:p>
        </w:tc>
        <w:tc>
          <w:tcPr/>
          <w:p>
            <w:pPr>
              <w:pStyle w:val="Compact"/>
              <w:jc w:val="left"/>
            </w:pPr>
            <w:r>
              <w:rPr>
                <w:bCs/>
                <w:b/>
              </w:rPr>
              <w:t xml:space="preserve">The exposure register is a second knowledge source, outside the one-corpus rule</w:t>
            </w:r>
          </w:p>
        </w:tc>
        <w:tc>
          <w:tcPr/>
          <w:p>
            <w:pPr>
              <w:pStyle w:val="Compact"/>
              <w:jc w:val="left"/>
            </w:pPr>
            <w:r>
              <w:t xml:space="preserve">Accept, and defend it: it is product data, exactly as the gap register already is — not a corpus. But it must be</w:t>
            </w:r>
            <w:r>
              <w:t xml:space="preserve"> </w:t>
            </w:r>
            <w:r>
              <w:rPr>
                <w:bCs/>
                <w:b/>
              </w:rPr>
              <w:t xml:space="preserve">visibly distinguished from cited regulation</w:t>
            </w:r>
            <w:r>
              <w:t xml:space="preserve"> </w:t>
            </w:r>
            <w:r>
              <w:t xml:space="preserve">in every answer, or non-negotiable 8 breaks. Entries you author from domain expertise are marked as such, not dressed as citations.</w:t>
            </w:r>
          </w:p>
        </w:tc>
      </w:tr>
      <w:tr>
        <w:tc>
          <w:tcPr/>
          <w:p>
            <w:pPr>
              <w:pStyle w:val="Compact"/>
              <w:jc w:val="left"/>
            </w:pPr>
            <w:r>
              <w:t xml:space="preserve">D-6</w:t>
            </w:r>
          </w:p>
        </w:tc>
        <w:tc>
          <w:tcPr/>
          <w:p>
            <w:pPr>
              <w:pStyle w:val="Compact"/>
              <w:jc w:val="left"/>
            </w:pPr>
            <w:r>
              <w:t xml:space="preserve">How far the exposure register should extend</w:t>
            </w:r>
          </w:p>
        </w:tc>
        <w:tc>
          <w:tcPr/>
          <w:p>
            <w:pPr>
              <w:pStyle w:val="Compact"/>
              <w:jc w:val="left"/>
            </w:pPr>
            <w:r>
              <w:rPr>
                <w:bCs/>
                <w:b/>
              </w:rPr>
              <w:t xml:space="preserve">Narrow.</w:t>
            </w:r>
            <w:r>
              <w:t xml:space="preserve"> </w:t>
            </w:r>
            <w:r>
              <w:t xml:space="preserve">Four routes, and only claims you would defend in writing. An unbounded register becomes a fraud-advice product, which this is not.</w:t>
            </w:r>
          </w:p>
        </w:tc>
      </w:tr>
    </w:tbl>
    <w:bookmarkEnd w:id="43"/>
    <w:bookmarkStart w:id="44" w:name="risks"/>
    <w:p>
      <w:pPr>
        <w:pStyle w:val="Heading2"/>
      </w:pPr>
      <w:r>
        <w:t xml:space="preserve">14. Risks</w:t>
      </w:r>
    </w:p>
    <w:tbl>
      <w:tblPr>
        <w:tblStyle w:val="Table"/>
        <w:tblW w:type="pct" w:w="5000"/>
        <w:tblLook w:firstRow="1" w:lastRow="0" w:firstColumn="0" w:lastColumn="0" w:noHBand="0" w:noVBand="0" w:val="0020"/>
        <w:jc w:val="start"/>
      </w:tblPr>
      <w:tblGrid>
        <w:gridCol w:w="503"/>
        <w:gridCol w:w="3708"/>
        <w:gridCol w:w="3708"/>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Cs/>
                <w:b/>
              </w:rPr>
              <w:t xml:space="preserve">This document is a public artefact containing unverified domain claims</w:t>
            </w:r>
            <w:r>
              <w:t xml:space="preserve">, read by an AA expert.</w:t>
            </w:r>
          </w:p>
        </w:tc>
        <w:tc>
          <w:tcPr/>
          <w:p>
            <w:pPr>
              <w:pStyle w:val="Compact"/>
              <w:jc w:val="left"/>
            </w:pPr>
            <w:r>
              <w:t xml:space="preserve">Nothing unmarked. Resolve every ⚠ in §2 before the repo goes public, or downgrade it to an explicit open question.</w:t>
            </w:r>
          </w:p>
        </w:tc>
      </w:tr>
      <w:tr>
        <w:tc>
          <w:tcPr/>
          <w:p>
            <w:pPr>
              <w:pStyle w:val="Compact"/>
              <w:jc w:val="left"/>
            </w:pPr>
            <w:r>
              <w:t xml:space="preserve">2</w:t>
            </w:r>
          </w:p>
        </w:tc>
        <w:tc>
          <w:tcPr/>
          <w:p>
            <w:pPr>
              <w:pStyle w:val="Compact"/>
              <w:jc w:val="left"/>
            </w:pPr>
            <w:r>
              <w:t xml:space="preserve">RBI Master Direction is a long PDF; clause extraction may fail.</w:t>
            </w:r>
          </w:p>
        </w:tc>
        <w:tc>
          <w:tcPr/>
          <w:p>
            <w:pPr>
              <w:pStyle w:val="Compact"/>
              <w:jc w:val="left"/>
            </w:pPr>
            <w:r>
              <w:t xml:space="preserve">Time-box. Fall back to page anchors, label them honestly as such, log it as a finding.</w:t>
            </w:r>
          </w:p>
        </w:tc>
      </w:tr>
      <w:tr>
        <w:tc>
          <w:tcPr/>
          <w:p>
            <w:pPr>
              <w:pStyle w:val="Compact"/>
              <w:jc w:val="left"/>
            </w:pPr>
            <w:r>
              <w:t xml:space="preserve">3</w:t>
            </w:r>
          </w:p>
        </w:tc>
        <w:tc>
          <w:tcPr/>
          <w:p>
            <w:pPr>
              <w:pStyle w:val="Compact"/>
              <w:jc w:val="left"/>
            </w:pPr>
            <w:r>
              <w:t xml:space="preserve">Guard over-refuses; demo looks broken.</w:t>
            </w:r>
          </w:p>
        </w:tc>
        <w:tc>
          <w:tcPr/>
          <w:p>
            <w:pPr>
              <w:pStyle w:val="Compact"/>
              <w:jc w:val="left"/>
            </w:pPr>
            <w:r>
              <w:t xml:space="preserve">Report over-refusal honestly. Correct failure direction.</w:t>
            </w:r>
          </w:p>
        </w:tc>
      </w:tr>
      <w:tr>
        <w:tc>
          <w:tcPr/>
          <w:p>
            <w:pPr>
              <w:pStyle w:val="Compact"/>
              <w:jc w:val="left"/>
            </w:pPr>
            <w:r>
              <w:t xml:space="preserve">4</w:t>
            </w:r>
          </w:p>
        </w:tc>
        <w:tc>
          <w:tcPr/>
          <w:p>
            <w:pPr>
              <w:pStyle w:val="Compact"/>
              <w:jc w:val="left"/>
            </w:pPr>
            <w:r>
              <w:rPr>
                <w:bCs/>
                <w:b/>
              </w:rPr>
              <w:t xml:space="preserve">Guard under-refuses</w:t>
            </w:r>
            <w:r>
              <w:t xml:space="preserve"> </w:t>
            </w:r>
            <w:r>
              <w:t xml:space="preserve">— the dangerous direction.</w:t>
            </w:r>
          </w:p>
        </w:tc>
        <w:tc>
          <w:tcPr/>
          <w:p>
            <w:pPr>
              <w:pStyle w:val="Compact"/>
              <w:jc w:val="left"/>
            </w:pPr>
            <w:r>
              <w:t xml:space="preserve">Adversarial set (FR-17). Two under-refusals were already found in scaffold testing and are logged.</w:t>
            </w:r>
          </w:p>
        </w:tc>
      </w:tr>
      <w:tr>
        <w:tc>
          <w:tcPr/>
          <w:p>
            <w:pPr>
              <w:pStyle w:val="Compact"/>
              <w:jc w:val="left"/>
            </w:pPr>
            <w:r>
              <w:t xml:space="preserve">5</w:t>
            </w:r>
          </w:p>
        </w:tc>
        <w:tc>
          <w:tcPr/>
          <w:p>
            <w:pPr>
              <w:pStyle w:val="Compact"/>
              <w:jc w:val="left"/>
            </w:pPr>
            <w:r>
              <w:t xml:space="preserve">Corpus fetch blocked or a source unavailable.</w:t>
            </w:r>
          </w:p>
        </w:tc>
        <w:tc>
          <w:tcPr/>
          <w:p>
            <w:pPr>
              <w:pStyle w:val="Compact"/>
              <w:jc w:val="left"/>
            </w:pPr>
            <w:r>
              <w:t xml:space="preserve">Snapshot everything first; commit with retrieval dates; a missing source is a logged corpus gap, not a silent skip.</w:t>
            </w:r>
          </w:p>
        </w:tc>
      </w:tr>
      <w:tr>
        <w:tc>
          <w:tcPr/>
          <w:p>
            <w:pPr>
              <w:pStyle w:val="Compact"/>
              <w:jc w:val="left"/>
            </w:pPr>
            <w:r>
              <w:t xml:space="preserve">6</w:t>
            </w:r>
          </w:p>
        </w:tc>
        <w:tc>
          <w:tcPr/>
          <w:p>
            <w:pPr>
              <w:pStyle w:val="Compact"/>
              <w:jc w:val="left"/>
            </w:pPr>
            <w:r>
              <w:t xml:space="preserve">One-day build; P0 does not complete.</w:t>
            </w:r>
          </w:p>
        </w:tc>
        <w:tc>
          <w:tcPr/>
          <w:p>
            <w:pPr>
              <w:pStyle w:val="Compact"/>
              <w:jc w:val="left"/>
            </w:pPr>
            <w:r>
              <w:t xml:space="preserve">Cut order is fixed in §7. Repo stays private and the post moves rather than shipping something thin.</w:t>
            </w:r>
          </w:p>
        </w:tc>
      </w:tr>
      <w:tr>
        <w:tc>
          <w:tcPr/>
          <w:p>
            <w:pPr>
              <w:pStyle w:val="Compact"/>
              <w:jc w:val="left"/>
            </w:pPr>
            <w:r>
              <w:t xml:space="preserve">7</w:t>
            </w:r>
          </w:p>
        </w:tc>
        <w:tc>
          <w:tcPr/>
          <w:p>
            <w:pPr>
              <w:pStyle w:val="Compact"/>
              <w:jc w:val="left"/>
            </w:pPr>
            <w:r>
              <w:rPr>
                <w:bCs/>
                <w:b/>
              </w:rPr>
              <w:t xml:space="preserve">The exposure register is wrong, and the product reassures someone who is not safe.</w:t>
            </w:r>
            <w:r>
              <w:t xml:space="preserve"> </w:t>
            </w:r>
            <w:r>
              <w:t xml:space="preserve">The single highest-consequence failure available to this build.</w:t>
            </w:r>
          </w:p>
        </w:tc>
        <w:tc>
          <w:tcPr/>
          <w:p>
            <w:pPr>
              <w:pStyle w:val="Compact"/>
              <w:jc w:val="left"/>
            </w:pPr>
            <w:r>
              <w:t xml:space="preserve">Capability claims only, never assurance (non-negotiable 9). Narrow register (D-6). Every entry evidenced or explicitly marked as author’s assessment. Hand-audit the full question set for assurance language before shipping.</w:t>
            </w:r>
          </w:p>
        </w:tc>
      </w:tr>
      <w:tr>
        <w:tc>
          <w:tcPr/>
          <w:p>
            <w:pPr>
              <w:pStyle w:val="Compact"/>
              <w:jc w:val="left"/>
            </w:pPr>
            <w:r>
              <w:t xml:space="preserve">8</w:t>
            </w:r>
          </w:p>
        </w:tc>
        <w:tc>
          <w:tcPr/>
          <w:p>
            <w:pPr>
              <w:pStyle w:val="Compact"/>
              <w:jc w:val="left"/>
            </w:pPr>
            <w:r>
              <w:t xml:space="preserve">Escalation path fires too rarely and a compromise question gets an explanation instead.</w:t>
            </w:r>
          </w:p>
        </w:tc>
        <w:tc>
          <w:tcPr/>
          <w:p>
            <w:pPr>
              <w:pStyle w:val="Compact"/>
              <w:jc w:val="left"/>
            </w:pPr>
            <w:r>
              <w:t xml:space="preserve">Under-triggering is the dangerous direction here, exactly as under-refusal is for the guard. Bias the patterns toward over-triggering and log every false positive.</w:t>
            </w:r>
          </w:p>
        </w:tc>
      </w:tr>
    </w:tbl>
    <w:bookmarkEnd w:id="44"/>
    <w:bookmarkStart w:id="45" w:name="what-will-exist-at-freeze"/>
    <w:p>
      <w:pPr>
        <w:pStyle w:val="Heading2"/>
      </w:pPr>
      <w:r>
        <w:t xml:space="preserve">15. What will exist at freeze</w:t>
      </w:r>
    </w:p>
    <w:p>
      <w:pPr>
        <w:pStyle w:val="FirstParagraph"/>
      </w:pPr>
      <w:r>
        <w:rPr>
          <w:bCs/>
          <w:b/>
        </w:rPr>
        <w:t xml:space="preserve">Committed (P0):</w:t>
      </w:r>
      <w:r>
        <w:t xml:space="preserve"> </w:t>
      </w:r>
      <w:r>
        <w:t xml:space="preserve">a command-line assistant answering plain-language questions over the real corpus with verifiable clause citations; route identification distinguishing governed from ungoverned sharing; a refusal layer enforced in code with reformulation; abstention with cause attribution; a framework-gap register; answer-form constraints; a persisted decision trace; an unedited failure log of 15+ classified entries.</w:t>
      </w:r>
    </w:p>
    <w:p>
      <w:pPr>
        <w:pStyle w:val="BodyText"/>
      </w:pPr>
      <w:r>
        <w:rPr>
          <w:bCs/>
          <w:b/>
        </w:rPr>
        <w:t xml:space="preserve">Budget-dependent (P1):</w:t>
      </w:r>
      <w:r>
        <w:t xml:space="preserve"> </w:t>
      </w:r>
      <w:r>
        <w:t xml:space="preserve">the static replay page, adversarial results, the question set, the public repository, the product note.</w:t>
      </w:r>
    </w:p>
    <w:p>
      <w:pPr>
        <w:pStyle w:val="BodyText"/>
      </w:pPr>
      <w:r>
        <w:rPr>
          <w:bCs/>
          <w:b/>
        </w:rPr>
        <w:t xml:space="preserve">Will not exist:</w:t>
      </w:r>
      <w:r>
        <w:t xml:space="preserve"> </w:t>
      </w:r>
      <w:r>
        <w:t xml:space="preserve">any AA integration, any real user data, any live web application, any measurement of real comprehension outcomes.</w:t>
      </w:r>
    </w:p>
    <w:bookmarkEnd w:id="45"/>
    <w:bookmarkStart w:id="46" w:name="provenance-note"/>
    <w:p>
      <w:pPr>
        <w:pStyle w:val="Heading2"/>
      </w:pPr>
      <w:r>
        <w:t xml:space="preserve">16. Provenance note</w:t>
      </w:r>
    </w:p>
    <w:p>
      <w:pPr>
        <w:pStyle w:val="FirstParagraph"/>
      </w:pPr>
      <w:r>
        <w:t xml:space="preserve">Draft v0.1 of this document asserted, unmarked and as settled fact, that joint accounts are excluded from the AA</w:t>
      </w:r>
      <w:r>
        <w:t xml:space="preserve"> </w:t>
      </w:r>
      <w:r>
        <w:rPr>
          <w:iCs/>
          <w:i/>
        </w:rPr>
        <w:t xml:space="preserve">framework</w:t>
      </w:r>
      <w:r>
        <w:t xml:space="preserve"> </w:t>
      </w:r>
      <w:r>
        <w:t xml:space="preserve">— and cited an invented clause number for a retention rule that may not sit in the AA Master Direction at all.</w:t>
      </w:r>
    </w:p>
    <w:p>
      <w:pPr>
        <w:pStyle w:val="BodyText"/>
      </w:pPr>
      <w:r>
        <w:t xml:space="preserve">Both are exactly the failure mode Consent Lens exists to detect: a plausible sentence, confidently delivered, traceable to no source, conflating</w:t>
      </w:r>
      <w:r>
        <w:t xml:space="preserve"> </w:t>
      </w:r>
      <w:r>
        <w:rPr>
          <w:iCs/>
          <w:i/>
        </w:rPr>
        <w:t xml:space="preserve">the rules exclude this</w:t>
      </w:r>
      <w:r>
        <w:t xml:space="preserve"> </w:t>
      </w:r>
      <w:r>
        <w:t xml:space="preserve">with</w:t>
      </w:r>
      <w:r>
        <w:t xml:space="preserve"> </w:t>
      </w:r>
      <w:r>
        <w:rPr>
          <w:iCs/>
          <w:i/>
        </w:rPr>
        <w:t xml:space="preserve">nobody has implemented this</w:t>
      </w:r>
      <w:r>
        <w:t xml:space="preserve">.</w:t>
      </w:r>
    </w:p>
    <w:p>
      <w:pPr>
        <w:pStyle w:val="BodyText"/>
      </w:pPr>
      <w:r>
        <w:t xml:space="preserve">They are recorded rather than quietly corrected, as</w:t>
      </w:r>
      <w:r>
        <w:t xml:space="preserve"> </w:t>
      </w:r>
      <w:r>
        <w:rPr>
          <w:bCs/>
          <w:b/>
        </w:rPr>
        <w:t xml:space="preserve">failure log entries 0a and 0b</w:t>
      </w:r>
      <w:r>
        <w:t xml:space="preserve"> </w:t>
      </w:r>
      <w:r>
        <w:t xml:space="preserve">— logged before the system ran its first query. If a careful human drafting slowly makes this error, an LLM retrieving quickly will make it faster. That is why FR-5’s citation audit runs in code after generation rather than being requested in a prompt, and why FR-10 exists at all.</w:t>
      </w:r>
    </w:p>
    <w:p>
      <w:pPr>
        <w:pStyle w:val="BodyText"/>
      </w:pPr>
      <w:r>
        <w:t xml:space="preserve">Two further entries were added before any pipeline existed: scaffold testing of the guard found it classified</w:t>
      </w:r>
      <w:r>
        <w:t xml:space="preserve"> </w:t>
      </w:r>
      <w:r>
        <w:rPr>
          <w:iCs/>
          <w:i/>
        </w:rPr>
        <w:t xml:space="preserve">“</w:t>
      </w:r>
      <w:r>
        <w:rPr>
          <w:iCs/>
          <w:i/>
        </w:rPr>
        <w:t xml:space="preserve">Is that advisory service trustworthy?</w:t>
      </w:r>
      <w:r>
        <w:rPr>
          <w:iCs/>
          <w:i/>
        </w:rPr>
        <w:t xml:space="preserve">”</w:t>
      </w:r>
      <w:r>
        <w:t xml:space="preserve"> </w:t>
      </w:r>
      <w:r>
        <w:t xml:space="preserve">and</w:t>
      </w:r>
      <w:r>
        <w:t xml:space="preserve"> </w:t>
      </w:r>
      <w:r>
        <w:rPr>
          <w:iCs/>
          <w:i/>
        </w:rPr>
        <w:t xml:space="preserve">“</w:t>
      </w:r>
      <w:r>
        <w:rPr>
          <w:iCs/>
          <w:i/>
        </w:rPr>
        <w:t xml:space="preserve">Was that a bad idea?</w:t>
      </w:r>
      <w:r>
        <w:rPr>
          <w:iCs/>
          <w:i/>
        </w:rPr>
        <w:t xml:space="preserve">”</w:t>
      </w:r>
      <w:r>
        <w:t xml:space="preserve"> </w:t>
      </w:r>
      <w:r>
        <w:t xml:space="preserve">as answerable.</w:t>
      </w:r>
      <w:r>
        <w:t xml:space="preserve"> </w:t>
      </w:r>
      <w:r>
        <w:rPr>
          <w:bCs/>
          <w:b/>
        </w:rPr>
        <w:t xml:space="preserve">Under-refusals</w:t>
      </w:r>
      <w:r>
        <w:t xml:space="preserve"> </w:t>
      </w:r>
      <w:r>
        <w:t xml:space="preserve">— the dangerous direction, and evidence for implied requirement 6.</w:t>
      </w:r>
    </w:p>
    <w:bookmarkEnd w:id="46"/>
    <w:bookmarkStart w:id="47" w:name="appendix-a-corpus"/>
    <w:p>
      <w:pPr>
        <w:pStyle w:val="Heading2"/>
      </w:pPr>
      <w:r>
        <w:t xml:space="preserve">Appendix A — Corpus</w:t>
      </w:r>
    </w:p>
    <w:tbl>
      <w:tblPr>
        <w:tblStyle w:val="Table"/>
        <w:tblW w:type="pct" w:w="5000"/>
        <w:tblLook w:firstRow="1" w:lastRow="0" w:firstColumn="0" w:lastColumn="0" w:noHBand="0" w:noVBand="0" w:val="0020"/>
        <w:jc w:val="start"/>
      </w:tblPr>
      <w:tblGrid>
        <w:gridCol w:w="2556"/>
        <w:gridCol w:w="3564"/>
        <w:gridCol w:w="1800"/>
      </w:tblGrid>
      <w:tr>
        <w:trPr>
          <w:tblHeader w:val="true"/>
        </w:trPr>
        <w:tc>
          <w:tcPr/>
          <w:p>
            <w:pPr>
              <w:pStyle w:val="Compact"/>
              <w:jc w:val="left"/>
            </w:pPr>
            <w:r>
              <w:t xml:space="preserve">Source</w:t>
            </w:r>
          </w:p>
        </w:tc>
        <w:tc>
          <w:tcPr/>
          <w:p>
            <w:pPr>
              <w:pStyle w:val="Compact"/>
              <w:jc w:val="left"/>
            </w:pPr>
            <w:r>
              <w:t xml:space="preserve">Location</w:t>
            </w:r>
          </w:p>
        </w:tc>
        <w:tc>
          <w:tcPr/>
          <w:p>
            <w:pPr>
              <w:pStyle w:val="Compact"/>
              <w:jc w:val="left"/>
            </w:pPr>
            <w:r>
              <w:t xml:space="preserve">Authority</w:t>
            </w:r>
          </w:p>
        </w:tc>
      </w:tr>
      <w:tr>
        <w:tc>
          <w:tcPr/>
          <w:p>
            <w:pPr>
              <w:pStyle w:val="Compact"/>
              <w:jc w:val="left"/>
            </w:pPr>
            <w:r>
              <w:t xml:space="preserve">DEPA consent artefact specification</w:t>
            </w:r>
          </w:p>
        </w:tc>
        <w:tc>
          <w:tcPr/>
          <w:p>
            <w:pPr>
              <w:pStyle w:val="Compact"/>
              <w:jc w:val="left"/>
            </w:pPr>
            <w:r>
              <w:t xml:space="preserve">depa.world/learn/consent-artefact</w:t>
            </w:r>
          </w:p>
        </w:tc>
        <w:tc>
          <w:tcPr/>
          <w:p>
            <w:pPr>
              <w:pStyle w:val="Compact"/>
              <w:jc w:val="left"/>
            </w:pPr>
            <w:r>
              <w:t xml:space="preserve">specification</w:t>
            </w:r>
          </w:p>
        </w:tc>
      </w:tr>
      <w:tr>
        <w:tc>
          <w:tcPr/>
          <w:p>
            <w:pPr>
              <w:pStyle w:val="Compact"/>
              <w:jc w:val="left"/>
            </w:pPr>
            <w:r>
              <w:t xml:space="preserve">DEPA docs repository</w:t>
            </w:r>
          </w:p>
        </w:tc>
        <w:tc>
          <w:tcPr/>
          <w:p>
            <w:pPr>
              <w:pStyle w:val="Compact"/>
              <w:jc w:val="left"/>
            </w:pPr>
            <w:r>
              <w:t xml:space="preserve">github.com/depa-world/docs</w:t>
            </w:r>
          </w:p>
        </w:tc>
        <w:tc>
          <w:tcPr/>
          <w:p>
            <w:pPr>
              <w:pStyle w:val="Compact"/>
              <w:jc w:val="left"/>
            </w:pPr>
            <w:r>
              <w:t xml:space="preserve">specification</w:t>
            </w:r>
          </w:p>
        </w:tc>
      </w:tr>
      <w:tr>
        <w:tc>
          <w:tcPr/>
          <w:p>
            <w:pPr>
              <w:pStyle w:val="Compact"/>
              <w:jc w:val="left"/>
            </w:pPr>
            <w:r>
              <w:t xml:space="preserve">RBI Master Direction — NBFC Account Aggregator</w:t>
            </w:r>
          </w:p>
        </w:tc>
        <w:tc>
          <w:tcPr/>
          <w:p>
            <w:pPr>
              <w:pStyle w:val="Compact"/>
              <w:jc w:val="left"/>
            </w:pPr>
            <w:r>
              <w:t xml:space="preserve">rbi.org.in, current consolidated version</w:t>
            </w:r>
          </w:p>
        </w:tc>
        <w:tc>
          <w:tcPr/>
          <w:p>
            <w:pPr>
              <w:pStyle w:val="Compact"/>
              <w:jc w:val="left"/>
            </w:pPr>
            <w:r>
              <w:rPr>
                <w:bCs/>
                <w:b/>
              </w:rPr>
              <w:t xml:space="preserve">regulation</w:t>
            </w:r>
          </w:p>
        </w:tc>
      </w:tr>
      <w:tr>
        <w:tc>
          <w:tcPr/>
          <w:p>
            <w:pPr>
              <w:pStyle w:val="Compact"/>
              <w:jc w:val="left"/>
            </w:pPr>
            <w:r>
              <w:t xml:space="preserve">Sahamati — Design Principles for Informed Consent</w:t>
            </w:r>
          </w:p>
        </w:tc>
        <w:tc>
          <w:tcPr/>
          <w:p>
            <w:pPr>
              <w:pStyle w:val="Compact"/>
              <w:jc w:val="left"/>
            </w:pPr>
            <w:r>
              <w:t xml:space="preserve">github.com/Sahamati/customer-experience-guidelines</w:t>
            </w:r>
          </w:p>
        </w:tc>
        <w:tc>
          <w:tcPr/>
          <w:p>
            <w:pPr>
              <w:pStyle w:val="Compact"/>
              <w:jc w:val="left"/>
            </w:pPr>
            <w:r>
              <w:rPr>
                <w:bCs/>
                <w:b/>
              </w:rPr>
              <w:t xml:space="preserve">SRO guidance, not regulation</w:t>
            </w:r>
          </w:p>
        </w:tc>
      </w:tr>
      <w:tr>
        <w:tc>
          <w:tcPr/>
          <w:p>
            <w:pPr>
              <w:pStyle w:val="Compact"/>
              <w:jc w:val="left"/>
            </w:pPr>
            <w:r>
              <w:t xml:space="preserve">ReBIT AA technical specifications</w:t>
            </w:r>
          </w:p>
        </w:tc>
        <w:tc>
          <w:tcPr/>
          <w:p>
            <w:pPr>
              <w:pStyle w:val="Compact"/>
              <w:jc w:val="left"/>
            </w:pPr>
            <w:r>
              <w:t xml:space="preserve">specifications.rebit.org.in</w:t>
            </w:r>
          </w:p>
        </w:tc>
        <w:tc>
          <w:tcPr/>
          <w:p>
            <w:pPr>
              <w:pStyle w:val="Compact"/>
              <w:jc w:val="left"/>
            </w:pPr>
            <w:r>
              <w:t xml:space="preserve">specification</w:t>
            </w:r>
          </w:p>
        </w:tc>
      </w:tr>
    </w:tbl>
    <w:p>
      <w:pPr>
        <w:pStyle w:val="BodyText"/>
      </w:pPr>
      <w:r>
        <w:t xml:space="preserve">Authority is carried per chunk and must be visible in citations. Citing SRO guidance as though it were regulation is a defect.</w:t>
      </w:r>
    </w:p>
    <w:bookmarkEnd w:id="47"/>
    <w:bookmarkStart w:id="48" w:name="appendix-b-framework-gap-register-seed"/>
    <w:p>
      <w:pPr>
        <w:pStyle w:val="Heading2"/>
      </w:pPr>
      <w:r>
        <w:t xml:space="preserve">Appendix B — Framework-gap register, seed</w:t>
      </w:r>
    </w:p>
    <w:tbl>
      <w:tblPr>
        <w:tblStyle w:val="Table"/>
        <w:tblW w:type="pct" w:w="5000"/>
        <w:tblLook w:firstRow="1" w:lastRow="0" w:firstColumn="0" w:lastColumn="0" w:noHBand="0" w:noVBand="0" w:val="0020"/>
        <w:jc w:val="start"/>
      </w:tblPr>
      <w:tblGrid>
        <w:gridCol w:w="3528"/>
        <w:gridCol w:w="3528"/>
        <w:gridCol w:w="864"/>
      </w:tblGrid>
      <w:tr>
        <w:trPr>
          <w:tblHeader w:val="true"/>
        </w:trPr>
        <w:tc>
          <w:tcPr/>
          <w:p>
            <w:pPr>
              <w:pStyle w:val="Compact"/>
              <w:jc w:val="left"/>
            </w:pPr>
            <w:r>
              <w:t xml:space="preserve">Case</w:t>
            </w:r>
          </w:p>
        </w:tc>
        <w:tc>
          <w:tcPr/>
          <w:p>
            <w:pPr>
              <w:pStyle w:val="Compact"/>
              <w:jc w:val="left"/>
            </w:pPr>
            <w:r>
              <w:t xml:space="preserve">Cause</w:t>
            </w:r>
          </w:p>
        </w:tc>
        <w:tc>
          <w:tcPr/>
          <w:p>
            <w:pPr>
              <w:pStyle w:val="Compact"/>
              <w:jc w:val="left"/>
            </w:pPr>
            <w:r>
              <w:t xml:space="preserve">Status</w:t>
            </w:r>
          </w:p>
        </w:tc>
      </w:tr>
      <w:tr>
        <w:tc>
          <w:tcPr/>
          <w:p>
            <w:pPr>
              <w:pStyle w:val="Compact"/>
              <w:jc w:val="left"/>
            </w:pPr>
            <w:r>
              <w:t xml:space="preserve">Joint accounts</w:t>
            </w:r>
          </w:p>
        </w:tc>
        <w:tc>
          <w:tcPr/>
          <w:p>
            <w:pPr>
              <w:pStyle w:val="Compact"/>
              <w:jc w:val="left"/>
            </w:pPr>
            <w:r>
              <w:rPr>
                <w:bCs/>
                <w:b/>
              </w:rPr>
              <w:t xml:space="preserve">Unresolved</w:t>
            </w:r>
            <w:r>
              <w:t xml:space="preserve"> </w:t>
            </w:r>
            <w:r>
              <w:t xml:space="preserve">— spec exclusion vs universal FIP non-implementation</w:t>
            </w:r>
          </w:p>
        </w:tc>
        <w:tc>
          <w:tcPr/>
          <w:p>
            <w:pPr>
              <w:pStyle w:val="Compact"/>
              <w:jc w:val="left"/>
            </w:pPr>
            <w:r>
              <w:t xml:space="preserve">⚠</w:t>
            </w:r>
          </w:p>
        </w:tc>
      </w:tr>
      <w:tr>
        <w:tc>
          <w:tcPr/>
          <w:p>
            <w:pPr>
              <w:pStyle w:val="Compact"/>
              <w:jc w:val="left"/>
            </w:pPr>
            <w:r>
              <w:t xml:space="preserve">NRE / NRO accounts</w:t>
            </w:r>
          </w:p>
        </w:tc>
        <w:tc>
          <w:tcPr/>
          <w:p>
            <w:pPr>
              <w:pStyle w:val="Compact"/>
              <w:jc w:val="left"/>
            </w:pPr>
            <w:r>
              <w:t xml:space="preserve">Unresolved</w:t>
            </w:r>
          </w:p>
        </w:tc>
        <w:tc>
          <w:tcPr/>
          <w:p>
            <w:pPr>
              <w:pStyle w:val="Compact"/>
              <w:jc w:val="left"/>
            </w:pPr>
            <w:r>
              <w:t xml:space="preserve">⚠</w:t>
            </w:r>
          </w:p>
        </w:tc>
      </w:tr>
      <w:tr>
        <w:tc>
          <w:tcPr/>
          <w:p>
            <w:pPr>
              <w:pStyle w:val="Compact"/>
              <w:jc w:val="left"/>
            </w:pPr>
            <w:r>
              <w:t xml:space="preserve">Non-sole-proprietor current accounts</w:t>
            </w:r>
          </w:p>
        </w:tc>
        <w:tc>
          <w:tcPr/>
          <w:p>
            <w:pPr>
              <w:pStyle w:val="Compact"/>
              <w:jc w:val="left"/>
            </w:pPr>
            <w:r>
              <w:t xml:space="preserve">Unresolved</w:t>
            </w:r>
          </w:p>
        </w:tc>
        <w:tc>
          <w:tcPr/>
          <w:p>
            <w:pPr>
              <w:pStyle w:val="Compact"/>
              <w:jc w:val="left"/>
            </w:pPr>
            <w:r>
              <w:t xml:space="preserve">⚠</w:t>
            </w:r>
          </w:p>
        </w:tc>
      </w:tr>
      <w:tr>
        <w:tc>
          <w:tcPr/>
          <w:p>
            <w:pPr>
              <w:pStyle w:val="Compact"/>
              <w:jc w:val="left"/>
            </w:pPr>
            <w:r>
              <w:rPr>
                <w:rStyle w:val="VerbatimChar"/>
              </w:rPr>
              <w:t xml:space="preserve">fiTypes</w:t>
            </w:r>
            <w:r>
              <w:t xml:space="preserve"> </w:t>
            </w:r>
            <w:r>
              <w:t xml:space="preserve">without live schema (bonds, debentures, G-secs, EPF, PPF)</w:t>
            </w:r>
          </w:p>
        </w:tc>
        <w:tc>
          <w:tcPr/>
          <w:p>
            <w:pPr>
              <w:pStyle w:val="Compact"/>
              <w:jc w:val="left"/>
            </w:pPr>
            <w:r>
              <w:t xml:space="preserve">Likely implementation, not spec</w:t>
            </w:r>
          </w:p>
        </w:tc>
        <w:tc>
          <w:tcPr/>
          <w:p>
            <w:pPr>
              <w:pStyle w:val="Compact"/>
              <w:jc w:val="left"/>
            </w:pPr>
            <w:r>
              <w:t xml:space="preserve">⚠</w:t>
            </w:r>
          </w:p>
        </w:tc>
      </w:tr>
      <w:tr>
        <w:tc>
          <w:tcPr/>
          <w:p>
            <w:pPr>
              <w:pStyle w:val="Compact"/>
              <w:jc w:val="left"/>
            </w:pPr>
            <w:r>
              <w:t xml:space="preserve">FIP–AA fragmentation</w:t>
            </w:r>
          </w:p>
        </w:tc>
        <w:tc>
          <w:tcPr/>
          <w:p>
            <w:pPr>
              <w:pStyle w:val="Compact"/>
              <w:jc w:val="left"/>
            </w:pPr>
            <w:r>
              <w:t xml:space="preserve">Implementation / commercial</w:t>
            </w:r>
          </w:p>
        </w:tc>
        <w:tc>
          <w:tcPr/>
          <w:p>
            <w:pPr>
              <w:pStyle w:val="Compact"/>
              <w:jc w:val="left"/>
            </w:pPr>
            <w:r>
              <w:t xml:space="preserve">⚠</w:t>
            </w:r>
          </w:p>
        </w:tc>
      </w:tr>
      <w:tr>
        <w:tc>
          <w:tcPr/>
          <w:p>
            <w:pPr>
              <w:pStyle w:val="Compact"/>
              <w:jc w:val="left"/>
            </w:pPr>
            <w:r>
              <w:t xml:space="preserve">Post-revocation deletion obligation</w:t>
            </w:r>
          </w:p>
        </w:tc>
        <w:tc>
          <w:tcPr/>
          <w:p>
            <w:pPr>
              <w:pStyle w:val="Compact"/>
              <w:jc w:val="left"/>
            </w:pPr>
            <w:r>
              <w:t xml:space="preserve">Possibly governed outside the AA corpus</w:t>
            </w:r>
          </w:p>
        </w:tc>
        <w:tc>
          <w:tcPr/>
          <w:p>
            <w:pPr>
              <w:pStyle w:val="Compact"/>
              <w:jc w:val="left"/>
            </w:pPr>
            <w:r>
              <w:t xml:space="preserve">⚠ — see D-2</w:t>
            </w:r>
          </w:p>
        </w:tc>
      </w:tr>
      <w:tr>
        <w:tc>
          <w:tcPr/>
          <w:p>
            <w:pPr>
              <w:pStyle w:val="Compact"/>
              <w:jc w:val="left"/>
            </w:pPr>
            <w:r>
              <w:t xml:space="preserve">eCAS / PDF / credential routes</w:t>
            </w:r>
          </w:p>
        </w:tc>
        <w:tc>
          <w:tcPr/>
          <w:p>
            <w:pPr>
              <w:pStyle w:val="Compact"/>
              <w:jc w:val="left"/>
            </w:pPr>
            <w:r>
              <w:t xml:space="preserve">Outside the AA framework entirely — not a gap in AA, a gap in coverage</w:t>
            </w:r>
          </w:p>
        </w:tc>
        <w:tc>
          <w:tcPr/>
          <w:p>
            <w:pPr>
              <w:pStyle w:val="Compact"/>
              <w:jc w:val="left"/>
            </w:pPr>
            <w:r>
              <w:t xml:space="preserve">⚠</w:t>
            </w:r>
          </w:p>
        </w:tc>
      </w:tr>
    </w:tbl>
    <w:bookmarkEnd w:id="48"/>
    <w:bookmarkStart w:id="49" w:name="appendix-c-exposure-register-seed"/>
    <w:p>
      <w:pPr>
        <w:pStyle w:val="Heading2"/>
      </w:pPr>
      <w:r>
        <w:t xml:space="preserve">Appendix C — Exposure register, seed</w:t>
      </w:r>
    </w:p>
    <w:p>
      <w:pPr>
        <w:pStyle w:val="FirstParagraph"/>
      </w:pPr>
      <w:r>
        <w:t xml:space="preserve">Seeds FR-22.</w:t>
      </w:r>
      <w:r>
        <w:t xml:space="preserve"> </w:t>
      </w:r>
      <w:r>
        <w:rPr>
          <w:bCs/>
          <w:b/>
        </w:rPr>
        <w:t xml:space="preserve">Capability only.</w:t>
      </w:r>
      <w:r>
        <w:t xml:space="preserve"> </w:t>
      </w:r>
      <w:r>
        <w:t xml:space="preserve">No entry may be phrased as an assurance, and no entry estimates likelihood. Every claim needs evidence or an explicit</w:t>
      </w:r>
      <w:r>
        <w:t xml:space="preserve"> </w:t>
      </w:r>
      <w:r>
        <w:t xml:space="preserve">“</w:t>
      </w:r>
      <w:r>
        <w:t xml:space="preserve">author’s assessment — unverified</w:t>
      </w:r>
      <w:r>
        <w:t xml:space="preserve">”</w:t>
      </w:r>
      <w:r>
        <w:t xml:space="preserve"> </w:t>
      </w:r>
      <w:r>
        <w:t xml:space="preserve">marker before it may be used in an answer.</w:t>
      </w:r>
    </w:p>
    <w:tbl>
      <w:tblPr>
        <w:tblStyle w:val="Table"/>
        <w:tblW w:type="pct" w:w="5000"/>
        <w:tblLook w:firstRow="1" w:lastRow="0" w:firstColumn="0" w:lastColumn="0" w:noHBand="0" w:noVBand="0" w:val="0020"/>
        <w:jc w:val="start"/>
      </w:tblPr>
      <w:tblGrid>
        <w:gridCol w:w="1576"/>
        <w:gridCol w:w="1648"/>
        <w:gridCol w:w="1576"/>
        <w:gridCol w:w="1935"/>
        <w:gridCol w:w="1182"/>
      </w:tblGrid>
      <w:tr>
        <w:trPr>
          <w:tblHeader w:val="true"/>
        </w:trPr>
        <w:tc>
          <w:tcPr/>
          <w:p>
            <w:pPr>
              <w:pStyle w:val="Compact"/>
              <w:jc w:val="left"/>
            </w:pPr>
            <w:r>
              <w:t xml:space="preserve">Artefact / route shared</w:t>
            </w:r>
          </w:p>
        </w:tc>
        <w:tc>
          <w:tcPr/>
          <w:p>
            <w:pPr>
              <w:pStyle w:val="Compact"/>
              <w:jc w:val="left"/>
            </w:pPr>
            <w:r>
              <w:t xml:space="preserve">Does it carry credentials or authorisation?</w:t>
            </w:r>
          </w:p>
        </w:tc>
        <w:tc>
          <w:tcPr/>
          <w:p>
            <w:pPr>
              <w:pStyle w:val="Compact"/>
              <w:jc w:val="left"/>
            </w:pPr>
            <w:r>
              <w:t xml:space="preserve">What it does not enable</w:t>
            </w:r>
          </w:p>
        </w:tc>
        <w:tc>
          <w:tcPr/>
          <w:p>
            <w:pPr>
              <w:pStyle w:val="Compact"/>
              <w:jc w:val="left"/>
            </w:pPr>
            <w:r>
              <w:t xml:space="preserve">What it does enable</w:t>
            </w:r>
          </w:p>
        </w:tc>
        <w:tc>
          <w:tcPr/>
          <w:p>
            <w:pPr>
              <w:pStyle w:val="Compact"/>
              <w:jc w:val="left"/>
            </w:pPr>
            <w:r>
              <w:t xml:space="preserve">Status</w:t>
            </w:r>
          </w:p>
        </w:tc>
      </w:tr>
      <w:tr>
        <w:tc>
          <w:tcPr/>
          <w:p>
            <w:pPr>
              <w:pStyle w:val="Compact"/>
              <w:jc w:val="left"/>
            </w:pPr>
            <w:r>
              <w:t xml:space="preserve">eCAS / consolidated account statement</w:t>
            </w:r>
          </w:p>
        </w:tc>
        <w:tc>
          <w:tcPr/>
          <w:p>
            <w:pPr>
              <w:pStyle w:val="Compact"/>
              <w:jc w:val="left"/>
            </w:pPr>
            <w:r>
              <w:t xml:space="preserve">No — it is a statement</w:t>
            </w:r>
          </w:p>
        </w:tc>
        <w:tc>
          <w:tcPr/>
          <w:p>
            <w:pPr>
              <w:pStyle w:val="Compact"/>
              <w:jc w:val="left"/>
            </w:pPr>
            <w:r>
              <w:t xml:space="preserve">Redemption, transfer or debit by itself; those require authentication with the fund house or platform</w:t>
            </w:r>
          </w:p>
        </w:tc>
        <w:tc>
          <w:tcPr/>
          <w:p>
            <w:pPr>
              <w:pStyle w:val="Compact"/>
              <w:jc w:val="left"/>
            </w:pPr>
            <w:r>
              <w:t xml:space="preserve">Precise targeting: full visibility of holdings, values and platforms, which makes a social-engineering approach far more convincing</w:t>
            </w:r>
          </w:p>
        </w:tc>
        <w:tc>
          <w:tcPr/>
          <w:p>
            <w:pPr>
              <w:pStyle w:val="Compact"/>
              <w:jc w:val="left"/>
            </w:pPr>
            <w:r>
              <w:t xml:space="preserve">⚠ author’s assessment</w:t>
            </w:r>
          </w:p>
        </w:tc>
      </w:tr>
      <w:tr>
        <w:tc>
          <w:tcPr/>
          <w:p>
            <w:pPr>
              <w:pStyle w:val="Compact"/>
              <w:jc w:val="left"/>
            </w:pPr>
            <w:r>
              <w:t xml:space="preserve">Bank statement PDF</w:t>
            </w:r>
          </w:p>
        </w:tc>
        <w:tc>
          <w:tcPr/>
          <w:p>
            <w:pPr>
              <w:pStyle w:val="Compact"/>
              <w:jc w:val="left"/>
            </w:pPr>
            <w:r>
              <w:t xml:space="preserve">No</w:t>
            </w:r>
          </w:p>
        </w:tc>
        <w:tc>
          <w:tcPr/>
          <w:p>
            <w:pPr>
              <w:pStyle w:val="Compact"/>
              <w:jc w:val="left"/>
            </w:pPr>
            <w:r>
              <w:t xml:space="preserve">A debit by itself</w:t>
            </w:r>
          </w:p>
        </w:tc>
        <w:tc>
          <w:tcPr/>
          <w:p>
            <w:pPr>
              <w:pStyle w:val="Compact"/>
              <w:jc w:val="left"/>
            </w:pPr>
            <w:r>
              <w:t xml:space="preserve">Targeting; plus salary, EMI and balance profiling</w:t>
            </w:r>
          </w:p>
        </w:tc>
        <w:tc>
          <w:tcPr/>
          <w:p>
            <w:pPr>
              <w:pStyle w:val="Compact"/>
              <w:jc w:val="left"/>
            </w:pPr>
            <w:r>
              <w:t xml:space="preserve">⚠ author’s assessment</w:t>
            </w:r>
          </w:p>
        </w:tc>
      </w:tr>
      <w:tr>
        <w:tc>
          <w:tcPr/>
          <w:p>
            <w:pPr>
              <w:pStyle w:val="Compact"/>
              <w:jc w:val="left"/>
            </w:pPr>
            <w:r>
              <w:t xml:space="preserve">AA consent artefact</w:t>
            </w:r>
          </w:p>
        </w:tc>
        <w:tc>
          <w:tcPr/>
          <w:p>
            <w:pPr>
              <w:pStyle w:val="Compact"/>
              <w:jc w:val="left"/>
            </w:pPr>
            <w:r>
              <w:t xml:space="preserve">No — read access to specified data, purpose-limited and revocable</w:t>
            </w:r>
          </w:p>
        </w:tc>
        <w:tc>
          <w:tcPr/>
          <w:p>
            <w:pPr>
              <w:pStyle w:val="Compact"/>
              <w:jc w:val="left"/>
            </w:pPr>
            <w:r>
              <w:t xml:space="preserve">Any transaction. AA is a data-sharing rail, not a payment rail</w:t>
            </w:r>
          </w:p>
        </w:tc>
        <w:tc>
          <w:tcPr/>
          <w:p>
            <w:pPr>
              <w:pStyle w:val="Compact"/>
              <w:jc w:val="left"/>
            </w:pPr>
            <w:r>
              <w:t xml:space="preserve">Data access within the artefact’s scope for its stated life</w:t>
            </w:r>
          </w:p>
        </w:tc>
        <w:tc>
          <w:tcPr/>
          <w:p>
            <w:pPr>
              <w:pStyle w:val="Compact"/>
              <w:jc w:val="left"/>
            </w:pPr>
            <w:r>
              <w:t xml:space="preserve">⚠ to verify against DEPA/RBI corpus</w:t>
            </w:r>
          </w:p>
        </w:tc>
      </w:tr>
      <w:tr>
        <w:tc>
          <w:tcPr/>
          <w:p>
            <w:pPr>
              <w:pStyle w:val="Compact"/>
              <w:jc w:val="left"/>
            </w:pPr>
            <w:r>
              <w:rPr>
                <w:bCs/>
                <w:b/>
              </w:rPr>
              <w:t xml:space="preserve">OTP / authentication code</w:t>
            </w:r>
          </w:p>
        </w:tc>
        <w:tc>
          <w:tcPr/>
          <w:p>
            <w:pPr>
              <w:pStyle w:val="Compact"/>
              <w:jc w:val="left"/>
            </w:pPr>
            <w:r>
              <w:rPr>
                <w:bCs/>
                <w:b/>
              </w:rPr>
              <w:t xml:space="preserve">Yes — it is a credential</w:t>
            </w:r>
          </w:p>
        </w:tc>
        <w:tc>
          <w:tcPr/>
          <w:p>
            <w:pPr>
              <w:pStyle w:val="Compact"/>
              <w:jc w:val="left"/>
            </w:pPr>
            <w:r>
              <w:t xml:space="preserve">—</w:t>
            </w:r>
          </w:p>
        </w:tc>
        <w:tc>
          <w:tcPr/>
          <w:p>
            <w:pPr>
              <w:pStyle w:val="Compact"/>
              <w:jc w:val="left"/>
            </w:pPr>
            <w:r>
              <w:rPr>
                <w:bCs/>
                <w:b/>
              </w:rPr>
              <w:t xml:space="preserve">Transaction authorisation. This is compromise, not disclosure</w:t>
            </w:r>
          </w:p>
        </w:tc>
        <w:tc>
          <w:tcPr/>
          <w:p>
            <w:pPr>
              <w:pStyle w:val="Compact"/>
              <w:jc w:val="left"/>
            </w:pPr>
            <w:r>
              <w:rPr>
                <w:bCs/>
                <w:b/>
              </w:rPr>
              <w:t xml:space="preserve">→ escalation path, FR-23</w:t>
            </w:r>
          </w:p>
        </w:tc>
      </w:tr>
      <w:tr>
        <w:tc>
          <w:tcPr/>
          <w:p>
            <w:pPr>
              <w:pStyle w:val="Compact"/>
              <w:jc w:val="left"/>
            </w:pPr>
            <w:r>
              <w:rPr>
                <w:bCs/>
                <w:b/>
              </w:rPr>
              <w:t xml:space="preserve">Net-banking credentials</w:t>
            </w:r>
          </w:p>
        </w:tc>
        <w:tc>
          <w:tcPr/>
          <w:p>
            <w:pPr>
              <w:pStyle w:val="Compact"/>
              <w:jc w:val="left"/>
            </w:pPr>
            <w:r>
              <w:rPr>
                <w:bCs/>
                <w:b/>
              </w:rPr>
              <w:t xml:space="preserve">Yes</w:t>
            </w:r>
          </w:p>
        </w:tc>
        <w:tc>
          <w:tcPr/>
          <w:p>
            <w:pPr>
              <w:pStyle w:val="Compact"/>
              <w:jc w:val="left"/>
            </w:pPr>
            <w:r>
              <w:t xml:space="preserve">—</w:t>
            </w:r>
          </w:p>
        </w:tc>
        <w:tc>
          <w:tcPr/>
          <w:p>
            <w:pPr>
              <w:pStyle w:val="Compact"/>
              <w:jc w:val="left"/>
            </w:pPr>
            <w:r>
              <w:rPr>
                <w:bCs/>
                <w:b/>
              </w:rPr>
              <w:t xml:space="preserve">Full account access</w:t>
            </w:r>
          </w:p>
        </w:tc>
        <w:tc>
          <w:tcPr/>
          <w:p>
            <w:pPr>
              <w:pStyle w:val="Compact"/>
              <w:jc w:val="left"/>
            </w:pPr>
            <w:r>
              <w:rPr>
                <w:bCs/>
                <w:b/>
              </w:rPr>
              <w:t xml:space="preserve">→ escalation path, FR-23</w:t>
            </w:r>
          </w:p>
        </w:tc>
      </w:tr>
    </w:tbl>
    <w:p>
      <w:pPr>
        <w:pStyle w:val="BodyText"/>
      </w:pPr>
      <w:r>
        <w:t xml:space="preserve">The last two rows are why FR-23 exists as a separate path. Everything above the line is a question about</w:t>
      </w:r>
      <w:r>
        <w:t xml:space="preserve"> </w:t>
      </w:r>
      <w:r>
        <w:rPr>
          <w:iCs/>
          <w:i/>
        </w:rPr>
        <w:t xml:space="preserve">information</w:t>
      </w:r>
      <w:r>
        <w:t xml:space="preserve">. Everything below it is a question about</w:t>
      </w:r>
      <w:r>
        <w:t xml:space="preserve"> </w:t>
      </w:r>
      <w:r>
        <w:rPr>
          <w:iCs/>
          <w:i/>
        </w:rPr>
        <w:t xml:space="preserve">access</w:t>
      </w:r>
      <w:r>
        <w:t xml:space="preserve"> </w:t>
      </w:r>
      <w:r>
        <w:t xml:space="preserve">— and the correct product response changes completely.</w:t>
      </w:r>
    </w:p>
    <w:p>
      <w:pPr>
        <w:pStyle w:val="BodyText"/>
      </w:pPr>
      <w:r>
        <w:rPr>
          <w:bCs/>
          <w:b/>
        </w:rPr>
        <w:t xml:space="preserve">Markers:</w:t>
      </w:r>
      <w:r>
        <w:t xml:space="preserve"> </w:t>
      </w:r>
      <w:r>
        <w:t xml:space="preserve">⚠ = secondary source, unverified against the primary document · ✓ = verified against primary source with clause and retrieval date. No ⚠ item may appear in the product note or in a system answer without being resolved to ✓ or stated to the user as unresolved.</w:t>
      </w:r>
    </w:p>
    <w:bookmarkEnd w:id="49"/>
    <w:sectPr>
      <w:footerReference w:type="default" r:id="rF"/>
      <w:pgSz w:w="11906" w:h="16838"/>
      <w:pgMar w:top="1160" w:right="1160" w:bottom="1300" w:left="1160" w:header="600" w:footer="6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spacing w:before="0" w:after="0"/>
      <w:rPr>
        <w:sz w:val="16"/>
        <w:color w:val="8A94A6"/>
      </w:rPr>
    </w:pPr>
    <w:r>
      <w:rPr>
        <w:sz w:val="16"/>
        <w:color w:val="8A94A6"/>
      </w:rPr>
      <w:t xml:space="preserve">Consent Lens — PRD v0.4  ·  </w:t>
    </w:r>
    <w:fldSimple w:instr="PAGE">
      <w:r>
        <w:rPr>
          <w:sz w:val="16"/>
          <w:color w:val="8A94A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0"/>
      <w:szCs w:val="20"/>
    </w:rPr>
    <w:pPr>
      <w:spacing w:after="140" w:before="0" w:line="264" w:lineRule="auto"/>
    </w:pPr>
  </w:style>
  <w:style w:styleId="BodyText" w:type="paragraph">
    <w:name w:val="Body Text"/>
    <w:basedOn w:val="Normal"/>
    <w:link w:val="BodyTextChar"/>
    <w:pPr>
      <w:spacing w:after="180" w:before="180"/>
    </w:pPr>
    <w:qFormat/>
    <w:rPr>
      <w:sz w:val="20"/>
      <w:szCs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spacing w:after="36" w:before="36"/>
    </w:pPr>
    <w:rPr>
      <w:sz w:val="20"/>
      <w:szCs w:val="20"/>
    </w:rPr>
  </w:style>
  <w:style w:styleId="Title" w:type="paragraph">
    <w:name w:val="Title"/>
    <w:basedOn w:val="Normal"/>
    <w:next w:val="BodyText"/>
    <w:qFormat/>
    <w:pPr>
      <w:spacing w:after="60" w:before="0"/>
      <w:keepNext/>
      <w:keepLines/>
      <w:spacing w:after="240" w:before="480"/>
      <w:jc w:val="center"/>
    </w:pPr>
    <w:rPr>
      <w:color w:val="1F3352"/>
      <w:sz w:val="52"/>
      <w:szCs w:val="52"/>
      <w:b/>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after="360"/>
      <w:keepNext/>
      <w:keepLines/>
      <w:spacing w:after="240" w:before="240"/>
      <w:jc w:val="center"/>
    </w:pPr>
    <w:rPr>
      <w:color w:val="2E5A87"/>
      <w:sz w:val="24"/>
      <w:szCs w:val="24"/>
      <w:i/>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60" w:before="440"/>
      <w:pBdr>
        <w:bottom w:color="C3CEDD" w:space="4" w:sz="8" w:val="single"/>
      </w:pBdr>
      <w:keepNext/>
      <w:keepNext/>
      <w:keepLines/>
      <w:spacing w:after="0" w:before="480"/>
      <w:outlineLvl w:val="0"/>
    </w:pPr>
    <w:rPr>
      <w:color w:val="1F3352"/>
      <w:sz w:val="30"/>
      <w:szCs w:val="30"/>
      <w:b/>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spacing w:after="120" w:before="320"/>
      <w:keepNext/>
      <w:keepNext/>
      <w:keepLines/>
      <w:spacing w:after="0" w:before="200"/>
      <w:outlineLvl w:val="1"/>
    </w:pPr>
    <w:rPr>
      <w:color w:val="2E5A87"/>
      <w:sz w:val="24"/>
      <w:szCs w:val="24"/>
      <w:b/>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spacing w:after="100" w:before="240"/>
      <w:keepNext/>
      <w:keepNext/>
      <w:keepLines/>
      <w:spacing w:after="0" w:before="200"/>
      <w:outlineLvl w:val="2"/>
    </w:pPr>
    <w:rPr>
      <w:color w:val="4A4A4A"/>
      <w:sz w:val="21"/>
      <w:szCs w:val="21"/>
      <w:b/>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A87" w:space="10" w:sz="18" w:val="single"/>
      </w:pBdr>
      <w:ind w:left="240"/>
      <w:spacing w:after="140" w:before="120"/>
      <w:spacing w:after="100" w:before="100"/>
      <w:ind w:firstLine="0" w:left="480" w:right="480"/>
    </w:pPr>
    <w:rPr>
      <w:i/>
      <w:color w:val="333333"/>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tblPr>
      <w:tblStyleRowBandSize w:val="1"/>
      <w:tblBorders>
        <w:top w:color="B8C4D4" w:sz="4" w:val="single"/>
        <w:left w:color="auto" w:sz="0" w:val="none"/>
        <w:bottom w:color="B8C4D4" w:sz="4" w:val="single"/>
        <w:right w:color="auto" w:sz="0" w:val="none"/>
        <w:insideH w:color="D8DFE8" w:sz="4" w:val="single"/>
        <w:insideV w:color="auto" w:sz="0" w:val="none"/>
      </w:tblBorders>
      <w:tblCellMar>
        <w:top w:type="dxa" w:w="60"/>
        <w:left w:type="dxa" w:w="100"/>
        <w:bottom w:type="dxa" w:w="60"/>
        <w:right w:type="dxa" w:w="100"/>
      </w:tblCellMar>
    </w:tblPr>
    <w:rPr>
      <w:sz w:val="18"/>
      <w:szCs w:val="18"/>
    </w:rPr>
    <w:tblStylePr w:type="firstRow">
      <w:rPr>
        <w:b/>
        <w:color w:val="FFFFFF"/>
        <w:sz w:val="18"/>
      </w:rPr>
      <w:tcPr>
        <w:shd w:color="auto" w:fill="1F3352" w:val="clear"/>
      </w:tcPr>
    </w:tblStylePr>
    <w:tblStylePr w:type="band2Horz">
      <w:tcPr>
        <w:shd w:color="auto" w:fill="F4F6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color w:val="8A2846"/>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F"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Lens</dc:title>
  <dc:creator>Rajeswari Rajagopalan</dc:creator>
  <cp:keywords/>
  <dcterms:created xsi:type="dcterms:W3CDTF">2026-08-20T07:44:30Z</dcterms:created>
  <dcterms:modified xsi:type="dcterms:W3CDTF">2026-08-20T07:44:30Z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August 2026</vt:lpwstr>
  </property>
  <property fmtid="{D5CDD505-2E9C-101B-9397-08002B2CF9AE}" pid="3" name="subtitle">
    <vt:lpwstr>Product Requirements Document v0.4 — build spec</vt:lpwstr>
  </property>
</Properties>
</file>