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D4E6B"/>
          <w:spacing w:val="10"/>
          <w:sz w:val="48"/>
          <w:szCs w:val="48"/>
        </w:rPr>
        <w:t xml:space="preserve">JANANI SWARNATHILAKA</w:t>
      </w:r>
    </w:p>
    <w:p>
      <w:pPr>
        <w:spacing w:after="80"/>
      </w:pPr>
      <w:r>
        <w:rPr>
          <w:rFonts w:ascii="Calibri" w:cs="Calibri" w:eastAsia="Calibri" w:hAnsi="Calibri"/>
          <w:color w:val="52606D"/>
          <w:sz w:val="22"/>
          <w:szCs w:val="22"/>
        </w:rPr>
        <w:t xml:space="preserve">Mortgage Administrator  |  Paraplanner  |  Lending &amp; Financial Services Professional</w:t>
      </w:r>
    </w:p>
    <w:p>
      <w:pPr>
        <w:pBdr>
          <w:bottom w:val="single" w:color="1D4E6B" w:sz="18" w:space="6"/>
        </w:pBdr>
        <w:spacing w:after="40"/>
      </w:pPr>
      <w:r>
        <w:rPr>
          <w:rFonts w:ascii="Calibri" w:cs="Calibri" w:eastAsia="Calibri" w:hAnsi="Calibri"/>
          <w:b/>
          <w:bCs/>
          <w:color w:val="1D4E6B"/>
          <w:sz w:val="18"/>
          <w:szCs w:val="18"/>
        </w:rPr>
        <w:t xml:space="preserve">Tel </w:t>
      </w:r>
      <w:r>
        <w:rPr>
          <w:rFonts w:ascii="Calibri" w:cs="Calibri" w:eastAsia="Calibri" w:hAnsi="Calibri"/>
          <w:color w:val="1F2933"/>
          <w:sz w:val="18"/>
          <w:szCs w:val="18"/>
        </w:rPr>
        <w:t xml:space="preserve">+44 7762 116017     </w:t>
      </w:r>
      <w:r>
        <w:rPr>
          <w:rFonts w:ascii="Calibri" w:cs="Calibri" w:eastAsia="Calibri" w:hAnsi="Calibri"/>
          <w:b/>
          <w:bCs/>
          <w:color w:val="1D4E6B"/>
          <w:sz w:val="18"/>
          <w:szCs w:val="18"/>
        </w:rPr>
        <w:t xml:space="preserve">Email </w:t>
      </w:r>
      <w:hyperlink w:history="1" r:id="rIdhcu4cchmipww5qhsmgot6">
        <w:r>
          <w:rPr>
            <w:rFonts w:ascii="Calibri" w:cs="Calibri" w:eastAsia="Calibri" w:hAnsi="Calibri"/>
            <w:color w:val="1F2933"/>
            <w:sz w:val="18"/>
            <w:szCs w:val="18"/>
          </w:rPr>
          <w:t xml:space="preserve">swarnathilak.janani@gmail.com</w:t>
        </w:r>
      </w:hyperlink>
      <w:r>
        <w:rPr>
          <w:rFonts w:ascii="Calibri" w:cs="Calibri" w:eastAsia="Calibri" w:hAnsi="Calibri"/>
          <w:b/>
          <w:bCs/>
          <w:color w:val="1D4E6B"/>
          <w:sz w:val="18"/>
          <w:szCs w:val="18"/>
        </w:rPr>
        <w:t xml:space="preserve">     Location </w:t>
      </w:r>
      <w:r>
        <w:rPr>
          <w:rFonts w:ascii="Calibri" w:cs="Calibri" w:eastAsia="Calibri" w:hAnsi="Calibri"/>
          <w:color w:val="1F2933"/>
          <w:sz w:val="18"/>
          <w:szCs w:val="18"/>
        </w:rPr>
        <w:t xml:space="preserve">Northumberland, United Kingdom</w:t>
      </w:r>
      <w:r>
        <w:br/>
      </w:r>
      <w:r>
        <w:rPr>
          <w:rFonts w:ascii="Calibri" w:cs="Calibri" w:eastAsia="Calibri" w:hAnsi="Calibri"/>
          <w:b/>
          <w:bCs/>
          <w:color w:val="1D4E6B"/>
          <w:sz w:val="18"/>
          <w:szCs w:val="18"/>
        </w:rPr>
        <w:t xml:space="preserve">LinkedIn </w:t>
      </w:r>
      <w:hyperlink w:history="1" r:id="rIddatx9ke0bih3cbtuzxjug">
        <w:r>
          <w:rPr>
            <w:rFonts w:ascii="Calibri" w:cs="Calibri" w:eastAsia="Calibri" w:hAnsi="Calibri"/>
            <w:color w:val="1F2933"/>
            <w:sz w:val="18"/>
            <w:szCs w:val="18"/>
          </w:rPr>
          <w:t xml:space="preserve">linkedin.com/in/janani-swarnathilaka-5b5a071ba</w:t>
        </w:r>
      </w:hyperlink>
    </w:p>
    <w:p>
      <w:pPr>
        <w:pBdr>
          <w:bottom w:val="single" w:color="D9E2EC" w:sz="6" w:space="2"/>
        </w:pBdr>
        <w:spacing w:after="90" w:before="200"/>
      </w:pPr>
      <w:r>
        <w:rPr>
          <w:rFonts w:ascii="Calibri" w:cs="Calibri" w:eastAsia="Calibri" w:hAnsi="Calibri"/>
          <w:b/>
          <w:bCs/>
          <w:color w:val="1D4E6B"/>
          <w:spacing w:val="30"/>
          <w:sz w:val="21"/>
          <w:szCs w:val="21"/>
        </w:rPr>
        <w:t xml:space="preserve">PROFESSIONAL PROFILE</w:t>
      </w:r>
    </w:p>
    <w:p>
      <w:pPr>
        <w:spacing w:after="120" w:line="264"/>
        <w:jc w:val="both"/>
      </w:pPr>
      <w:r>
        <w:rPr>
          <w:rFonts w:ascii="Calibri" w:cs="Calibri" w:eastAsia="Calibri" w:hAnsi="Calibri"/>
          <w:color w:val="1F2933"/>
          <w:sz w:val="19"/>
          <w:szCs w:val="19"/>
        </w:rPr>
        <w:t xml:space="preserve">Detail-focused banking and financial services professional with </w:t>
      </w:r>
      <w:r>
        <w:rPr>
          <w:rFonts w:ascii="Calibri" w:cs="Calibri" w:eastAsia="Calibri" w:hAnsi="Calibri"/>
          <w:b/>
          <w:bCs/>
          <w:color w:val="1F2933"/>
          <w:sz w:val="19"/>
          <w:szCs w:val="19"/>
        </w:rPr>
        <w:t xml:space="preserve">15+ years' experience</w:t>
      </w:r>
      <w:r>
        <w:rPr>
          <w:rFonts w:ascii="Calibri" w:cs="Calibri" w:eastAsia="Calibri" w:hAnsi="Calibri"/>
          <w:color w:val="1F2933"/>
          <w:sz w:val="19"/>
          <w:szCs w:val="19"/>
        </w:rPr>
        <w:t xml:space="preserve"> at DFCC Bank PLC, most recently as </w:t>
      </w:r>
      <w:r>
        <w:rPr>
          <w:rFonts w:ascii="Calibri" w:cs="Calibri" w:eastAsia="Calibri" w:hAnsi="Calibri"/>
          <w:b/>
          <w:bCs/>
          <w:color w:val="1F2933"/>
          <w:sz w:val="19"/>
          <w:szCs w:val="19"/>
        </w:rPr>
        <w:t xml:space="preserve">Manager – Loan Processing</w:t>
      </w:r>
      <w:r>
        <w:rPr>
          <w:rFonts w:ascii="Calibri" w:cs="Calibri" w:eastAsia="Calibri" w:hAnsi="Calibri"/>
          <w:color w:val="1F2933"/>
          <w:sz w:val="19"/>
          <w:szCs w:val="19"/>
        </w:rPr>
        <w:t xml:space="preserve">. Extensive hands-on experience in processing housing and personal lending applications from submission to completion: verifying client documentation, preparing credit papers, coordinating with valuers, lawyers and internal approvers, managing property title clearance and mortgage bonds, and releasing mortgages on settlement. Experienced in providing administrative support to advisers and paraplanners, maintaining accurate client records and ensuring every file meets compliance and regulatory standards. MSc (Commendation) from Northumbria University and MBA from Cardiff Metropolitan University. Now UK-based and seeking to bring proven mortgage administration expertise to a client-focused advisory firm.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8"/>
      </w:tblGrid>
      <w:tr>
        <w:tc>
          <w:tcPr>
            <w:tcW w:type="dxa" w:w="2616"/>
            <w:tcBorders>
              <w:top w:val="single" w:color="FFFFFF" w:sz="2"/>
              <w:left w:val="single" w:color="1D4E6B" w:sz="18"/>
              <w:bottom w:val="single" w:color="FFFFFF" w:sz="2"/>
              <w:right w:val="single" w:color="FFFFFF" w:sz="24"/>
            </w:tcBorders>
            <w:shd w:fill="F0F5F9" w:color="auto" w:val="clear"/>
            <w:tcMar>
              <w:top w:type="dxa" w:w="80"/>
              <w:left w:type="dxa" w:w="140"/>
              <w:bottom w:type="dxa" w:w="80"/>
              <w:right w:type="dxa" w:w="100"/>
            </w:tcMar>
          </w:tcPr>
          <w:p>
            <w:r>
              <w:rPr>
                <w:rFonts w:ascii="Calibri" w:cs="Calibri" w:eastAsia="Calibri" w:hAnsi="Calibri"/>
                <w:b/>
                <w:bCs/>
                <w:color w:val="1D4E6B"/>
                <w:sz w:val="22"/>
                <w:szCs w:val="22"/>
              </w:rPr>
              <w:t xml:space="preserve">15+ years</w:t>
            </w:r>
          </w:p>
          <w:p>
            <w:r>
              <w:rPr>
                <w:rFonts w:ascii="Calibri" w:cs="Calibri" w:eastAsia="Calibri" w:hAnsi="Calibri"/>
                <w:color w:val="52606D"/>
                <w:sz w:val="16"/>
                <w:szCs w:val="16"/>
              </w:rPr>
              <w:t xml:space="preserve">Banking &amp; lending operations</w:t>
            </w:r>
          </w:p>
        </w:tc>
        <w:tc>
          <w:tcPr>
            <w:tcW w:type="dxa" w:w="2616"/>
            <w:tcBorders>
              <w:top w:val="single" w:color="FFFFFF" w:sz="2"/>
              <w:left w:val="single" w:color="1D4E6B" w:sz="18"/>
              <w:bottom w:val="single" w:color="FFFFFF" w:sz="2"/>
              <w:right w:val="single" w:color="FFFFFF" w:sz="24"/>
            </w:tcBorders>
            <w:shd w:fill="F0F5F9" w:color="auto" w:val="clear"/>
            <w:tcMar>
              <w:top w:type="dxa" w:w="80"/>
              <w:left w:type="dxa" w:w="140"/>
              <w:bottom w:type="dxa" w:w="80"/>
              <w:right w:type="dxa" w:w="100"/>
            </w:tcMar>
          </w:tcPr>
          <w:p>
            <w:r>
              <w:rPr>
                <w:rFonts w:ascii="Calibri" w:cs="Calibri" w:eastAsia="Calibri" w:hAnsi="Calibri"/>
                <w:b/>
                <w:bCs/>
                <w:color w:val="1D4E6B"/>
                <w:sz w:val="22"/>
                <w:szCs w:val="22"/>
              </w:rPr>
              <w:t xml:space="preserve">Application to completion</w:t>
            </w:r>
          </w:p>
          <w:p>
            <w:r>
              <w:rPr>
                <w:rFonts w:ascii="Calibri" w:cs="Calibri" w:eastAsia="Calibri" w:hAnsi="Calibri"/>
                <w:color w:val="52606D"/>
                <w:sz w:val="16"/>
                <w:szCs w:val="16"/>
              </w:rPr>
              <w:t xml:space="preserve">Mortgage &amp; loan processing</w:t>
            </w:r>
          </w:p>
        </w:tc>
        <w:tc>
          <w:tcPr>
            <w:tcW w:type="dxa" w:w="2616"/>
            <w:tcBorders>
              <w:top w:val="single" w:color="FFFFFF" w:sz="2"/>
              <w:left w:val="single" w:color="1D4E6B" w:sz="18"/>
              <w:bottom w:val="single" w:color="FFFFFF" w:sz="2"/>
              <w:right w:val="single" w:color="FFFFFF" w:sz="24"/>
            </w:tcBorders>
            <w:shd w:fill="F0F5F9" w:color="auto" w:val="clear"/>
            <w:tcMar>
              <w:top w:type="dxa" w:w="80"/>
              <w:left w:type="dxa" w:w="140"/>
              <w:bottom w:type="dxa" w:w="80"/>
              <w:right w:type="dxa" w:w="100"/>
            </w:tcMar>
          </w:tcPr>
          <w:p>
            <w:r>
              <w:rPr>
                <w:rFonts w:ascii="Calibri" w:cs="Calibri" w:eastAsia="Calibri" w:hAnsi="Calibri"/>
                <w:b/>
                <w:bCs/>
                <w:color w:val="1D4E6B"/>
                <w:sz w:val="22"/>
                <w:szCs w:val="22"/>
              </w:rPr>
              <w:t xml:space="preserve">Compliance-first</w:t>
            </w:r>
          </w:p>
          <w:p>
            <w:r>
              <w:rPr>
                <w:rFonts w:ascii="Calibri" w:cs="Calibri" w:eastAsia="Calibri" w:hAnsi="Calibri"/>
                <w:color w:val="52606D"/>
                <w:sz w:val="16"/>
                <w:szCs w:val="16"/>
              </w:rPr>
              <w:t xml:space="preserve">Regulatory reporting &amp; risk</w:t>
            </w:r>
          </w:p>
        </w:tc>
        <w:tc>
          <w:tcPr>
            <w:tcW w:type="dxa" w:w="2618"/>
            <w:tcBorders>
              <w:top w:val="single" w:color="FFFFFF" w:sz="2"/>
              <w:left w:val="single" w:color="1D4E6B" w:sz="18"/>
              <w:bottom w:val="single" w:color="FFFFFF" w:sz="2"/>
              <w:right w:val="single" w:color="FFFFFF" w:sz="24"/>
            </w:tcBorders>
            <w:shd w:fill="F0F5F9" w:color="auto" w:val="clear"/>
            <w:tcMar>
              <w:top w:type="dxa" w:w="80"/>
              <w:left w:type="dxa" w:w="140"/>
              <w:bottom w:type="dxa" w:w="80"/>
              <w:right w:type="dxa" w:w="100"/>
            </w:tcMar>
          </w:tcPr>
          <w:p>
            <w:r>
              <w:rPr>
                <w:rFonts w:ascii="Calibri" w:cs="Calibri" w:eastAsia="Calibri" w:hAnsi="Calibri"/>
                <w:b/>
                <w:bCs/>
                <w:color w:val="1D4E6B"/>
                <w:sz w:val="22"/>
                <w:szCs w:val="22"/>
              </w:rPr>
              <w:t xml:space="preserve">MSc &amp; MBA</w:t>
            </w:r>
          </w:p>
          <w:p>
            <w:r>
              <w:rPr>
                <w:rFonts w:ascii="Calibri" w:cs="Calibri" w:eastAsia="Calibri" w:hAnsi="Calibri"/>
                <w:color w:val="52606D"/>
                <w:sz w:val="16"/>
                <w:szCs w:val="16"/>
              </w:rPr>
              <w:t xml:space="preserve">UK postgraduate qualified</w:t>
            </w:r>
          </w:p>
        </w:tc>
      </w:tr>
    </w:tbl>
    <w:p>
      <w:pPr>
        <w:pBdr>
          <w:bottom w:val="single" w:color="D9E2EC" w:sz="6" w:space="2"/>
        </w:pBdr>
        <w:spacing w:after="90" w:before="200"/>
      </w:pPr>
      <w:r>
        <w:rPr>
          <w:rFonts w:ascii="Calibri" w:cs="Calibri" w:eastAsia="Calibri" w:hAnsi="Calibri"/>
          <w:b/>
          <w:bCs/>
          <w:color w:val="1D4E6B"/>
          <w:spacing w:val="30"/>
          <w:sz w:val="21"/>
          <w:szCs w:val="21"/>
        </w:rPr>
        <w:t xml:space="preserve">CORE SKILLS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90"/>
      </w:tblGrid>
      <w:tr>
        <w:tc>
          <w:tcPr>
            <w:tcW w:type="dxa" w:w="3488"/>
            <w:tcBorders>
              <w:top w:val="none" w:color="FFFFFF" w:sz="0"/>
              <w:left w:val="none" w:color="FFFFFF" w:sz="0"/>
              <w:bottom w:val="none" w:color="FFFFFF" w:sz="0"/>
              <w:right w:val="none" w:color="FFFFFF" w:sz="0"/>
            </w:tcBorders>
            <w:tcMar>
              <w:left w:type="dxa" w:w="0"/>
              <w:right w:type="dxa" w:w="120"/>
            </w:tcMar>
          </w:tcPr>
          <w:p>
            <w:pPr>
              <w:spacing w:after="30"/>
            </w:pPr>
            <w:r>
              <w:rPr>
                <w:rFonts w:ascii="Calibri" w:cs="Calibri" w:eastAsia="Calibri" w:hAnsi="Calibri"/>
                <w:b/>
                <w:bCs/>
                <w:color w:val="1F2933"/>
                <w:sz w:val="19"/>
                <w:szCs w:val="19"/>
              </w:rPr>
              <w:t xml:space="preserve">Mortgage &amp; Lending</w:t>
            </w:r>
          </w:p>
          <w:p>
            <w:pPr>
              <w:pStyle w:val="ListParagraph"/>
              <w:numPr>
                <w:ilvl w:val="0"/>
                <w:numId w:val="2"/>
              </w:numPr>
              <w:spacing w:after="20" w:line="252"/>
            </w:pPr>
            <w:r>
              <w:rPr>
                <w:rFonts w:ascii="Calibri" w:cs="Calibri" w:eastAsia="Calibri" w:hAnsi="Calibri"/>
                <w:color w:val="1F2933"/>
                <w:sz w:val="19"/>
                <w:szCs w:val="19"/>
              </w:rPr>
              <w:t xml:space="preserve">Mortgage &amp; loan application processing</w:t>
            </w:r>
          </w:p>
          <w:p>
            <w:pPr>
              <w:pStyle w:val="ListParagraph"/>
              <w:numPr>
                <w:ilvl w:val="0"/>
                <w:numId w:val="2"/>
              </w:numPr>
              <w:spacing w:after="20" w:line="252"/>
            </w:pPr>
            <w:r>
              <w:rPr>
                <w:rFonts w:ascii="Calibri" w:cs="Calibri" w:eastAsia="Calibri" w:hAnsi="Calibri"/>
                <w:color w:val="1F2933"/>
                <w:sz w:val="19"/>
                <w:szCs w:val="19"/>
              </w:rPr>
              <w:t xml:space="preserve">Document collection &amp; verification</w:t>
            </w:r>
          </w:p>
          <w:p>
            <w:pPr>
              <w:pStyle w:val="ListParagraph"/>
              <w:numPr>
                <w:ilvl w:val="0"/>
                <w:numId w:val="2"/>
              </w:numPr>
              <w:spacing w:after="20" w:line="252"/>
            </w:pPr>
            <w:r>
              <w:rPr>
                <w:rFonts w:ascii="Calibri" w:cs="Calibri" w:eastAsia="Calibri" w:hAnsi="Calibri"/>
                <w:color w:val="1F2933"/>
                <w:sz w:val="19"/>
                <w:szCs w:val="19"/>
              </w:rPr>
              <w:t xml:space="preserve">Credit appraisal &amp; affordability assessment</w:t>
            </w:r>
          </w:p>
          <w:p>
            <w:pPr>
              <w:pStyle w:val="ListParagraph"/>
              <w:numPr>
                <w:ilvl w:val="0"/>
                <w:numId w:val="2"/>
              </w:numPr>
              <w:spacing w:after="20" w:line="252"/>
            </w:pPr>
            <w:r>
              <w:rPr>
                <w:rFonts w:ascii="Calibri" w:cs="Calibri" w:eastAsia="Calibri" w:hAnsi="Calibri"/>
                <w:color w:val="1F2933"/>
                <w:sz w:val="19"/>
                <w:szCs w:val="19"/>
              </w:rPr>
              <w:t xml:space="preserve">Title clearance &amp; legal documentation</w:t>
            </w:r>
          </w:p>
          <w:p>
            <w:pPr>
              <w:pStyle w:val="ListParagraph"/>
              <w:numPr>
                <w:ilvl w:val="0"/>
                <w:numId w:val="2"/>
              </w:numPr>
              <w:spacing w:after="20" w:line="252"/>
            </w:pPr>
            <w:r>
              <w:rPr>
                <w:rFonts w:ascii="Calibri" w:cs="Calibri" w:eastAsia="Calibri" w:hAnsi="Calibri"/>
                <w:color w:val="1F2933"/>
                <w:sz w:val="19"/>
                <w:szCs w:val="19"/>
              </w:rPr>
              <w:t xml:space="preserve">Liaison with valuers, lawyers &amp; lenders</w:t>
            </w:r>
          </w:p>
        </w:tc>
        <w:tc>
          <w:tcPr>
            <w:tcW w:type="dxa" w:w="3488"/>
            <w:tcBorders>
              <w:top w:val="none" w:color="FFFFFF" w:sz="0"/>
              <w:left w:val="none" w:color="FFFFFF" w:sz="0"/>
              <w:bottom w:val="none" w:color="FFFFFF" w:sz="0"/>
              <w:right w:val="none" w:color="FFFFFF" w:sz="0"/>
            </w:tcBorders>
            <w:tcMar>
              <w:left w:type="dxa" w:w="0"/>
              <w:right w:type="dxa" w:w="120"/>
            </w:tcMar>
          </w:tcPr>
          <w:p>
            <w:pPr>
              <w:spacing w:after="30"/>
            </w:pPr>
            <w:r>
              <w:rPr>
                <w:rFonts w:ascii="Calibri" w:cs="Calibri" w:eastAsia="Calibri" w:hAnsi="Calibri"/>
                <w:b/>
                <w:bCs/>
                <w:color w:val="1F2933"/>
                <w:sz w:val="19"/>
                <w:szCs w:val="19"/>
              </w:rPr>
              <w:t xml:space="preserve">Compliance &amp; Administration</w:t>
            </w:r>
          </w:p>
          <w:p>
            <w:pPr>
              <w:pStyle w:val="ListParagraph"/>
              <w:numPr>
                <w:ilvl w:val="0"/>
                <w:numId w:val="2"/>
              </w:numPr>
              <w:spacing w:after="20" w:line="252"/>
            </w:pPr>
            <w:r>
              <w:rPr>
                <w:rFonts w:ascii="Calibri" w:cs="Calibri" w:eastAsia="Calibri" w:hAnsi="Calibri"/>
                <w:color w:val="1F2933"/>
                <w:sz w:val="19"/>
                <w:szCs w:val="19"/>
              </w:rPr>
              <w:t xml:space="preserve">Regulatory compliance &amp; reporting</w:t>
            </w:r>
          </w:p>
          <w:p>
            <w:pPr>
              <w:pStyle w:val="ListParagraph"/>
              <w:numPr>
                <w:ilvl w:val="0"/>
                <w:numId w:val="2"/>
              </w:numPr>
              <w:spacing w:after="20" w:line="252"/>
            </w:pPr>
            <w:r>
              <w:rPr>
                <w:rFonts w:ascii="Calibri" w:cs="Calibri" w:eastAsia="Calibri" w:hAnsi="Calibri"/>
                <w:color w:val="1F2933"/>
                <w:sz w:val="19"/>
                <w:szCs w:val="19"/>
              </w:rPr>
              <w:t xml:space="preserve">Accurate client record management</w:t>
            </w:r>
          </w:p>
          <w:p>
            <w:pPr>
              <w:pStyle w:val="ListParagraph"/>
              <w:numPr>
                <w:ilvl w:val="0"/>
                <w:numId w:val="2"/>
              </w:numPr>
              <w:spacing w:after="20" w:line="252"/>
            </w:pPr>
            <w:r>
              <w:rPr>
                <w:rFonts w:ascii="Calibri" w:cs="Calibri" w:eastAsia="Calibri" w:hAnsi="Calibri"/>
                <w:color w:val="1F2933"/>
                <w:sz w:val="19"/>
                <w:szCs w:val="19"/>
              </w:rPr>
              <w:t xml:space="preserve">Fraud &amp; error risk reporting</w:t>
            </w:r>
          </w:p>
          <w:p>
            <w:pPr>
              <w:pStyle w:val="ListParagraph"/>
              <w:numPr>
                <w:ilvl w:val="0"/>
                <w:numId w:val="2"/>
              </w:numPr>
              <w:spacing w:after="20" w:line="252"/>
            </w:pPr>
            <w:r>
              <w:rPr>
                <w:rFonts w:ascii="Calibri" w:cs="Calibri" w:eastAsia="Calibri" w:hAnsi="Calibri"/>
                <w:color w:val="1F2933"/>
                <w:sz w:val="19"/>
                <w:szCs w:val="19"/>
              </w:rPr>
              <w:t xml:space="preserve">Case progression &amp; multi-tasking</w:t>
            </w:r>
          </w:p>
          <w:p>
            <w:pPr>
              <w:pStyle w:val="ListParagraph"/>
              <w:numPr>
                <w:ilvl w:val="0"/>
                <w:numId w:val="2"/>
              </w:numPr>
              <w:spacing w:after="20" w:line="252"/>
            </w:pPr>
            <w:r>
              <w:rPr>
                <w:rFonts w:ascii="Calibri" w:cs="Calibri" w:eastAsia="Calibri" w:hAnsi="Calibri"/>
                <w:color w:val="1F2933"/>
                <w:sz w:val="19"/>
                <w:szCs w:val="19"/>
              </w:rPr>
              <w:t xml:space="preserve">Filing, data entry &amp; correspondence</w:t>
            </w:r>
          </w:p>
        </w:tc>
        <w:tc>
          <w:tcPr>
            <w:tcW w:type="dxa" w:w="3490"/>
            <w:tcBorders>
              <w:top w:val="none" w:color="FFFFFF" w:sz="0"/>
              <w:left w:val="none" w:color="FFFFFF" w:sz="0"/>
              <w:bottom w:val="none" w:color="FFFFFF" w:sz="0"/>
              <w:right w:val="none" w:color="FFFFFF" w:sz="0"/>
            </w:tcBorders>
            <w:tcMar>
              <w:left w:type="dxa" w:w="0"/>
              <w:right w:type="dxa" w:w="120"/>
            </w:tcMar>
          </w:tcPr>
          <w:p>
            <w:pPr>
              <w:spacing w:after="30"/>
            </w:pPr>
            <w:r>
              <w:rPr>
                <w:rFonts w:ascii="Calibri" w:cs="Calibri" w:eastAsia="Calibri" w:hAnsi="Calibri"/>
                <w:b/>
                <w:bCs/>
                <w:color w:val="1F2933"/>
                <w:sz w:val="19"/>
                <w:szCs w:val="19"/>
              </w:rPr>
              <w:t xml:space="preserve">Systems &amp; Personal</w:t>
            </w:r>
          </w:p>
          <w:p>
            <w:pPr>
              <w:pStyle w:val="ListParagraph"/>
              <w:numPr>
                <w:ilvl w:val="0"/>
                <w:numId w:val="2"/>
              </w:numPr>
              <w:spacing w:after="20" w:line="252"/>
            </w:pPr>
            <w:r>
              <w:rPr>
                <w:rFonts w:ascii="Calibri" w:cs="Calibri" w:eastAsia="Calibri" w:hAnsi="Calibri"/>
                <w:color w:val="1F2933"/>
                <w:sz w:val="19"/>
                <w:szCs w:val="19"/>
              </w:rPr>
              <w:t xml:space="preserve">Microsoft Word, Excel, PowerPoint, Outlook</w:t>
            </w:r>
          </w:p>
          <w:p>
            <w:pPr>
              <w:pStyle w:val="ListParagraph"/>
              <w:numPr>
                <w:ilvl w:val="0"/>
                <w:numId w:val="2"/>
              </w:numPr>
              <w:spacing w:after="20" w:line="252"/>
            </w:pPr>
            <w:r>
              <w:rPr>
                <w:rFonts w:ascii="Calibri" w:cs="Calibri" w:eastAsia="Calibri" w:hAnsi="Calibri"/>
                <w:color w:val="1F2933"/>
                <w:sz w:val="19"/>
                <w:szCs w:val="19"/>
              </w:rPr>
              <w:t xml:space="preserve">QuickBooks, Oracle, Microsoft Dynamics</w:t>
            </w:r>
          </w:p>
          <w:p>
            <w:pPr>
              <w:pStyle w:val="ListParagraph"/>
              <w:numPr>
                <w:ilvl w:val="0"/>
                <w:numId w:val="2"/>
              </w:numPr>
              <w:spacing w:after="20" w:line="252"/>
            </w:pPr>
            <w:r>
              <w:rPr>
                <w:rFonts w:ascii="Calibri" w:cs="Calibri" w:eastAsia="Calibri" w:hAnsi="Calibri"/>
                <w:color w:val="1F2933"/>
                <w:sz w:val="19"/>
                <w:szCs w:val="19"/>
              </w:rPr>
              <w:t xml:space="preserve">Excellent client communication</w:t>
            </w:r>
          </w:p>
          <w:p>
            <w:pPr>
              <w:pStyle w:val="ListParagraph"/>
              <w:numPr>
                <w:ilvl w:val="0"/>
                <w:numId w:val="2"/>
              </w:numPr>
              <w:spacing w:after="20" w:line="252"/>
            </w:pPr>
            <w:r>
              <w:rPr>
                <w:rFonts w:ascii="Calibri" w:cs="Calibri" w:eastAsia="Calibri" w:hAnsi="Calibri"/>
                <w:color w:val="1F2933"/>
                <w:sz w:val="19"/>
                <w:szCs w:val="19"/>
              </w:rPr>
              <w:t xml:space="preserve">Strong attention to detail</w:t>
            </w:r>
          </w:p>
          <w:p>
            <w:pPr>
              <w:pStyle w:val="ListParagraph"/>
              <w:numPr>
                <w:ilvl w:val="0"/>
                <w:numId w:val="2"/>
              </w:numPr>
              <w:spacing w:after="20" w:line="252"/>
            </w:pPr>
            <w:r>
              <w:rPr>
                <w:rFonts w:ascii="Calibri" w:cs="Calibri" w:eastAsia="Calibri" w:hAnsi="Calibri"/>
                <w:color w:val="1F2933"/>
                <w:sz w:val="19"/>
                <w:szCs w:val="19"/>
              </w:rPr>
              <w:t xml:space="preserve">Research, analysis &amp; problem-solving</w:t>
            </w:r>
          </w:p>
        </w:tc>
      </w:tr>
    </w:tbl>
    <w:p>
      <w:pPr>
        <w:pBdr>
          <w:bottom w:val="single" w:color="D9E2EC" w:sz="6" w:space="2"/>
        </w:pBdr>
        <w:spacing w:after="90" w:before="200"/>
      </w:pPr>
      <w:r>
        <w:rPr>
          <w:rFonts w:ascii="Calibri" w:cs="Calibri" w:eastAsia="Calibri" w:hAnsi="Calibri"/>
          <w:b/>
          <w:bCs/>
          <w:color w:val="1D4E6B"/>
          <w:spacing w:val="30"/>
          <w:sz w:val="21"/>
          <w:szCs w:val="21"/>
        </w:rPr>
        <w:t xml:space="preserve">PROFESSIONAL EXPERIENCE</w:t>
      </w:r>
    </w:p>
    <w:p>
      <w:pPr>
        <w:keepNext/>
        <w:tabs>
          <w:tab w:val="right" w:pos="10466"/>
        </w:tabs>
        <w:spacing w:after="0" w:before="100"/>
      </w:pPr>
      <w:r>
        <w:rPr>
          <w:rFonts w:ascii="Calibri" w:cs="Calibri" w:eastAsia="Calibri" w:hAnsi="Calibri"/>
          <w:b/>
          <w:bCs/>
          <w:color w:val="1F2933"/>
          <w:sz w:val="20"/>
          <w:szCs w:val="20"/>
        </w:rPr>
        <w:t xml:space="preserve">Sub Office Assistant</w:t>
      </w:r>
      <w:r>
        <w:rPr>
          <w:rFonts w:ascii="Calibri" w:cs="Calibri" w:eastAsia="Calibri" w:hAnsi="Calibri"/>
          <w:color w:val="52606D"/>
          <w:sz w:val="19"/>
          <w:szCs w:val="19"/>
        </w:rPr>
        <w:t xml:space="preserve"> (Part-time)</w:t>
      </w:r>
      <w:r>
        <w:rPr>
          <w:rFonts w:ascii="Calibri" w:cs="Calibri" w:eastAsia="Calibri" w:hAnsi="Calibri"/>
          <w:b/>
          <w:bCs/>
          <w:color w:val="52606D"/>
          <w:sz w:val="18"/>
          <w:szCs w:val="18"/>
        </w:rPr>
        <w:t xml:space="preserve">	May 2025 – Present</w:t>
      </w:r>
    </w:p>
    <w:p>
      <w:pPr>
        <w:keepNext/>
        <w:spacing w:after="30"/>
      </w:pPr>
      <w:r>
        <w:rPr>
          <w:rFonts w:ascii="Calibri" w:cs="Calibri" w:eastAsia="Calibri" w:hAnsi="Calibri"/>
          <w:b/>
          <w:bCs/>
          <w:color w:val="1D4E6B"/>
          <w:sz w:val="19"/>
          <w:szCs w:val="19"/>
        </w:rPr>
        <w:t xml:space="preserve">Wagonway Road Post Office</w:t>
      </w:r>
      <w:r>
        <w:rPr>
          <w:rFonts w:ascii="Calibri" w:cs="Calibri" w:eastAsia="Calibri" w:hAnsi="Calibri"/>
          <w:color w:val="52606D"/>
          <w:sz w:val="19"/>
          <w:szCs w:val="19"/>
        </w:rPr>
        <w:t xml:space="preserve">  ·  Alnwick, England</w:t>
      </w:r>
    </w:p>
    <w:p>
      <w:pPr>
        <w:pStyle w:val="ListParagraph"/>
        <w:numPr>
          <w:ilvl w:val="0"/>
          <w:numId w:val="2"/>
        </w:numPr>
        <w:spacing w:after="20" w:line="252"/>
      </w:pPr>
      <w:r>
        <w:rPr>
          <w:rFonts w:ascii="Calibri" w:cs="Calibri" w:eastAsia="Calibri" w:hAnsi="Calibri"/>
          <w:color w:val="1F2933"/>
          <w:sz w:val="19"/>
          <w:szCs w:val="19"/>
        </w:rPr>
        <w:t xml:space="preserve">Deliver professional, friendly customer service, resolving queries on postal, banking and bill-payment services.</w:t>
      </w:r>
    </w:p>
    <w:p>
      <w:pPr>
        <w:pStyle w:val="ListParagraph"/>
        <w:numPr>
          <w:ilvl w:val="0"/>
          <w:numId w:val="2"/>
        </w:numPr>
        <w:spacing w:after="20" w:line="252"/>
      </w:pPr>
      <w:r>
        <w:rPr>
          <w:rFonts w:ascii="Calibri" w:cs="Calibri" w:eastAsia="Calibri" w:hAnsi="Calibri"/>
          <w:color w:val="1F2933"/>
          <w:sz w:val="19"/>
          <w:szCs w:val="19"/>
        </w:rPr>
        <w:t xml:space="preserve">Process Post Office transactions accurately, including banking services, bill payments and postage, following prescribed procedures.</w:t>
      </w:r>
    </w:p>
    <w:p>
      <w:pPr>
        <w:pStyle w:val="ListParagraph"/>
        <w:numPr>
          <w:ilvl w:val="0"/>
          <w:numId w:val="2"/>
        </w:numPr>
        <w:spacing w:after="20" w:line="252"/>
      </w:pPr>
      <w:r>
        <w:rPr>
          <w:rFonts w:ascii="Calibri" w:cs="Calibri" w:eastAsia="Calibri" w:hAnsi="Calibri"/>
          <w:color w:val="1F2933"/>
          <w:sz w:val="19"/>
          <w:szCs w:val="19"/>
        </w:rPr>
        <w:t xml:space="preserve">Handle cash and card payments and balance the till with precision and accountability.</w:t>
      </w:r>
    </w:p>
    <w:p>
      <w:pPr>
        <w:pStyle w:val="ListParagraph"/>
        <w:numPr>
          <w:ilvl w:val="0"/>
          <w:numId w:val="2"/>
        </w:numPr>
        <w:spacing w:after="20" w:line="252"/>
      </w:pPr>
      <w:r>
        <w:rPr>
          <w:rFonts w:ascii="Calibri" w:cs="Calibri" w:eastAsia="Calibri" w:hAnsi="Calibri"/>
          <w:color w:val="1F2933"/>
          <w:sz w:val="19"/>
          <w:szCs w:val="19"/>
        </w:rPr>
        <w:t xml:space="preserve">Work collaboratively as part of a small team to keep daily operations running smoothly.</w:t>
      </w:r>
    </w:p>
    <w:p>
      <w:pPr>
        <w:keepNext/>
        <w:tabs>
          <w:tab w:val="right" w:pos="10466"/>
        </w:tabs>
        <w:spacing w:after="0" w:before="100"/>
      </w:pPr>
      <w:r>
        <w:rPr>
          <w:rFonts w:ascii="Calibri" w:cs="Calibri" w:eastAsia="Calibri" w:hAnsi="Calibri"/>
          <w:b/>
          <w:bCs/>
          <w:color w:val="1F2933"/>
          <w:sz w:val="20"/>
          <w:szCs w:val="20"/>
        </w:rPr>
        <w:t xml:space="preserve">Career Break – Relocation, Postgraduate Study &amp; Family</w:t>
      </w:r>
      <w:r>
        <w:rPr>
          <w:rFonts w:ascii="Calibri" w:cs="Calibri" w:eastAsia="Calibri" w:hAnsi="Calibri"/>
          <w:b/>
          <w:bCs/>
          <w:color w:val="52606D"/>
          <w:sz w:val="18"/>
          <w:szCs w:val="18"/>
        </w:rPr>
        <w:t xml:space="preserve">	Jan 2023 – Apr 2025</w:t>
      </w:r>
    </w:p>
    <w:p>
      <w:pPr>
        <w:keepNext/>
        <w:spacing w:after="30"/>
      </w:pPr>
      <w:r>
        <w:rPr>
          <w:rFonts w:ascii="Calibri" w:cs="Calibri" w:eastAsia="Calibri" w:hAnsi="Calibri"/>
          <w:b/>
          <w:bCs/>
          <w:color w:val="1D4E6B"/>
          <w:sz w:val="19"/>
          <w:szCs w:val="19"/>
        </w:rPr>
        <w:t xml:space="preserve">Newcastle upon Tyne, England</w:t>
      </w:r>
    </w:p>
    <w:p>
      <w:pPr>
        <w:pStyle w:val="ListParagraph"/>
        <w:numPr>
          <w:ilvl w:val="0"/>
          <w:numId w:val="2"/>
        </w:numPr>
        <w:spacing w:after="20" w:line="252"/>
      </w:pPr>
      <w:r>
        <w:rPr>
          <w:rFonts w:ascii="Calibri" w:cs="Calibri" w:eastAsia="Calibri" w:hAnsi="Calibri"/>
          <w:color w:val="1F2933"/>
          <w:sz w:val="19"/>
          <w:szCs w:val="19"/>
        </w:rPr>
        <w:t xml:space="preserve">Relocated to the UK and completed an MSc in Business Administration and Management at Northumbria University (Commendation), while caring for a young child.</w:t>
      </w:r>
    </w:p>
    <w:p>
      <w:pPr>
        <w:keepNext/>
        <w:spacing w:after="0" w:before="140"/>
      </w:pPr>
      <w:r>
        <w:rPr>
          <w:rFonts w:ascii="Calibri" w:cs="Calibri" w:eastAsia="Calibri" w:hAnsi="Calibri"/>
          <w:b/>
          <w:bCs/>
          <w:color w:val="1F2933"/>
          <w:sz w:val="21"/>
          <w:szCs w:val="21"/>
        </w:rPr>
        <w:t xml:space="preserve">DFCC Bank PLC</w:t>
      </w:r>
      <w:r>
        <w:rPr>
          <w:rFonts w:ascii="Calibri" w:cs="Calibri" w:eastAsia="Calibri" w:hAnsi="Calibri"/>
          <w:color w:val="52606D"/>
          <w:sz w:val="19"/>
          <w:szCs w:val="19"/>
        </w:rPr>
        <w:t xml:space="preserve">   ·  Sri Lanka  ·  Jan 2008 – Jan 2023 (15 years)</w:t>
      </w:r>
    </w:p>
    <w:p>
      <w:pPr>
        <w:keepNext/>
        <w:tabs>
          <w:tab w:val="right" w:pos="10466"/>
        </w:tabs>
        <w:spacing w:after="0" w:before="100"/>
      </w:pPr>
      <w:r>
        <w:rPr>
          <w:rFonts w:ascii="Calibri" w:cs="Calibri" w:eastAsia="Calibri" w:hAnsi="Calibri"/>
          <w:b/>
          <w:bCs/>
          <w:color w:val="1F2933"/>
          <w:sz w:val="20"/>
          <w:szCs w:val="20"/>
        </w:rPr>
        <w:t xml:space="preserve">Manager – Loan Processing, Personal Financial Services</w:t>
      </w:r>
      <w:r>
        <w:rPr>
          <w:rFonts w:ascii="Calibri" w:cs="Calibri" w:eastAsia="Calibri" w:hAnsi="Calibri"/>
          <w:b/>
          <w:bCs/>
          <w:color w:val="52606D"/>
          <w:sz w:val="18"/>
          <w:szCs w:val="18"/>
        </w:rPr>
        <w:t xml:space="preserve">	Oct 2019 – Jan 2023</w:t>
      </w:r>
    </w:p>
    <w:p>
      <w:pPr>
        <w:pStyle w:val="ListParagraph"/>
        <w:numPr>
          <w:ilvl w:val="0"/>
          <w:numId w:val="2"/>
        </w:numPr>
        <w:spacing w:after="20" w:line="252"/>
      </w:pPr>
      <w:r>
        <w:rPr>
          <w:rFonts w:ascii="Calibri" w:cs="Calibri" w:eastAsia="Calibri" w:hAnsi="Calibri"/>
          <w:color w:val="1F2933"/>
          <w:sz w:val="19"/>
          <w:szCs w:val="19"/>
        </w:rPr>
        <w:t xml:space="preserve">Led loan processing for personal, housing, vehicle and SME lending, assessing customers against supporting documents and submitting credit papers with recommendations to the approving authority.</w:t>
      </w:r>
    </w:p>
    <w:p>
      <w:pPr>
        <w:pStyle w:val="ListParagraph"/>
        <w:numPr>
          <w:ilvl w:val="0"/>
          <w:numId w:val="2"/>
        </w:numPr>
        <w:spacing w:after="20" w:line="252"/>
      </w:pPr>
      <w:r>
        <w:rPr>
          <w:rFonts w:ascii="Calibri" w:cs="Calibri" w:eastAsia="Calibri" w:hAnsi="Calibri"/>
          <w:color w:val="1F2933"/>
          <w:sz w:val="19"/>
          <w:szCs w:val="19"/>
        </w:rPr>
        <w:t xml:space="preserve">Managed property title clearance to ensure clear, secure titles before lending, demonstrating strong attention to detail.</w:t>
      </w:r>
    </w:p>
    <w:p>
      <w:pPr>
        <w:pStyle w:val="ListParagraph"/>
        <w:numPr>
          <w:ilvl w:val="0"/>
          <w:numId w:val="2"/>
        </w:numPr>
        <w:spacing w:after="20" w:line="252"/>
      </w:pPr>
      <w:r>
        <w:rPr>
          <w:rFonts w:ascii="Calibri" w:cs="Calibri" w:eastAsia="Calibri" w:hAnsi="Calibri"/>
          <w:color w:val="1F2933"/>
          <w:sz w:val="19"/>
          <w:szCs w:val="19"/>
        </w:rPr>
        <w:t xml:space="preserve">Prepared legal documentation including offer letters and personal guarantees in collaboration with the legal department.</w:t>
      </w:r>
    </w:p>
    <w:p>
      <w:pPr>
        <w:pStyle w:val="ListParagraph"/>
        <w:numPr>
          <w:ilvl w:val="0"/>
          <w:numId w:val="2"/>
        </w:numPr>
        <w:spacing w:after="20" w:line="252"/>
      </w:pPr>
      <w:r>
        <w:rPr>
          <w:rFonts w:ascii="Calibri" w:cs="Calibri" w:eastAsia="Calibri" w:hAnsi="Calibri"/>
          <w:color w:val="1F2933"/>
          <w:sz w:val="19"/>
          <w:szCs w:val="19"/>
        </w:rPr>
        <w:t xml:space="preserve">Provided administrative support to advisers and paraplanners, producing scheduled reports and maintaining accurate, up-to-date client and financial data.</w:t>
      </w:r>
    </w:p>
    <w:p>
      <w:pPr>
        <w:pStyle w:val="ListParagraph"/>
        <w:numPr>
          <w:ilvl w:val="0"/>
          <w:numId w:val="2"/>
        </w:numPr>
        <w:spacing w:after="20" w:line="252"/>
      </w:pPr>
      <w:r>
        <w:rPr>
          <w:rFonts w:ascii="Calibri" w:cs="Calibri" w:eastAsia="Calibri" w:hAnsi="Calibri"/>
          <w:color w:val="1F2933"/>
          <w:sz w:val="19"/>
          <w:szCs w:val="19"/>
        </w:rPr>
        <w:t xml:space="preserve">Managed client and internal communication by email and telephone, keeping applications progressing on time.</w:t>
      </w:r>
    </w:p>
    <w:p>
      <w:pPr>
        <w:pStyle w:val="ListParagraph"/>
        <w:numPr>
          <w:ilvl w:val="0"/>
          <w:numId w:val="2"/>
        </w:numPr>
        <w:spacing w:after="20" w:line="252"/>
      </w:pPr>
      <w:r>
        <w:rPr>
          <w:rFonts w:ascii="Calibri" w:cs="Calibri" w:eastAsia="Calibri" w:hAnsi="Calibri"/>
          <w:color w:val="1F2933"/>
          <w:sz w:val="19"/>
          <w:szCs w:val="19"/>
        </w:rPr>
        <w:t xml:space="preserve">Reported errors and potential fraud to the Financial Risk Management Committee (FRMC) and maintained office policies and procedures to support compliance.</w:t>
      </w:r>
    </w:p>
    <w:p>
      <w:pPr>
        <w:pStyle w:val="ListParagraph"/>
        <w:numPr>
          <w:ilvl w:val="0"/>
          <w:numId w:val="2"/>
        </w:numPr>
        <w:spacing w:after="20" w:line="252"/>
      </w:pPr>
      <w:r>
        <w:rPr>
          <w:rFonts w:ascii="Calibri" w:cs="Calibri" w:eastAsia="Calibri" w:hAnsi="Calibri"/>
          <w:color w:val="1F2933"/>
          <w:sz w:val="19"/>
          <w:szCs w:val="19"/>
        </w:rPr>
        <w:t xml:space="preserve">Contributed to process improvement initiatives and staff training to raise departmental efficiency; presented updates to senior management.</w:t>
      </w:r>
    </w:p>
    <w:p>
      <w:pPr>
        <w:keepNext/>
        <w:tabs>
          <w:tab w:val="right" w:pos="10466"/>
        </w:tabs>
        <w:spacing w:after="0" w:before="100"/>
      </w:pPr>
      <w:r>
        <w:rPr>
          <w:rFonts w:ascii="Calibri" w:cs="Calibri" w:eastAsia="Calibri" w:hAnsi="Calibri"/>
          <w:b/>
          <w:bCs/>
          <w:color w:val="1F2933"/>
          <w:sz w:val="20"/>
          <w:szCs w:val="20"/>
        </w:rPr>
        <w:t xml:space="preserve">Customer Service Representative – Branch Banking (Credit)</w:t>
      </w:r>
      <w:r>
        <w:rPr>
          <w:rFonts w:ascii="Calibri" w:cs="Calibri" w:eastAsia="Calibri" w:hAnsi="Calibri"/>
          <w:b/>
          <w:bCs/>
          <w:color w:val="52606D"/>
          <w:sz w:val="18"/>
          <w:szCs w:val="18"/>
        </w:rPr>
        <w:t xml:space="preserve">	Dec 2015 – Sep 2019</w:t>
      </w:r>
    </w:p>
    <w:p>
      <w:pPr>
        <w:pStyle w:val="ListParagraph"/>
        <w:numPr>
          <w:ilvl w:val="0"/>
          <w:numId w:val="2"/>
        </w:numPr>
        <w:spacing w:after="20" w:line="252"/>
      </w:pPr>
      <w:r>
        <w:rPr>
          <w:rFonts w:ascii="Calibri" w:cs="Calibri" w:eastAsia="Calibri" w:hAnsi="Calibri"/>
          <w:color w:val="1F2933"/>
          <w:sz w:val="19"/>
          <w:szCs w:val="19"/>
        </w:rPr>
        <w:t xml:space="preserve">Collected and reviewed client documentation, evaluated applicants and prepared comprehensive credit papers to support lending decisions.</w:t>
      </w:r>
    </w:p>
    <w:p>
      <w:pPr>
        <w:pStyle w:val="ListParagraph"/>
        <w:numPr>
          <w:ilvl w:val="0"/>
          <w:numId w:val="2"/>
        </w:numPr>
        <w:spacing w:after="20" w:line="252"/>
      </w:pPr>
      <w:r>
        <w:rPr>
          <w:rFonts w:ascii="Calibri" w:cs="Calibri" w:eastAsia="Calibri" w:hAnsi="Calibri"/>
          <w:color w:val="1F2933"/>
          <w:sz w:val="19"/>
          <w:szCs w:val="19"/>
        </w:rPr>
        <w:t xml:space="preserve">Prepared offer letters, personal guarantees and </w:t>
      </w:r>
      <w:r>
        <w:rPr>
          <w:rFonts w:ascii="Calibri" w:cs="Calibri" w:eastAsia="Calibri" w:hAnsi="Calibri"/>
          <w:b/>
          <w:bCs/>
          <w:color w:val="1F2933"/>
          <w:sz w:val="19"/>
          <w:szCs w:val="19"/>
        </w:rPr>
        <w:t xml:space="preserve">mortgage bonds</w:t>
      </w:r>
      <w:r>
        <w:rPr>
          <w:rFonts w:ascii="Calibri" w:cs="Calibri" w:eastAsia="Calibri" w:hAnsi="Calibri"/>
          <w:color w:val="1F2933"/>
          <w:sz w:val="19"/>
          <w:szCs w:val="19"/>
        </w:rPr>
        <w:t xml:space="preserve">, working with retained lawyers to ensure accuracy.</w:t>
      </w:r>
    </w:p>
    <w:p>
      <w:pPr>
        <w:pStyle w:val="ListParagraph"/>
        <w:numPr>
          <w:ilvl w:val="0"/>
          <w:numId w:val="2"/>
        </w:numPr>
        <w:spacing w:after="20" w:line="252"/>
      </w:pPr>
      <w:r>
        <w:rPr>
          <w:rFonts w:ascii="Calibri" w:cs="Calibri" w:eastAsia="Calibri" w:hAnsi="Calibri"/>
          <w:color w:val="1F2933"/>
          <w:sz w:val="19"/>
          <w:szCs w:val="19"/>
        </w:rPr>
        <w:t xml:space="preserve">Coordinated with panel valuers through the property valuation process and managed title clearance for properties to be mortgaged.</w:t>
      </w:r>
    </w:p>
    <w:p>
      <w:pPr>
        <w:pStyle w:val="ListParagraph"/>
        <w:numPr>
          <w:ilvl w:val="0"/>
          <w:numId w:val="2"/>
        </w:numPr>
        <w:spacing w:after="20" w:line="252"/>
      </w:pPr>
      <w:r>
        <w:rPr>
          <w:rFonts w:ascii="Calibri" w:cs="Calibri" w:eastAsia="Calibri" w:hAnsi="Calibri"/>
          <w:color w:val="1F2933"/>
          <w:sz w:val="19"/>
          <w:szCs w:val="19"/>
        </w:rPr>
        <w:t xml:space="preserve">Conducted site visits for property and business assessments; prepared constructed accounts for SME clients to assess repayment capacity.</w:t>
      </w:r>
    </w:p>
    <w:p>
      <w:pPr>
        <w:pStyle w:val="ListParagraph"/>
        <w:numPr>
          <w:ilvl w:val="0"/>
          <w:numId w:val="2"/>
        </w:numPr>
        <w:spacing w:after="20" w:line="252"/>
      </w:pPr>
      <w:r>
        <w:rPr>
          <w:rFonts w:ascii="Calibri" w:cs="Calibri" w:eastAsia="Calibri" w:hAnsi="Calibri"/>
          <w:color w:val="1F2933"/>
          <w:sz w:val="19"/>
          <w:szCs w:val="19"/>
        </w:rPr>
        <w:t xml:space="preserve">Acted as primary point of contact for internal and external clients, delivering prompt, professional service by phone, email and in person.</w:t>
      </w:r>
    </w:p>
    <w:p>
      <w:pPr>
        <w:pStyle w:val="ListParagraph"/>
        <w:numPr>
          <w:ilvl w:val="0"/>
          <w:numId w:val="2"/>
        </w:numPr>
        <w:spacing w:after="20" w:line="252"/>
      </w:pPr>
      <w:r>
        <w:rPr>
          <w:rFonts w:ascii="Calibri" w:cs="Calibri" w:eastAsia="Calibri" w:hAnsi="Calibri"/>
          <w:color w:val="1F2933"/>
          <w:sz w:val="19"/>
          <w:szCs w:val="19"/>
        </w:rPr>
        <w:t xml:space="preserve">Prepared regular reports and kept financial data and records accurate and up to date.</w:t>
      </w:r>
    </w:p>
    <w:p>
      <w:pPr>
        <w:keepNext/>
        <w:tabs>
          <w:tab w:val="right" w:pos="10466"/>
        </w:tabs>
        <w:spacing w:after="0" w:before="100"/>
      </w:pPr>
      <w:r>
        <w:rPr>
          <w:rFonts w:ascii="Calibri" w:cs="Calibri" w:eastAsia="Calibri" w:hAnsi="Calibri"/>
          <w:b/>
          <w:bCs/>
          <w:color w:val="1F2933"/>
          <w:sz w:val="20"/>
          <w:szCs w:val="20"/>
        </w:rPr>
        <w:t xml:space="preserve">Finance Assistant – Accounting &amp; Reporting</w:t>
      </w:r>
      <w:r>
        <w:rPr>
          <w:rFonts w:ascii="Calibri" w:cs="Calibri" w:eastAsia="Calibri" w:hAnsi="Calibri"/>
          <w:b/>
          <w:bCs/>
          <w:color w:val="52606D"/>
          <w:sz w:val="18"/>
          <w:szCs w:val="18"/>
        </w:rPr>
        <w:t xml:space="preserve">	Oct 2012 – Nov 2015</w:t>
      </w:r>
    </w:p>
    <w:p>
      <w:pPr>
        <w:pStyle w:val="ListParagraph"/>
        <w:numPr>
          <w:ilvl w:val="0"/>
          <w:numId w:val="2"/>
        </w:numPr>
        <w:spacing w:after="20" w:line="252"/>
      </w:pPr>
      <w:r>
        <w:rPr>
          <w:rFonts w:ascii="Calibri" w:cs="Calibri" w:eastAsia="Calibri" w:hAnsi="Calibri"/>
          <w:color w:val="1F2933"/>
          <w:sz w:val="19"/>
          <w:szCs w:val="19"/>
        </w:rPr>
        <w:t xml:space="preserve">Verified payment vouchers before posting; carried out bank and creditor reconciliations, identifying and resolving discrepancies.</w:t>
      </w:r>
    </w:p>
    <w:p>
      <w:pPr>
        <w:pStyle w:val="ListParagraph"/>
        <w:numPr>
          <w:ilvl w:val="0"/>
          <w:numId w:val="2"/>
        </w:numPr>
        <w:spacing w:after="20" w:line="252"/>
      </w:pPr>
      <w:r>
        <w:rPr>
          <w:rFonts w:ascii="Calibri" w:cs="Calibri" w:eastAsia="Calibri" w:hAnsi="Calibri"/>
          <w:color w:val="1F2933"/>
          <w:sz w:val="19"/>
          <w:szCs w:val="19"/>
        </w:rPr>
        <w:t xml:space="preserve">Computed and arranged VAT payments to the Inland Revenue Department in line with tax regulations.</w:t>
      </w:r>
    </w:p>
    <w:p>
      <w:pPr>
        <w:pStyle w:val="ListParagraph"/>
        <w:numPr>
          <w:ilvl w:val="0"/>
          <w:numId w:val="2"/>
        </w:numPr>
        <w:spacing w:after="20" w:line="252"/>
      </w:pPr>
      <w:r>
        <w:rPr>
          <w:rFonts w:ascii="Calibri" w:cs="Calibri" w:eastAsia="Calibri" w:hAnsi="Calibri"/>
          <w:color w:val="1F2933"/>
          <w:sz w:val="19"/>
          <w:szCs w:val="19"/>
        </w:rPr>
        <w:t xml:space="preserve">Produced schedules and reports for senior management in Excel and supported external auditors and annual report preparation.</w:t>
      </w:r>
    </w:p>
    <w:p>
      <w:pPr>
        <w:keepNext/>
        <w:tabs>
          <w:tab w:val="right" w:pos="10466"/>
        </w:tabs>
        <w:spacing w:after="0" w:before="100"/>
      </w:pPr>
      <w:r>
        <w:rPr>
          <w:rFonts w:ascii="Calibri" w:cs="Calibri" w:eastAsia="Calibri" w:hAnsi="Calibri"/>
          <w:b/>
          <w:bCs/>
          <w:color w:val="1F2933"/>
          <w:sz w:val="20"/>
          <w:szCs w:val="20"/>
        </w:rPr>
        <w:t xml:space="preserve">Credit Administrator – Credit Administration</w:t>
      </w:r>
      <w:r>
        <w:rPr>
          <w:rFonts w:ascii="Calibri" w:cs="Calibri" w:eastAsia="Calibri" w:hAnsi="Calibri"/>
          <w:b/>
          <w:bCs/>
          <w:color w:val="52606D"/>
          <w:sz w:val="18"/>
          <w:szCs w:val="18"/>
        </w:rPr>
        <w:t xml:space="preserve">	Jan 2008 – Sep 2012</w:t>
      </w:r>
    </w:p>
    <w:p>
      <w:pPr>
        <w:pStyle w:val="ListParagraph"/>
        <w:numPr>
          <w:ilvl w:val="0"/>
          <w:numId w:val="2"/>
        </w:numPr>
        <w:spacing w:after="20" w:line="252"/>
      </w:pPr>
      <w:r>
        <w:rPr>
          <w:rFonts w:ascii="Calibri" w:cs="Calibri" w:eastAsia="Calibri" w:hAnsi="Calibri"/>
          <w:color w:val="1F2933"/>
          <w:sz w:val="19"/>
          <w:szCs w:val="19"/>
        </w:rPr>
        <w:t xml:space="preserve">Reviewed loan applications for compliance with internal policy and regulatory requirements; processed disbursements with accurate, timely documentation.</w:t>
      </w:r>
    </w:p>
    <w:p>
      <w:pPr>
        <w:pStyle w:val="ListParagraph"/>
        <w:numPr>
          <w:ilvl w:val="0"/>
          <w:numId w:val="2"/>
        </w:numPr>
        <w:spacing w:after="20" w:line="252"/>
      </w:pPr>
      <w:r>
        <w:rPr>
          <w:rFonts w:ascii="Calibri" w:cs="Calibri" w:eastAsia="Calibri" w:hAnsi="Calibri"/>
          <w:color w:val="1F2933"/>
          <w:sz w:val="19"/>
          <w:szCs w:val="19"/>
        </w:rPr>
        <w:t xml:space="preserve">Handled loan modifications, refinancing and restructuring; issued, amended and cancelled bank guarantees.</w:t>
      </w:r>
    </w:p>
    <w:p>
      <w:pPr>
        <w:pStyle w:val="ListParagraph"/>
        <w:numPr>
          <w:ilvl w:val="0"/>
          <w:numId w:val="2"/>
        </w:numPr>
        <w:spacing w:after="20" w:line="252"/>
      </w:pPr>
      <w:r>
        <w:rPr>
          <w:rFonts w:ascii="Calibri" w:cs="Calibri" w:eastAsia="Calibri" w:hAnsi="Calibri"/>
          <w:color w:val="1F2933"/>
          <w:sz w:val="19"/>
          <w:szCs w:val="19"/>
        </w:rPr>
        <w:t xml:space="preserve">Carried out collateral assessments and managed the </w:t>
      </w:r>
      <w:r>
        <w:rPr>
          <w:rFonts w:ascii="Calibri" w:cs="Calibri" w:eastAsia="Calibri" w:hAnsi="Calibri"/>
          <w:b/>
          <w:bCs/>
          <w:color w:val="1F2933"/>
          <w:sz w:val="19"/>
          <w:szCs w:val="19"/>
        </w:rPr>
        <w:t xml:space="preserve">release and cancellation of mortgages</w:t>
      </w:r>
      <w:r>
        <w:rPr>
          <w:rFonts w:ascii="Calibri" w:cs="Calibri" w:eastAsia="Calibri" w:hAnsi="Calibri"/>
          <w:color w:val="1F2933"/>
          <w:sz w:val="19"/>
          <w:szCs w:val="19"/>
        </w:rPr>
        <w:t xml:space="preserve"> on full settlement.</w:t>
      </w:r>
    </w:p>
    <w:p>
      <w:pPr>
        <w:pStyle w:val="ListParagraph"/>
        <w:numPr>
          <w:ilvl w:val="0"/>
          <w:numId w:val="2"/>
        </w:numPr>
        <w:spacing w:after="20" w:line="252"/>
      </w:pPr>
      <w:r>
        <w:rPr>
          <w:rFonts w:ascii="Calibri" w:cs="Calibri" w:eastAsia="Calibri" w:hAnsi="Calibri"/>
          <w:color w:val="1F2933"/>
          <w:sz w:val="19"/>
          <w:szCs w:val="19"/>
        </w:rPr>
        <w:t xml:space="preserve">Prepared portfolio reports and regulatory returns, ensuring timely submission and responding to regulator feedback.</w:t>
      </w:r>
    </w:p>
    <w:p>
      <w:pPr>
        <w:keepNext/>
        <w:tabs>
          <w:tab w:val="right" w:pos="10466"/>
        </w:tabs>
        <w:spacing w:after="0" w:before="100"/>
      </w:pPr>
      <w:r>
        <w:rPr>
          <w:rFonts w:ascii="Calibri" w:cs="Calibri" w:eastAsia="Calibri" w:hAnsi="Calibri"/>
          <w:b/>
          <w:bCs/>
          <w:color w:val="1F2933"/>
          <w:sz w:val="20"/>
          <w:szCs w:val="20"/>
        </w:rPr>
        <w:t xml:space="preserve">Accounts Assistant</w:t>
      </w:r>
      <w:r>
        <w:rPr>
          <w:rFonts w:ascii="Calibri" w:cs="Calibri" w:eastAsia="Calibri" w:hAnsi="Calibri"/>
          <w:b/>
          <w:bCs/>
          <w:color w:val="52606D"/>
          <w:sz w:val="18"/>
          <w:szCs w:val="18"/>
        </w:rPr>
        <w:t xml:space="preserve">	Aug 2006 – Jan 2008</w:t>
      </w:r>
    </w:p>
    <w:p>
      <w:pPr>
        <w:keepNext/>
        <w:spacing w:after="30"/>
      </w:pPr>
      <w:r>
        <w:rPr>
          <w:rFonts w:ascii="Calibri" w:cs="Calibri" w:eastAsia="Calibri" w:hAnsi="Calibri"/>
          <w:b/>
          <w:bCs/>
          <w:color w:val="1D4E6B"/>
          <w:sz w:val="19"/>
          <w:szCs w:val="19"/>
        </w:rPr>
        <w:t xml:space="preserve">Asha Shipping Ltd (Pership Group)</w:t>
      </w:r>
      <w:r>
        <w:rPr>
          <w:rFonts w:ascii="Calibri" w:cs="Calibri" w:eastAsia="Calibri" w:hAnsi="Calibri"/>
          <w:color w:val="52606D"/>
          <w:sz w:val="19"/>
          <w:szCs w:val="19"/>
        </w:rPr>
        <w:t xml:space="preserve">  ·  Sri Lanka</w:t>
      </w:r>
    </w:p>
    <w:p>
      <w:pPr>
        <w:pStyle w:val="ListParagraph"/>
        <w:numPr>
          <w:ilvl w:val="0"/>
          <w:numId w:val="2"/>
        </w:numPr>
        <w:spacing w:after="20" w:line="252"/>
      </w:pPr>
      <w:r>
        <w:rPr>
          <w:rFonts w:ascii="Calibri" w:cs="Calibri" w:eastAsia="Calibri" w:hAnsi="Calibri"/>
          <w:color w:val="1F2933"/>
          <w:sz w:val="19"/>
          <w:szCs w:val="19"/>
        </w:rPr>
        <w:t xml:space="preserve">Managed freight charge collections, payments and reconciliations, maintaining accurate financial records and databases.</w:t>
      </w:r>
    </w:p>
    <w:p>
      <w:pPr>
        <w:pStyle w:val="ListParagraph"/>
        <w:numPr>
          <w:ilvl w:val="0"/>
          <w:numId w:val="2"/>
        </w:numPr>
        <w:spacing w:after="20" w:line="252"/>
      </w:pPr>
      <w:r>
        <w:rPr>
          <w:rFonts w:ascii="Calibri" w:cs="Calibri" w:eastAsia="Calibri" w:hAnsi="Calibri"/>
          <w:color w:val="1F2933"/>
          <w:sz w:val="19"/>
          <w:szCs w:val="19"/>
        </w:rPr>
        <w:t xml:space="preserve">Resolved customer invoicing and payment queries and prepared regular financial reports for management.</w:t>
      </w:r>
    </w:p>
    <w:p>
      <w:pPr>
        <w:pBdr>
          <w:bottom w:val="single" w:color="D9E2EC" w:sz="6" w:space="2"/>
        </w:pBdr>
        <w:spacing w:after="90" w:before="200"/>
      </w:pPr>
      <w:r>
        <w:rPr>
          <w:rFonts w:ascii="Calibri" w:cs="Calibri" w:eastAsia="Calibri" w:hAnsi="Calibri"/>
          <w:b/>
          <w:bCs/>
          <w:color w:val="1D4E6B"/>
          <w:spacing w:val="30"/>
          <w:sz w:val="21"/>
          <w:szCs w:val="21"/>
        </w:rPr>
        <w:t xml:space="preserve">EDUCATION &amp; QUALIFICATIONS</w:t>
      </w:r>
    </w:p>
    <w:p>
      <w:pPr>
        <w:keepNext/>
        <w:tabs>
          <w:tab w:val="right" w:pos="10466"/>
        </w:tabs>
        <w:spacing w:before="70"/>
      </w:pPr>
      <w:r>
        <w:rPr>
          <w:rFonts w:ascii="Calibri" w:cs="Calibri" w:eastAsia="Calibri" w:hAnsi="Calibri"/>
          <w:b/>
          <w:bCs/>
          <w:color w:val="1F2933"/>
          <w:sz w:val="19"/>
          <w:szCs w:val="19"/>
        </w:rPr>
        <w:t xml:space="preserve">MSc Business Administration and Management</w:t>
      </w:r>
      <w:r>
        <w:rPr>
          <w:rFonts w:ascii="Calibri" w:cs="Calibri" w:eastAsia="Calibri" w:hAnsi="Calibri"/>
          <w:b/>
          <w:bCs/>
          <w:color w:val="1D4E6B"/>
          <w:sz w:val="17"/>
          <w:szCs w:val="17"/>
        </w:rPr>
        <w:t xml:space="preserve">   Commendation</w:t>
      </w:r>
      <w:r>
        <w:rPr>
          <w:rFonts w:ascii="Calibri" w:cs="Calibri" w:eastAsia="Calibri" w:hAnsi="Calibri"/>
          <w:b/>
          <w:bCs/>
          <w:color w:val="52606D"/>
          <w:sz w:val="18"/>
          <w:szCs w:val="18"/>
        </w:rPr>
        <w:t xml:space="preserve">	2023 – 2024</w:t>
      </w:r>
    </w:p>
    <w:p>
      <w:r>
        <w:rPr>
          <w:rFonts w:ascii="Calibri" w:cs="Calibri" w:eastAsia="Calibri" w:hAnsi="Calibri"/>
          <w:color w:val="52606D"/>
          <w:sz w:val="19"/>
          <w:szCs w:val="19"/>
        </w:rPr>
        <w:t xml:space="preserve">Northumbria University, Newcastle, UK</w:t>
      </w:r>
    </w:p>
    <w:p>
      <w:pPr>
        <w:keepNext/>
        <w:tabs>
          <w:tab w:val="right" w:pos="10466"/>
        </w:tabs>
        <w:spacing w:before="70"/>
      </w:pPr>
      <w:r>
        <w:rPr>
          <w:rFonts w:ascii="Calibri" w:cs="Calibri" w:eastAsia="Calibri" w:hAnsi="Calibri"/>
          <w:b/>
          <w:bCs/>
          <w:color w:val="1F2933"/>
          <w:sz w:val="19"/>
          <w:szCs w:val="19"/>
        </w:rPr>
        <w:t xml:space="preserve">Master of Business Administration (MBA)</w:t>
      </w:r>
      <w:r>
        <w:rPr>
          <w:rFonts w:ascii="Calibri" w:cs="Calibri" w:eastAsia="Calibri" w:hAnsi="Calibri"/>
          <w:b/>
          <w:bCs/>
          <w:color w:val="1D4E6B"/>
          <w:sz w:val="17"/>
          <w:szCs w:val="17"/>
        </w:rPr>
        <w:t xml:space="preserve">   Merit</w:t>
      </w:r>
    </w:p>
    <w:p>
      <w:r>
        <w:rPr>
          <w:rFonts w:ascii="Calibri" w:cs="Calibri" w:eastAsia="Calibri" w:hAnsi="Calibri"/>
          <w:color w:val="52606D"/>
          <w:sz w:val="19"/>
          <w:szCs w:val="19"/>
        </w:rPr>
        <w:t xml:space="preserve">Cardiff Metropolitan University, UK</w:t>
      </w:r>
    </w:p>
    <w:p>
      <w:pPr>
        <w:keepNext/>
        <w:tabs>
          <w:tab w:val="right" w:pos="10466"/>
        </w:tabs>
        <w:spacing w:before="70"/>
      </w:pPr>
      <w:r>
        <w:rPr>
          <w:rFonts w:ascii="Calibri" w:cs="Calibri" w:eastAsia="Calibri" w:hAnsi="Calibri"/>
          <w:b/>
          <w:bCs/>
          <w:color w:val="1F2933"/>
          <w:sz w:val="19"/>
          <w:szCs w:val="19"/>
        </w:rPr>
        <w:t xml:space="preserve">BA (Hons) Leadership and Management</w:t>
      </w:r>
      <w:r>
        <w:rPr>
          <w:rFonts w:ascii="Calibri" w:cs="Calibri" w:eastAsia="Calibri" w:hAnsi="Calibri"/>
          <w:b/>
          <w:bCs/>
          <w:color w:val="1D4E6B"/>
          <w:sz w:val="17"/>
          <w:szCs w:val="17"/>
        </w:rPr>
        <w:t xml:space="preserve">   First Class Honours</w:t>
      </w:r>
      <w:r>
        <w:rPr>
          <w:rFonts w:ascii="Calibri" w:cs="Calibri" w:eastAsia="Calibri" w:hAnsi="Calibri"/>
          <w:b/>
          <w:bCs/>
          <w:color w:val="52606D"/>
          <w:sz w:val="18"/>
          <w:szCs w:val="18"/>
        </w:rPr>
        <w:t xml:space="preserve">	2005 – 2007</w:t>
      </w:r>
    </w:p>
    <w:p>
      <w:r>
        <w:rPr>
          <w:rFonts w:ascii="Calibri" w:cs="Calibri" w:eastAsia="Calibri" w:hAnsi="Calibri"/>
          <w:color w:val="52606D"/>
          <w:sz w:val="19"/>
          <w:szCs w:val="19"/>
        </w:rPr>
        <w:t xml:space="preserve">Northumbria University, Newcastle, UK</w:t>
      </w:r>
    </w:p>
    <w:p>
      <w:pPr>
        <w:keepNext/>
        <w:tabs>
          <w:tab w:val="right" w:pos="10466"/>
        </w:tabs>
        <w:spacing w:before="70"/>
      </w:pPr>
      <w:r>
        <w:rPr>
          <w:rFonts w:ascii="Calibri" w:cs="Calibri" w:eastAsia="Calibri" w:hAnsi="Calibri"/>
          <w:b/>
          <w:bCs/>
          <w:color w:val="1F2933"/>
          <w:sz w:val="19"/>
          <w:szCs w:val="19"/>
        </w:rPr>
        <w:t xml:space="preserve">Diploma in Banking and Finance  ·  Certificate in Banking and Finance</w:t>
      </w:r>
      <w:r>
        <w:rPr>
          <w:rFonts w:ascii="Calibri" w:cs="Calibri" w:eastAsia="Calibri" w:hAnsi="Calibri"/>
          <w:b/>
          <w:bCs/>
          <w:color w:val="52606D"/>
          <w:sz w:val="18"/>
          <w:szCs w:val="18"/>
        </w:rPr>
        <w:t xml:space="preserve">	2003 – 2004</w:t>
      </w:r>
    </w:p>
    <w:p>
      <w:r>
        <w:rPr>
          <w:rFonts w:ascii="Calibri" w:cs="Calibri" w:eastAsia="Calibri" w:hAnsi="Calibri"/>
          <w:color w:val="52606D"/>
          <w:sz w:val="19"/>
          <w:szCs w:val="19"/>
        </w:rPr>
        <w:t xml:space="preserve">Institute of Bankers, Sri Lanka</w:t>
      </w:r>
    </w:p>
    <w:p>
      <w:pPr>
        <w:keepNext/>
        <w:tabs>
          <w:tab w:val="right" w:pos="10466"/>
        </w:tabs>
        <w:spacing w:before="70"/>
      </w:pPr>
      <w:r>
        <w:rPr>
          <w:rFonts w:ascii="Calibri" w:cs="Calibri" w:eastAsia="Calibri" w:hAnsi="Calibri"/>
          <w:b/>
          <w:bCs/>
          <w:color w:val="1F2933"/>
          <w:sz w:val="19"/>
          <w:szCs w:val="19"/>
        </w:rPr>
        <w:t xml:space="preserve">Foundation Level in Chartered Accountancy (four subjects)</w:t>
      </w:r>
    </w:p>
    <w:p>
      <w:r>
        <w:rPr>
          <w:rFonts w:ascii="Calibri" w:cs="Calibri" w:eastAsia="Calibri" w:hAnsi="Calibri"/>
          <w:color w:val="52606D"/>
          <w:sz w:val="19"/>
          <w:szCs w:val="19"/>
        </w:rPr>
        <w:t xml:space="preserve">Institute of Chartered Accountants of Sri Lanka</w:t>
      </w:r>
    </w:p>
    <w:p>
      <w:pPr>
        <w:pBdr>
          <w:bottom w:val="single" w:color="D9E2EC" w:sz="6" w:space="2"/>
        </w:pBdr>
        <w:spacing w:after="90" w:before="200"/>
      </w:pPr>
      <w:r>
        <w:rPr>
          <w:rFonts w:ascii="Calibri" w:cs="Calibri" w:eastAsia="Calibri" w:hAnsi="Calibri"/>
          <w:b/>
          <w:bCs/>
          <w:color w:val="1D4E6B"/>
          <w:spacing w:val="30"/>
          <w:sz w:val="21"/>
          <w:szCs w:val="21"/>
        </w:rPr>
        <w:t xml:space="preserve">ADDITIONAL INFORMATION</w:t>
      </w:r>
    </w:p>
    <w:p>
      <w:r>
        <w:rPr>
          <w:rFonts w:ascii="Calibri" w:cs="Calibri" w:eastAsia="Calibri" w:hAnsi="Calibri"/>
          <w:color w:val="1F2933"/>
          <w:sz w:val="19"/>
          <w:szCs w:val="19"/>
        </w:rPr>
        <w:t xml:space="preserve">Available for full-time, hybrid working (Monday – Friday). References available on request.</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1D4E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cu4cchmipww5qhsmgot6" Type="http://schemas.openxmlformats.org/officeDocument/2006/relationships/hyperlink" Target="mailto:swarnathilak.janani@gmail.com" TargetMode="External"/><Relationship Id="rIddatx9ke0bih3cbtuzxjug" Type="http://schemas.openxmlformats.org/officeDocument/2006/relationships/hyperlink" Target="https://www.linkedin.com/in/janani-swarnathilaka-5b5a071b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Janani Swarnathilaka - CV</dc:title>
  <dc:creator>Janani Swarnathilaka</dc:creator>
  <cp:lastModifiedBy>Un-named</cp:lastModifiedBy>
  <cp:revision>1</cp:revision>
  <dcterms:created xsi:type="dcterms:W3CDTF">2026-10-04T18:07:55.506Z</dcterms:created>
  <dcterms:modified xsi:type="dcterms:W3CDTF">2026-10-04T18:07:55.506Z</dcterms:modified>
</cp:coreProperties>
</file>

<file path=docProps/custom.xml><?xml version="1.0" encoding="utf-8"?>
<Properties xmlns="http://schemas.openxmlformats.org/officeDocument/2006/custom-properties" xmlns:vt="http://schemas.openxmlformats.org/officeDocument/2006/docPropsVTypes"/>
</file>