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Generative Artificial Intelligence Enhanced Hybrid Recommender System for Cold Start Mitigation in Online Retail</w:t>
      </w:r>
    </w:p>
    <w:p>
      <w:pPr>
        <w:pStyle w:val="Subtitle"/>
      </w:pPr>
      <w:r>
        <w:t>Pasal thesis working draft</w:t>
      </w:r>
    </w:p>
    <w:p>
      <w:r>
        <w:t>Rajiv Ganeju | Student ID 240009</w:t>
      </w:r>
    </w:p>
    <w:p>
      <w:r>
        <w:t>Prepared 15 October 2026</w:t>
      </w:r>
    </w:p>
    <w:p>
      <w:r>
        <w:t>Status: not submission-ready. This editable draft assembles verified methodology, implementation and development evidence. Final holdout results, the completed generation sample and final conclusions remain outstanding. No abstract claiming findings is supplied.</w:t>
      </w:r>
    </w:p>
    <w:p>
      <w:r>
        <w:t>The approved title retains the hyphenation “Generative Artificial Intelligence-Enhanced Hybrid Recommender System for Cold-Start Mitigation in Online Retail.” The cover typography above uses the same wording without punctuation.</w:t>
      </w:r>
    </w:p>
    <w:p>
      <w:pPr>
        <w:pStyle w:val="Heading1"/>
      </w:pPr>
      <w:r>
        <w:t>Contents</w:t>
      </w:r>
    </w:p>
    <w:p>
      <w:r>
        <w:t>1 Introduction</w:t>
      </w:r>
    </w:p>
    <w:p>
      <w:r>
        <w:t>2 Related work</w:t>
      </w:r>
    </w:p>
    <w:p>
      <w:r>
        <w:t>3 Methodology</w:t>
      </w:r>
    </w:p>
    <w:p>
      <w:r>
        <w:t>4 System implementation</w:t>
      </w:r>
    </w:p>
    <w:p>
      <w:r>
        <w:t>5 Development results and discussion</w:t>
      </w:r>
    </w:p>
    <w:p>
      <w:r>
        <w:t>Verified references</w:t>
      </w:r>
    </w:p>
    <w:p>
      <w:r>
        <w:t>Institution-specific word limits, citation style and submission template have not been supplied. Final formatting must be checked against those requirements.</w:t>
      </w:r>
    </w:p>
    <w:p>
      <w:r>
        <w:br w:type="page"/>
      </w:r>
    </w:p>
    <w:p>
      <w:pPr>
        <w:pStyle w:val="Heading1"/>
      </w:pPr>
      <w:r>
        <w:t>1 Introduction</w:t>
      </w:r>
    </w:p>
    <w:p>
      <w:pPr>
        <w:pStyle w:val="Heading2"/>
      </w:pPr>
      <w:r>
        <w:t>1.1 Research problem</w:t>
      </w:r>
    </w:p>
    <w:p>
      <w:r>
        <w:t>Pasal examines recommendation under limited behavioural evidence. A new visitor has no interaction history from which to estimate individual interests. A visitor with a few interactions offers some evidence, but that evidence may be insufficient for reliable collaborative neighbourhoods. A fixed combination of recommendation components applies the same weighting rule across these situations. This project investigates whether an explicit, validation-tuned switching rule can allocate different components according to the evidence available for each user.</w:t>
      </w:r>
    </w:p>
    <w:p>
      <w:r>
        <w:t>The project also examines a constrained role for Generative AI. Generated catalogue descriptions can change the content representation, but they cannot legitimately recover product identities from anonymous codes without supporting evidence. The study therefore distinguishes generation from factual recovery. It evaluates a reviewed generated-text extension to the ordinary property representation rather than assuming that fluent text improves ranking.</w:t>
      </w:r>
    </w:p>
    <w:p>
      <w:r>
        <w:t>Pasal combines an offline Retailrocket experiment with an interactive e-commerce research prototype. The customer demonstration is oriented towards Kathmandu, while the research dataset is historical and does not establish a Nepalese user population. Separate synthetic demonstration products make the shopping interface understandable without pretending that an anonymous research item is a known brand or product. This separation is part of the research validity boundary.</w:t>
      </w:r>
    </w:p>
    <w:p>
      <w:pPr>
        <w:pStyle w:val="Heading2"/>
      </w:pPr>
      <w:r>
        <w:t>1.2 Aim and research questions</w:t>
      </w:r>
    </w:p>
    <w:p>
      <w:r>
        <w:t>The aim is to implement and evaluate an explainable switching hybrid recommender with genuinely generated metadata while preserving temporal validity, user control and transparent provenance. The approved proposal asks how validation-tuned switching compares with conventional and fixed-hybrid baselines across user-history cohorts and reduced interaction density. Its ethical question concerns safeguards for proportionate use of behavioural evidence and generated content.</w:t>
      </w:r>
    </w:p>
    <w:p>
      <w:r>
        <w:t>H1 concerns users with 1–19 historical interactions: switching should improve mean NDCG@10 over the strongest non-switching baseline, remain robust when training interaction density decreases, and avoid disproportionate API latency increases. H2 concerns users with 0–19 historical interactions: generated metadata should improve NDCG@10 over the equivalent non-generative switching configuration without disproportionate end-to-end latency or per-request cost. These are empirical claims to assess, not implementation acceptance criteria that must be made true.</w:t>
      </w:r>
    </w:p>
    <w:p>
      <w:r>
        <w:t>The ranking components are global popularity, category popularity, TF-IDF content similarity and item-based collaborative filtering. The comparisons add a tuned fixed hybrid and switching with and without generated metadata, giving seven configurations. The study does not introduce extra algorithms to replace those specified in the approved methodology.</w:t>
      </w:r>
    </w:p>
    <w:p>
      <w:pPr>
        <w:pStyle w:val="Heading2"/>
      </w:pPr>
      <w:r>
        <w:t>1.3 Scope and contribution</w:t>
      </w:r>
    </w:p>
    <w:p>
      <w:r>
        <w:t>The technical contribution is an auditable integration of chronological data preparation, historical metadata, reproducible recommenders, a transparent switching policy, constrained generation, and an interactive consent-controlled application. The experimental contribution depends on the final measured comparisons. Novelty is not claimed merely because the application combines familiar algorithms or uses a language model.</w:t>
      </w:r>
    </w:p>
    <w:p>
      <w:r>
        <w:t>Evaluation includes relevance at rank ten, catalogue coverage, common-feature-space diversity, interaction-density sensitivity, generation failures and usage, and service latency. Offline ranking and operational website measurements answer different questions and are reported separately. The generation study separates schema reliability, assistant grounding screening and independent human quality ratings; the last of these remains deferred and must not be implied by the others.</w:t>
      </w:r>
    </w:p>
    <w:p>
      <w:r>
        <w:t>The prototype supports accounts, explicit consent, preference and history reset, wishlist, cart and restricted administration. Synthetic prices and illustrations serve a demonstration purpose. Real payments, fulfilment and verified live inventory are outside scope. No demonstration interaction is appended to the frozen research experiments.</w:t>
      </w:r>
    </w:p>
    <w:p>
      <w:pPr>
        <w:pStyle w:val="Heading2"/>
      </w:pPr>
      <w:r>
        <w:t>1.4 Dissertation status and structure</w:t>
      </w:r>
    </w:p>
    <w:p>
      <w:r>
        <w:t>This chapter is part of the evidence-based draft. Final ranking results and the completed generation sample are still required before a submission abstract and final hypothesis conclusions can be written. The intended structure proceeds from related work to methodology, implementation, results, discussion and conclusion. Historical development results remain identified as such even after final results become available. The repository retains the original proposal and versioned evidence so that changes in implementation can be distinguished from changes in the approved research approach.</w:t>
      </w:r>
    </w:p>
    <w:p>
      <w:r>
        <w:br w:type="page"/>
      </w:r>
    </w:p>
    <w:p>
      <w:pPr>
        <w:pStyle w:val="Heading1"/>
      </w:pPr>
      <w:r>
        <w:t>2 Related work and design rationale</w:t>
      </w:r>
    </w:p>
    <w:p>
      <w:pPr>
        <w:pStyle w:val="Heading2"/>
      </w:pPr>
      <w:r>
        <w:t>2.1 Conventional components and hybridisation</w:t>
      </w:r>
    </w:p>
    <w:p>
      <w:r>
        <w:t>Sarwar et al. (2001) investigate item-based collaborative recommendation as an alternative to user-neighbourhood methods, with attention to recommendation quality and scalability. This provides a basis for including item-CF in Pasal. The paper's results do not establish how Pasal's weighted implicit events, sparse profiles or historical candidate constraints will behave; those require local evaluation. An item-CF component is therefore a baseline and an available switching branch, not an assumed solution to every cold-start case.</w:t>
      </w:r>
    </w:p>
    <w:p>
      <w:r>
        <w:t>TF-IDF provides a transparent content baseline: term weights reflect within-document frequency and inverse collection frequency, while cosine similarity compares normalised vectors (Manning, Raghavan and Schütze, 2008). In Pasal the tokens encode properties rather than readable retail descriptions. Similarity in this space means shared encoded evidence, not necessarily similarity that a customer would recognise. This distinction also limits the interpretation of diversity measured using the same property vectors.</w:t>
      </w:r>
    </w:p>
    <w:p>
      <w:r>
        <w:t>Burke (2002) surveys hybrid recommendation and demonstrates that combining recommendation evidence can improve a system in a particular setting. It motivates comparison between combinations, rather than a universal claim that hybrids win. Pasal operationalises the distinction between a fixed weighted combination and a history-dependent selection rule. Its thresholds and weights are chosen using validation evidence. The fixed hybrid remains a serious comparator: a more complex controller is not preferred merely because it is adaptive in design.</w:t>
      </w:r>
    </w:p>
    <w:p>
      <w:pPr>
        <w:pStyle w:val="Heading2"/>
      </w:pPr>
      <w:r>
        <w:t>2.2 Temporal validity and dataset semantics</w:t>
      </w:r>
    </w:p>
    <w:p>
      <w:r>
        <w:t>Ji et al. (2023) show that recommendation evaluation can leak future information when the global interaction timeline is not respected, and that leaked information can affect comparisons between models. The relevance to Pasal is methodological: both model fitting and metadata must precede the prediction origin. A chronological event split alone is insufficient if item properties are reconstructed from later observations. This study consequently records cutoffs and hashes for both events and metadata. Earlier validation exposure is disclosed rather than erased by renaming a partition.</w:t>
      </w:r>
    </w:p>
    <w:p>
      <w:r>
        <w:t>The Retailrocket publisher describes time-dependent item properties and anonymised values, with explicit category identifiers and availability flags. The dataset has 2,756,101 interactions and includes views, cart additions and transactions (Retailrocket, n.d.). This supports implicit-feedback experimentation, but it does not provide a trustworthy mapping from anonymous item IDs to contemporary product names, brands or images. Pasal's synthetic shop is separate for this reason. The published schema also explains why a historical availability flag must not be presented as current purchasability.</w:t>
      </w:r>
    </w:p>
    <w:p>
      <w:pPr>
        <w:pStyle w:val="Heading2"/>
      </w:pPr>
      <w:r>
        <w:t>2.3 Generative models within recommendation pipelines</w:t>
      </w:r>
    </w:p>
    <w:p>
      <w:r>
        <w:t>Lin et al. (2024) organise language-model integration across recommendation stages, including feature engineering, representation, ranking, interaction and control. Their taxonomy helps specify Pasal's narrower intervention: the language model contributes reviewed catalogue text while conventional components retain ranking control. The survey identifies effectiveness, efficiency and ethical challenges; it does not justify assuming that anonymous numeric metadata contains recoverable retail semantics.</w:t>
      </w:r>
    </w:p>
    <w:p>
      <w:r>
        <w:t>Pasal's design therefore tests a limited question: does source-grounded generated text add useful signal to the existing property representation under the available metadata and budget? Generation that merely repeats codes may pass grounding review yet add little information. Generic repeated prose may also increase similarity between otherwise unrelated items. These are plausible mechanisms to investigate, not observed causal explanations until supported by measured exposure and rankings. The ablation keeps the ordinary feature block and uses the same items and candidates so that changed treatment coverage cannot silently redefine the task.</w:t>
      </w:r>
    </w:p>
    <w:p>
      <w:pPr>
        <w:pStyle w:val="Heading2"/>
      </w:pPr>
      <w:r>
        <w:t>2.4 Synthesis and study boundaries</w:t>
      </w:r>
    </w:p>
    <w:p>
      <w:r>
        <w:t>The literature motivates complementary recommendation evidence, explicit temporal control and careful specification of where generation enters a system. Pasal brings these requirements together in a reproducible, resource-constrained prototype. The defensible research question is comparative effectiveness under this dataset and protocol. It is not whether language models can reconstruct hidden identities, whether switching always outperforms a fixed hybrid, or whether a Kathmandu-themed interface establishes local-market generalisability.</w:t>
      </w:r>
    </w:p>
    <w:p>
      <w:r>
        <w:t>This chapter is a focused verified foundation. The final literature chapter should also integrate the approved proposal's existing cited studies after checking each source and its relevance; no unverified proposal citation is treated as confirmed merely because it was previously included.</w:t>
      </w:r>
    </w:p>
    <w:p>
      <w:r>
        <w:br w:type="page"/>
      </w:r>
    </w:p>
    <w:p>
      <w:pPr>
        <w:pStyle w:val="Heading1"/>
      </w:pPr>
      <w:r>
        <w:t>3 Methodology</w:t>
      </w:r>
    </w:p>
    <w:p>
      <w:pPr>
        <w:pStyle w:val="Heading2"/>
      </w:pPr>
      <w:r>
        <w:t>3.1 Experimental design</w:t>
      </w:r>
    </w:p>
    <w:p>
      <w:r>
        <w:t>The approved research process uses Design Science Research, supported by CRISP-DM and Agile development. The design-science artifact is the integrated switching recommender and its research prototype. Problem identification concerns sparse interaction evidence; design and construction produce the data pipeline, models, generation safeguards and application; demonstration exercises the artifact; and evaluation assesses measured ranking and operational behaviour. Building a working artifact alone does not establish the research hypotheses.</w:t>
      </w:r>
    </w:p>
    <w:p>
      <w:r>
        <w:t>CRISP-DM provides the practical sequence of understanding the retail problem and dataset, preparing historical data, fitting models, evaluating outcomes and deploying the prototype. Iterative development addresses defects in small changes with tests and versioned evidence. These iterations may improve implementation, but they do not justify changing frozen outcomes or retuning on the final test partition.</w:t>
      </w:r>
    </w:p>
    <w:p>
      <w:r>
        <w:t>The controlled comparison uses the seven configurations in the approved proposal: global popularity, category popularity, TF-IDF content similarity, item-based collaborative filtering, a fixed hybrid, switching without generated metadata and switching with generated metadata. The ambiguous diagram labels do not introduce user-user filtering or BERT4Rec. The enumerated methodology determines the implementation. The generation ablation changes the content representation while holding the switching policy, item universe and ordinary features constant.</w:t>
      </w:r>
    </w:p>
    <w:p>
      <w:r>
        <w:t>Retailrocket supplies 2,756,101 timestamped events and anonymous item properties. The corrected split sorts events chronologically, retaining source order for ties, and allocates 1,929,270 events to training, 413,415 to validation and 413,416 to planned testing. The boundary rule keeps simultaneous events together; there are no count changes due to boundary ties in this dataset. The original time-duration split remains preserved as historical evidence.</w:t>
      </w:r>
    </w:p>
    <w:p>
      <w:r>
        <w:t>Repartitioning moved 47,040 previously used validation events into the planned test partition. These events cannot become unseen merely by renaming the split. Accordingly, the primary final population is the intersection with the untouched original test period, after timestamp 1440756695565. The full event-count test partition is a secondary, historically exposed analysis. Both are disclosed and neither is used to retune the selected models. This follows the temporal-validity concern described by Ji et al. (2023).</w:t>
      </w:r>
    </w:p>
    <w:p>
      <w:pPr>
        <w:pStyle w:val="Heading2"/>
      </w:pPr>
      <w:r>
        <w:t>3.2 Historical features and recommendation histories</w:t>
      </w:r>
    </w:p>
    <w:p>
      <w:r>
        <w:t>Item properties are reconstructed before the prediction origin. The latest eligible observation for each item-property pair is retained; conflicting values at the same latest timestamp are marked ambiguous. Availability is a historical flag, not a guarantee that a product can currently be purchased. The feature manifest records its cutoff and input fingerprints.</w:t>
      </w:r>
    </w:p>
    <w:p>
      <w:r>
        <w:t>User profiles contain recent distinct items ordered by their last interaction. A separate complete seen-item set excludes older interactions from recommendations even when they fall outside the profile window. Reporting cohorts count events, including repeated interactions: 0, 1–4, 5–19 and 20+. They are not interchangeable with the independently tuned switching thresholds.</w:t>
      </w:r>
    </w:p>
    <w:p>
      <w:r>
        <w:t>For final testing, models and histories remain fixed to the original training partition. Validation interactions are not appended and models are not refitted on validation. Test predictions therefore assess a longer forecast horizon from the same origin. This choice avoids silently changing a tuned system but limits claims about continuously updating production recommenders.</w:t>
      </w:r>
    </w:p>
    <w:p>
      <w:pPr>
        <w:pStyle w:val="Heading2"/>
      </w:pPr>
      <w:r>
        <w:t>3.3 Tuning and generation intervention</w:t>
      </w:r>
    </w:p>
    <w:p>
      <w:r>
        <w:t>The selected fixed-hybrid weights are .50 content, .25 collaborative filtering and .25 popularity. The selected switching settings use history thresholds 2 and 10, confidence threshold .25 and collaborative weight .25. Selection occurred on validation data. Tuning and development assessment use separate 200-user samples; these small samples limit the precision of parameter selection.</w:t>
      </w:r>
    </w:p>
    <w:p>
      <w:r>
        <w:t>Genuine generation uses Groq Free with GPT-OSS 20B. Only allowlisted anonymous catalogue properties enter the provider prompt. User identities, histories and preferences remain local. Responses are cached with input provenance, model, prompt/schema versions and token allowance. Schema validation checks structure and citations; subsequent assistant grounding screening compares each response with its exact historical source. Approval is bound to the output hash. This screening is not an independent human quality rating.</w:t>
      </w:r>
    </w:p>
    <w:p>
      <w:r>
        <w:t>The uniform 32-item study assesses operational feasibility. A distinct frozen 128-item intervention selects items using training-only support among users eligible for the content route, to increase potential feature exposure. No final test outcomes inform selection. This targeted set is not representative of the catalogue and cannot estimate catalogue-wide generation quality. Failed requests are retained rather than replaced with favourable responses.</w:t>
      </w:r>
    </w:p>
    <w:p>
      <w:r>
        <w:t>Approved generated text forms an additional content-feature block. Every item retains its ordinary features; missing or rejected generations retain the base representation. Generated descriptions do not create product identities. Local strategy reasons explain the selected route, while optional reviewed text describes catalogue evidence. These two explanation sources remain distinguishable.</w:t>
      </w:r>
    </w:p>
    <w:p>
      <w:pPr>
        <w:pStyle w:val="Heading2"/>
      </w:pPr>
      <w:r>
        <w:t>3.4 Outcomes and statistical analysis</w:t>
      </w:r>
    </w:p>
    <w:p>
      <w:r>
        <w:t>At rank ten the evaluator reports precision, recall, NDCG, average precision and hit rate. Precision uses ten recommendation slots, including missing slots as misses. Recall divides retrieved relevant items by the novel target count. NDCG discounts a relevant result by log base two of rank plus one and normalises by the ideal ordering. Average precision averages precision at relevant ranks with the declared rank-ten denominator. The implementation and fixtures define edge cases; users without novel targets receive zero and remain in headline results.</w:t>
      </w:r>
    </w:p>
    <w:p>
      <w:r>
        <w:t>Every configuration receives the same population, candidate rules and histories. Invalid or failed outputs become empty rankings rather than excluded users. Relevant unavailable targets remain in headline denominators; eligible-target metrics are secondary. Coverage and diversity use a common candidate universe and ordinary-property space. Anonymous-code diversity is not human semantic diversity. Generation exposure and changed rankings are reported alongside scores.</w:t>
      </w:r>
    </w:p>
    <w:p>
      <w:r>
        <w:t>The final protocol samples at most 500 users per original-history cohort, uniformly without replacement with seed 42, keeping all users in smaller cohorts. It records population and sampled counts. H1 compares switching without GenAI with the validation-best non-switching baseline, the fixed hybrid, among users with 1–19 events. H2 compares switching with and without GenAI among users with 0–19 events. The 20+ cohort is descriptive. Each contrast weights its observed eligible cohorts equally, rather than estimating the population-frequency mean.</w:t>
      </w:r>
    </w:p>
    <w:p>
      <w:r>
        <w:t>Paired, within-cohort user bootstrap resampling supplies 95% percentile intervals from 2,000 resamples. Within-user label exchange supplies two-sided permutation p-values using at most 9,999 permutations. Holm adjustment controls the two primary comparisons at family alpha .05. Bootstrap intervals are marginal, not simultaneous. Label exchangeability is an assumption; these offline comparisons do not establish a causal deployment effect. Density and end-to-end efficiency remain separate parts of the compound hypotheses.</w:t>
      </w:r>
    </w:p>
    <w:p>
      <w:r>
        <w:t>Before any final outcomes are read, the freeze records code, model, source, configuration, review and split hashes. Execution refuses changed inputs or an unfinished generation sample. Existing result directories cannot be overwritten. This is a prospective execution control, not a claim of external preregistration.</w:t>
      </w:r>
    </w:p>
    <w:p>
      <w:pPr>
        <w:pStyle w:val="Heading2"/>
      </w:pPr>
      <w:r>
        <w:t>3.5 Ethics and reproducibility boundaries</w:t>
      </w:r>
    </w:p>
    <w:p>
      <w:r>
        <w:t>The application makes personalisation optional and separates operational cart and wishlist records from recommendation history. Revoking consent clears history and category preferences. Research identifiers are not linked to synthetic shop products. The user confirmed applicable human-review requirements, but independent reviewers are unavailable and that assessment is deferred. No assistant ratings are substituted for human participants.</w:t>
      </w:r>
    </w:p>
    <w:p>
      <w:r>
        <w:t>The repository retains versioned code, manifests, experimental summaries and execution instructions. Large local datasets and model binaries are excluded from Git. Reproduction therefore requires obtaining the original dataset and following the documented build sequence; a source checkout alone is insufficient.</w:t>
      </w:r>
    </w:p>
    <w:p>
      <w:r>
        <w:br w:type="page"/>
      </w:r>
    </w:p>
    <w:p>
      <w:pPr>
        <w:pStyle w:val="Heading1"/>
      </w:pPr>
      <w:r>
        <w:t>4 System implementation</w:t>
      </w:r>
    </w:p>
    <w:p>
      <w:pPr>
        <w:pStyle w:val="Heading2"/>
      </w:pPr>
      <w:r>
        <w:t>4.1 Architecture and data boundaries</w:t>
      </w:r>
    </w:p>
    <w:p>
      <w:r>
        <w:t>Pasal comprises a React/Vite client, an Express application API, MongoDB storage and a local FastAPI recommendation service. The browser uses the application API for accounts, preferences, catalogue operations and recommendations. The backend obtains research rankings from the recommendation service and hydrates identifiers against the corresponding catalogue. Offline data preparation and evaluation are separate processes with explicit artifact manifests.</w:t>
      </w:r>
    </w:p>
    <w:p>
      <w:r>
        <w:t>The customer shop contains 16 explicitly synthetic demonstration products with understandable categories, illustrative artwork and demonstration prices. Its identifiers and interaction records are separate from Retailrocket. The Research Lab retains anonymous numeric identifiers and historical properties. There is no arbitrary mapping from a synthetic product to a research item and no claim that Retailrocket evaluation validates rankings for unrelated demonstration products.</w:t>
      </w:r>
    </w:p>
    <w:p>
      <w:r>
        <w:t>This boundary resolves a practical presentation problem without inventing facts. Customers can explore a coherent Kathmandu-oriented shopping prototype while an examiner can inspect the actual research model and its route explanation. The synthetic shop does not establish real stock, supplier relationships or fulfilment.</w:t>
      </w:r>
    </w:p>
    <w:p>
      <w:pPr>
        <w:pStyle w:val="Heading2"/>
      </w:pPr>
      <w:r>
        <w:t>4.2 Customer and administrator workflows</w:t>
      </w:r>
    </w:p>
    <w:p>
      <w:r>
        <w:t>The shop supports meaningful text search, category filtering, sorting, product details, wishlist, cart and preference controls. Stored interactions use the appropriate catalogue identifiers. Account persistence is exercised through logout and login checks. Cross-account isolation and history clearing are tested. Cart updates report their saved state even when optional personalisation activity recording fails, avoiding an apparent failed save after a successful database write.</w:t>
      </w:r>
    </w:p>
    <w:p>
      <w:r>
        <w:t>Administration is restricted by stored account roles checked on each request. There is no published default administrator password. An operator promotes an existing registered account using the documented local command. Revoking that role removes access without relying on a stale client-side menu state. The dashboard manages demonstration products and their active status, uses a bounded set of illustrations, and reports actual stored statistics.</w:t>
      </w:r>
    </w:p>
    <w:p>
      <w:r>
        <w:t>The application is a research prototype. Demonstration checkout commits a stored order, synthetic stock deduction and cart clearing atomically. A customer-scoped idempotency key prevents duplicate orders on retry. Customers can retrieve order history and cancel a placed order; administrators advance valid simulated status transitions. Cancellation restores stock once. The deployment uses a local single-node MongoDB replica set, copied and fingerprint-verified from the preserved standalone database. It does not process real payments or place fulfilment orders. Administrative functions do not edit frozen research artifacts or relabel anonymous items as known products. These scope decisions prioritise correctness and demonstrability over unrelated commerce features.</w:t>
      </w:r>
    </w:p>
    <w:p>
      <w:pPr>
        <w:pStyle w:val="Heading2"/>
      </w:pPr>
      <w:r>
        <w:t>4.3 Recommendation serving and resilience</w:t>
      </w:r>
    </w:p>
    <w:p>
      <w:r>
        <w:t>The Research Lab exposes the selected strategy and the evidence used by the switching controller. Ordinary property matching, collaborative evidence and popularity remain the approved ranking components. Optional generated text is identified separately from the locally recorded routing reason. A fluent catalogue description is not presented as proof of a personalised causal explanation.</w:t>
      </w:r>
    </w:p>
    <w:p>
      <w:r>
        <w:t>Service work is bounded to two active requests and two waiting requests with a 500 ms wait limit. Requests beyond capacity receive a controlled 503 response with Retry-After rather than consuming unbounded resources. Queue wait is included in observed latency. Release occurs on both success and failure. Single-threaded BLAS settings reduce resource contention in this local experimental environment.</w:t>
      </w:r>
    </w:p>
    <w:p>
      <w:r>
        <w:t>The synthetic shop has a separate ranking adapter using the same switching-policy implementation. TF-IDF is fitted on synthetic catalogue text; popularity counts distinct-item support in consented demo profiles; item-CF uses normalised profile co-occurrence. Only active, in-stock, unseen demo items are returned. A deterministic catalogue fallback is explicitly identified when insufficient scoring evidence exists. Transferred research thresholds are not claimed to be validated on this demo population, and no generated demo text is claimed.</w:t>
      </w:r>
    </w:p>
    <w:p>
      <w:r>
        <w:t>The adapter uses at most 100 products, 5,000 latest updated consenting profiles and 20 recent distinct items per profile. Full retained seen history is capped at 1,000 items. Versioned consent distinguishes this collaborative purpose from the earlier category-browsing permission. Renewing consent starts fresh history; old consent is excluded from ranking inputs. Local service payloads contain no account IDs, email addresses or delivery details, and none of this activity goes to Groq.</w:t>
      </w:r>
    </w:p>
    <w:p>
      <w:pPr>
        <w:pStyle w:val="Heading2"/>
      </w:pPr>
      <w:r>
        <w:t>4.4 Verification and limitations</w:t>
      </w:r>
    </w:p>
    <w:p>
      <w:r>
        <w:t>The recorded October 15 verification includes thirteen frontend tests, eight backend tests including real MongoDB integration, and a successful production frontend build. Backend checks cover persistence, isolation, consent reset and live role revocation. Research code has a separate Python test suite covering temporal features, history rules, metrics, generation provenance and final evaluation. All 89 Python tests passed at this checkpoint. Exact counts belong in the submission evidence manifest rather than being treated as permanent properties.</w:t>
      </w:r>
    </w:p>
    <w:p>
      <w:r>
        <w:t>Live API diagnostics verified one-event content routing, sparse-history hybrid routing and richer-history collaborative routing with actual synthetic fixture interactions. They checked eligibility, seen-item exclusion and history reset, then cleared fixture activity. These are engineering checks, not offline efficacy results. Browser automation was blocked during this checkpoint, so a fresh browser checkout walkthrough and final accessibility review remain unverified.</w:t>
      </w:r>
    </w:p>
    <w:p>
      <w:r>
        <w:t>A research-preservation checkpoint matched hashes for 83 protected raw, split, model and evaluation files before and after storefront work. This verifies that specific checkpoint, not every possible future change. A final preservation check is still required when packaging the submission.</w:t>
      </w:r>
    </w:p>
    <w:p>
      <w:r>
        <w:t>The bounded-capacity public-API diagnostic completed all 72 measured requests. Recommendation P95 at concurrency four was 127.1 ms. This small local development workload includes the API path but is not a production load guarantee or evidence of ranking quality. Its earlier failing run remains recorded, so the improvement is auditable rather than inferred from only successful runs.</w:t>
      </w:r>
    </w:p>
    <w:p>
      <w:r>
        <w:br w:type="page"/>
      </w:r>
    </w:p>
    <w:p>
      <w:pPr>
        <w:pStyle w:val="Heading1"/>
      </w:pPr>
      <w:r>
        <w:t>5 Development results and discussion</w:t>
      </w:r>
    </w:p>
    <w:p>
      <w:pPr>
        <w:pStyle w:val="Heading2"/>
      </w:pPr>
      <w:r>
        <w:t>5.1 Status of the evidence</w:t>
      </w:r>
    </w:p>
    <w:p>
      <w:r>
        <w:t>This chapter reports development evidence only. The final frozen holdout has not been evaluated. Consequently these findings cannot be substituted for final H1 or H2 conclusions. In particular, the development aggregate includes cohorts outside the precise primary hypothesis populations and reuses validation data.</w:t>
      </w:r>
    </w:p>
    <w:p>
      <w:pPr>
        <w:pStyle w:val="Heading2"/>
      </w:pPr>
      <w:r>
        <w:t>5.2 Corrected density comparison</w:t>
      </w:r>
    </w:p>
    <w:p>
      <w:r>
        <w:t>All seven configurations completed at retained training-event densities of 10%, 25%, 50% and 100%. Nested samples and the same 200 assessment users were used. Interaction-dependent models and histories were rebuilt, while the candidate universe contained 100,599 items. History cohorts and novel targets can change with density, so the trend does not isolate model robustness alone.</w:t>
      </w:r>
    </w:p>
    <w:tbl>
      <w:tblPr>
        <w:tblStyle w:val="LightShading-Accent1"/>
        <w:tblW w:type="auto" w:w="0"/>
        <w:tblLook w:firstColumn="1" w:firstRow="1" w:lastColumn="0" w:lastRow="0" w:noHBand="0" w:noVBand="1" w:val="04A0"/>
      </w:tblPr>
      <w:tblGrid>
        <w:gridCol w:w="1930"/>
        <w:gridCol w:w="1930"/>
        <w:gridCol w:w="1930"/>
        <w:gridCol w:w="1930"/>
        <w:gridCol w:w="1930"/>
      </w:tblGrid>
      <w:tr>
        <w:tc>
          <w:tcPr>
            <w:tcW w:type="dxa" w:w="1930"/>
          </w:tcPr>
          <w:p>
            <w:r>
              <w:rPr>
                <w:sz w:val="18"/>
              </w:rPr>
              <w:t>Retained events</w:t>
            </w:r>
          </w:p>
        </w:tc>
        <w:tc>
          <w:tcPr>
            <w:tcW w:type="dxa" w:w="1930"/>
          </w:tcPr>
          <w:p>
            <w:r>
              <w:rPr>
                <w:sz w:val="18"/>
              </w:rPr>
              <w:t>Fixed hybrid</w:t>
            </w:r>
          </w:p>
        </w:tc>
        <w:tc>
          <w:tcPr>
            <w:tcW w:type="dxa" w:w="1930"/>
          </w:tcPr>
          <w:p>
            <w:r>
              <w:rPr>
                <w:sz w:val="18"/>
              </w:rPr>
              <w:t>Category popularity</w:t>
            </w:r>
          </w:p>
        </w:tc>
        <w:tc>
          <w:tcPr>
            <w:tcW w:type="dxa" w:w="1930"/>
          </w:tcPr>
          <w:p>
            <w:r>
              <w:rPr>
                <w:sz w:val="18"/>
              </w:rPr>
              <w:t>Switching</w:t>
            </w:r>
          </w:p>
        </w:tc>
        <w:tc>
          <w:tcPr>
            <w:tcW w:type="dxa" w:w="1930"/>
          </w:tcPr>
          <w:p>
            <w:r>
              <w:rPr>
                <w:sz w:val="18"/>
              </w:rPr>
              <w:t>Switching with partial GenAI</w:t>
            </w:r>
          </w:p>
        </w:tc>
      </w:tr>
      <w:tr>
        <w:tc>
          <w:tcPr>
            <w:tcW w:type="dxa" w:w="1930"/>
          </w:tcPr>
          <w:p>
            <w:r>
              <w:rPr>
                <w:sz w:val="18"/>
              </w:rPr>
              <w:t>10%</w:t>
            </w:r>
          </w:p>
        </w:tc>
        <w:tc>
          <w:tcPr>
            <w:tcW w:type="dxa" w:w="1930"/>
          </w:tcPr>
          <w:p>
            <w:r>
              <w:rPr>
                <w:sz w:val="18"/>
              </w:rPr>
              <w:t>.018273</w:t>
            </w:r>
          </w:p>
        </w:tc>
        <w:tc>
          <w:tcPr>
            <w:tcW w:type="dxa" w:w="1930"/>
          </w:tcPr>
          <w:p>
            <w:r>
              <w:rPr>
                <w:sz w:val="18"/>
              </w:rPr>
              <w:t>.017818</w:t>
            </w:r>
          </w:p>
        </w:tc>
        <w:tc>
          <w:tcPr>
            <w:tcW w:type="dxa" w:w="1930"/>
          </w:tcPr>
          <w:p>
            <w:r>
              <w:rPr>
                <w:sz w:val="18"/>
              </w:rPr>
              <w:t>.008631</w:t>
            </w:r>
          </w:p>
        </w:tc>
        <w:tc>
          <w:tcPr>
            <w:tcW w:type="dxa" w:w="1930"/>
          </w:tcPr>
          <w:p>
            <w:r>
              <w:rPr>
                <w:sz w:val="18"/>
              </w:rPr>
              <w:t>.008631</w:t>
            </w:r>
          </w:p>
        </w:tc>
      </w:tr>
      <w:tr>
        <w:tc>
          <w:tcPr>
            <w:tcW w:type="dxa" w:w="1930"/>
          </w:tcPr>
          <w:p>
            <w:r>
              <w:rPr>
                <w:sz w:val="18"/>
              </w:rPr>
              <w:t>25%</w:t>
            </w:r>
          </w:p>
        </w:tc>
        <w:tc>
          <w:tcPr>
            <w:tcW w:type="dxa" w:w="1930"/>
          </w:tcPr>
          <w:p>
            <w:r>
              <w:rPr>
                <w:sz w:val="18"/>
              </w:rPr>
              <w:t>.018603</w:t>
            </w:r>
          </w:p>
        </w:tc>
        <w:tc>
          <w:tcPr>
            <w:tcW w:type="dxa" w:w="1930"/>
          </w:tcPr>
          <w:p>
            <w:r>
              <w:rPr>
                <w:sz w:val="18"/>
              </w:rPr>
              <w:t>.015377</w:t>
            </w:r>
          </w:p>
        </w:tc>
        <w:tc>
          <w:tcPr>
            <w:tcW w:type="dxa" w:w="1930"/>
          </w:tcPr>
          <w:p>
            <w:r>
              <w:rPr>
                <w:sz w:val="18"/>
              </w:rPr>
              <w:t>.006533</w:t>
            </w:r>
          </w:p>
        </w:tc>
        <w:tc>
          <w:tcPr>
            <w:tcW w:type="dxa" w:w="1930"/>
          </w:tcPr>
          <w:p>
            <w:r>
              <w:rPr>
                <w:sz w:val="18"/>
              </w:rPr>
              <w:t>.006533</w:t>
            </w:r>
          </w:p>
        </w:tc>
      </w:tr>
      <w:tr>
        <w:tc>
          <w:tcPr>
            <w:tcW w:type="dxa" w:w="1930"/>
          </w:tcPr>
          <w:p>
            <w:r>
              <w:rPr>
                <w:sz w:val="18"/>
              </w:rPr>
              <w:t>50%</w:t>
            </w:r>
          </w:p>
        </w:tc>
        <w:tc>
          <w:tcPr>
            <w:tcW w:type="dxa" w:w="1930"/>
          </w:tcPr>
          <w:p>
            <w:r>
              <w:rPr>
                <w:sz w:val="18"/>
              </w:rPr>
              <w:t>.026408</w:t>
            </w:r>
          </w:p>
        </w:tc>
        <w:tc>
          <w:tcPr>
            <w:tcW w:type="dxa" w:w="1930"/>
          </w:tcPr>
          <w:p>
            <w:r>
              <w:rPr>
                <w:sz w:val="18"/>
              </w:rPr>
              <w:t>.017159</w:t>
            </w:r>
          </w:p>
        </w:tc>
        <w:tc>
          <w:tcPr>
            <w:tcW w:type="dxa" w:w="1930"/>
          </w:tcPr>
          <w:p>
            <w:r>
              <w:rPr>
                <w:sz w:val="18"/>
              </w:rPr>
              <w:t>.015434</w:t>
            </w:r>
          </w:p>
        </w:tc>
        <w:tc>
          <w:tcPr>
            <w:tcW w:type="dxa" w:w="1930"/>
          </w:tcPr>
          <w:p>
            <w:r>
              <w:rPr>
                <w:sz w:val="18"/>
              </w:rPr>
              <w:t>.015434</w:t>
            </w:r>
          </w:p>
        </w:tc>
      </w:tr>
      <w:tr>
        <w:tc>
          <w:tcPr>
            <w:tcW w:type="dxa" w:w="1930"/>
          </w:tcPr>
          <w:p>
            <w:r>
              <w:rPr>
                <w:sz w:val="18"/>
              </w:rPr>
              <w:t>100%</w:t>
            </w:r>
          </w:p>
        </w:tc>
        <w:tc>
          <w:tcPr>
            <w:tcW w:type="dxa" w:w="1930"/>
          </w:tcPr>
          <w:p>
            <w:r>
              <w:rPr>
                <w:sz w:val="18"/>
              </w:rPr>
              <w:t>.021008</w:t>
            </w:r>
          </w:p>
        </w:tc>
        <w:tc>
          <w:tcPr>
            <w:tcW w:type="dxa" w:w="1930"/>
          </w:tcPr>
          <w:p>
            <w:r>
              <w:rPr>
                <w:sz w:val="18"/>
              </w:rPr>
              <w:t>.016982</w:t>
            </w:r>
          </w:p>
        </w:tc>
        <w:tc>
          <w:tcPr>
            <w:tcW w:type="dxa" w:w="1930"/>
          </w:tcPr>
          <w:p>
            <w:r>
              <w:rPr>
                <w:sz w:val="18"/>
              </w:rPr>
              <w:t>.013846</w:t>
            </w:r>
          </w:p>
        </w:tc>
        <w:tc>
          <w:tcPr>
            <w:tcW w:type="dxa" w:w="1930"/>
          </w:tcPr>
          <w:p>
            <w:r>
              <w:rPr>
                <w:sz w:val="18"/>
              </w:rPr>
              <w:t>.013846</w:t>
            </w:r>
          </w:p>
        </w:tc>
      </w:tr>
    </w:tbl>
    <w:p>
      <w:r>
        <w:t>Table 1. Development mean NDCG@10, not final hypothesis estimates.</w:t>
      </w:r>
    </w:p>
    <w:p>
      <w:r>
        <w:t>The fixed hybrid achieved the highest observed aggregate mean among the seven configurations at every density. At full density the descriptive switching-minus- fixed-hybrid difference was −.007162, with a post-hoc percentile interval of [−.015259, −.001021]. This interval is unadjusted for multiple comparisons and does not establish the approved H1 conclusion. The small tuning sample weakly identified thresholds: 54 of 72 grid settings tied for the maximum objective. The prespecified first-maximum rule was retained rather than selecting a setting after examining final outcomes.</w:t>
      </w:r>
    </w:p>
    <w:p>
      <w:pPr>
        <w:pStyle w:val="Heading2"/>
      </w:pPr>
      <w:r>
        <w:t>5.3 Genuine generation and treatment exposure</w:t>
      </w:r>
    </w:p>
    <w:p>
      <w:r>
        <w:t>The uniform 32-item generation sample produced 24 schema-valid outputs and eight failed requests. Schema success was 75%, with a Wilson 95% interval of 57.9–86.7%. Assistant grounding screening approved 21 outputs and rejected three descriptions that overstated historical availability. This is evidence about operational generation and source consistency, not independent human usefulness or relevance. Reported usage was 11,099 input and 11,785 output tokens; usage for eight failures was unavailable, making these lower bounds.</w:t>
      </w:r>
    </w:p>
    <w:p>
      <w:r>
        <w:t>The paired enriched artifact preserved all 411,732 rows and ordinary features. Only one assessed full-density profile contained an enriched item, and it did not take the content route. No switching rankings changed at any density. The zero difference therefore reflects inadequate observed treatment exposure; it does not demonstrate equivalence or a general absence of GenAI benefit.</w:t>
      </w:r>
    </w:p>
    <w:p>
      <w:r>
        <w:t>A training-only selection analysis estimated that a targeted 128-item set could expose 20,290 content-route users, or 2.91%, compared with 293 for a uniform set of the same size. These counts assume every selected output is approved and measure in-sample potential, not future exposure or effect size. The targeted sample is still being generated under conservative Free-tier quotas. Its final failure, approval, usage and ranking outcomes will be reported after completion.</w:t>
      </w:r>
    </w:p>
    <w:p>
      <w:r>
        <w:t>At the eighth operational checkpoint, 98 of 128 declared items had been attempted: 69 outputs passed schema validation and 29 attempts failed or were rejected during generation. Assistant grounding screening approved 41 outputs and rejected 28; none of the 69 schema-valid outputs remained unreviewed. Thirty items were still unattempted when the conservative rolling daily quota stopped generation. These are incomplete-sample counts, not final quality estimates. Recorded usage totalled 35,641 input and 34,329 output tokens, excluding unavailable usage for 29 failures. The evidence is recorded in docs/genai-targeted-batch-8-results.json.</w:t>
      </w:r>
    </w:p>
    <w:p>
      <w:r>
        <w:t>Rejected outputs included unsupported present-day availability claims, category codes presented as item identities, and omitted source-property citations for asserted facts. Accepted outputs often only restated anonymous property names or explicit historical availability flags. Acceptance therefore indicates source consistency under assistant screening, not meaningful semantic enrichment or independent human judgement. No targeted-treatment ranking benefit is asserted.</w:t>
      </w:r>
    </w:p>
    <w:p>
      <w:pPr>
        <w:pStyle w:val="Heading2"/>
      </w:pPr>
      <w:r>
        <w:t>5.4 Interpretation and threats to validity</w:t>
      </w:r>
    </w:p>
    <w:p>
      <w:r>
        <w:t>The development findings challenge the assumption that switching necessarily outperforms a fixed combination. Sparse behavioural evidence, weak threshold identification and the selected content representation offer plausible explanations, but this study has not isolated their causal contributions. The defensible response is to retain the comparison and disclose negative or inconclusive evidence.</w:t>
      </w:r>
    </w:p>
    <w:p>
      <w:r>
        <w:t>Anonymous properties sharply constrain what a language model can add. Grounded outputs often restate property codes. A source-faithful description can still be uninformative to a shopper, and an attractive description can invent unsupported semantics. Independent human ratings would address aspects that schema checks and assistant screening cannot establish; they remain deferred.</w:t>
      </w:r>
    </w:p>
    <w:p>
      <w:r>
        <w:t>Historical exposure in part of the repaired test split, a bounded stratified sample, static training-origin histories, targeted generation and modest local load measurements limit generalisation. The synthetic storefront is an engineering demonstration, not a second validated experimental population. Neither user satisfaction in Kathmandu nor commercial performance can be inferred from these offline measurements.</w:t>
      </w:r>
    </w:p>
    <w:p>
      <w:pPr>
        <w:pStyle w:val="Heading2"/>
      </w:pPr>
      <w:r>
        <w:t>5.5 Final results still required</w:t>
      </w:r>
    </w:p>
    <w:p>
      <w:r>
        <w:t>The submission version must replace this status paragraph with the frozen untouched-intersection results, secondary exposed-partition results, exact cohort counts, paired uncertainty, multiplicity-adjusted comparisons and treatment exposure. Density and efficiency evidence must be discussed separately from ranking significance. A final abstract and conclusion must state the observed outcome even if neither hypothesis is supported. No such outcome is asserted here.</w:t>
      </w:r>
    </w:p>
    <w:p>
      <w:r>
        <w:br w:type="page"/>
      </w:r>
    </w:p>
    <w:p>
      <w:pPr>
        <w:pStyle w:val="Heading1"/>
      </w:pPr>
      <w:r>
        <w:t>Verified references</w:t>
      </w:r>
    </w:p>
    <w:p>
      <w:r>
        <w:t>These sources were checked on 14 October 2026. Publisher metadata or author-hosted material was used. Access dates concern this verification, not publication dates.</w:t>
      </w:r>
    </w:p>
    <w:p>
      <w:pPr>
        <w:pStyle w:val="ListBullet"/>
      </w:pPr>
      <w:r>
        <w:t>Burke, R. (2002). Hybrid Recommender Systems: Survey and Experiments.</w:t>
      </w:r>
    </w:p>
    <w:p>
      <w:r>
        <w:t>*User Modeling and User-Adapted Interaction*, 12, 331–370. https://doi.org/10.1023/A:1021240730564 Publisher page: https://link.springer.com/article/10.1023/A:1021240730564 Verification scope: bibliographic metadata and abstract; subscription full text was not accessed. No claim of full-paper inspection is made.</w:t>
      </w:r>
    </w:p>
    <w:p>
      <w:pPr>
        <w:pStyle w:val="ListBullet"/>
      </w:pPr>
      <w:r>
        <w:t>Sarwar, B., Karypis, G., Konstan, J. and Riedl, J. (2001). Item-Based</w:t>
      </w:r>
    </w:p>
    <w:p>
      <w:r>
        <w:t>Collaborative Filtering Recommendation Algorithms. *Proceedings of WWW10*. Author-group copy: https://files.grouplens.org/papers/www10_sarwar.pdf</w:t>
      </w:r>
    </w:p>
    <w:p>
      <w:pPr>
        <w:pStyle w:val="ListBullet"/>
      </w:pPr>
      <w:r>
        <w:t>Manning, C. D., Raghavan, P. and Schütze, H. (2008). *Introduction to</w:t>
      </w:r>
    </w:p>
    <w:p>
      <w:r>
        <w:t>Information Retrieval*. Cambridge University Press. Author-hosted text: https://nlp.stanford.edu/IR-book/html/htmledition/irbook.html Specific methods: https://nlp.stanford.edu/IR-book/html/htmledition/tf-idf-weighting-1.html and https://nlp.stanford.edu/IR-book/html/htmledition/dot-products-1.html</w:t>
      </w:r>
    </w:p>
    <w:p>
      <w:pPr>
        <w:pStyle w:val="ListBullet"/>
      </w:pPr>
      <w:r>
        <w:t>Ji, Y., Sun, A., Zhang, J. and Li, C. (2023). A Critical Study on Data Leakage</w:t>
      </w:r>
    </w:p>
    <w:p>
      <w:r>
        <w:t>in Recommender System Offline Evaluation. *ACM Transactions on Information Systems*, 41(3), Article 75, 1–27. https://doi.org/10.1145/3569930 Author manuscript and journal metadata: https://arxiv.org/abs/2010.11060</w:t>
      </w:r>
    </w:p>
    <w:p>
      <w:pPr>
        <w:pStyle w:val="ListBullet"/>
      </w:pPr>
      <w:r>
        <w:t>Lin, J., Dai, X., Xi, Y., Liu, W., Chen, B., Zhang, H., Liu, Y., Wu, C., Li, X.,</w:t>
      </w:r>
    </w:p>
    <w:p>
      <w:r>
        <w:t>Zhu, C., Guo, H., Yu, Y., Tang, R. and Zhang, W. (2024). How Can Recommender Systems Benefit from Large Language Models: A Survey. *arXiv*, version 6, 9 July 2024. https://arxiv.org/abs/2306.05817v6 Version cited explicitly; first arXiv submission was in 2023.</w:t>
      </w:r>
    </w:p>
    <w:p>
      <w:pPr>
        <w:pStyle w:val="ListBullet"/>
      </w:pPr>
      <w:r>
        <w:t>Retailrocket (n.d.). *Retailrocket recommender system dataset*. Kaggle.</w:t>
      </w:r>
    </w:p>
    <w:p>
      <w:r>
        <w:t>https://www.kaggle.com/datasets/retailrocket/ecommerce-dataset Publisher data card: event counts, temporal properties and anonymisation.</w:t>
      </w:r>
    </w:p>
    <w:p>
      <w:pPr>
        <w:pStyle w:val="ListBullet"/>
      </w:pPr>
      <w:r>
        <w:t>SciPy contributors (n.d.). *scipy.stats.permutation_test*.</w:t>
      </w:r>
    </w:p>
    <w:p>
      <w:r>
        <w:t>https://docs.scipy.org/doc/scipy/reference/generated/scipy.stats.permutation_test.html Reference for within-pair label exchange and paired-difference sign changes.</w:t>
      </w:r>
    </w:p>
    <w:p>
      <w:pPr>
        <w:pStyle w:val="ListBullet"/>
      </w:pPr>
      <w:r>
        <w:t>statsmodels contributors (n.d.). *Multiple testing procedures*.</w:t>
      </w:r>
    </w:p>
    <w:p>
      <w:r>
        <w:t>https://www.statsmodels.org/stable/_modules/statsmodels/stats/multitest.html Reference for Holm step-down Bonferroni adjustment.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Pasal working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Pasal thesis working draft</dc:title>
  <dc:subject/>
  <dc:creator>Rajiv Ganeju</dc:creator>
  <cp:keywords/>
  <dc:description>generated by python-docx</dc:description>
  <cp:lastModifiedBy/>
  <cp:revision>1</cp:revision>
  <dcterms:created xsi:type="dcterms:W3CDTF">2013-12-23T23:15:00Z</dcterms:created>
  <dcterms:modified xsi:type="dcterms:W3CDTF">2013-12-23T23:15:00Z</dcterms:modified>
  <cp:category/>
</cp:coreProperties>
</file>