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ntra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00AAA4"/>
          <w:sz w:val="44"/>
        </w:rPr>
        <w:t>SocialHomes.Ai</w:t>
      </w:r>
    </w:p>
    <w:p>
      <w:pPr>
        <w:spacing w:after="40" w:before="0"/>
      </w:pPr>
      <w:r>
        <w:rPr>
          <w:color w:val="646464"/>
          <w:sz w:val="22"/>
        </w:rPr>
        <w:t>AI-Native Housing Management for UK Social Housing</w:t>
      </w:r>
    </w:p>
    <w:p>
      <w:pPr>
        <w:spacing w:after="160"/>
      </w:pPr>
      <w:r>
        <w:rPr>
          <w:i/>
          <w:color w:val="646464"/>
          <w:sz w:val="16"/>
        </w:rPr>
        <w:t>Investor Summary  |  March 2026  |  Commercially Sensitive</w:t>
      </w:r>
    </w:p>
    <w:p>
      <w:pPr>
        <w:pStyle w:val="Heading2"/>
      </w:pPr>
      <w:r>
        <w:rPr>
          <w:color w:val="00AAA4"/>
          <w:sz w:val="24"/>
        </w:rPr>
        <w:t>Why SocialHomes.Ai?</w:t>
      </w:r>
    </w:p>
    <w:p>
      <w:pPr>
        <w:spacing w:after="80"/>
      </w:pPr>
      <w:r>
        <w:t>UK social housing manages 4.5 million homes for 9 million people. Four new laws since 2023 (Awaab’s Law, Tenant Satisfaction Measures, Complaint Handling Code, RSH Consumer Standards) demand better data, faster response times, and real accountability. Yet 80% of the sector’s technology was designed in the 1990s.</w:t>
      </w:r>
    </w:p>
    <w:p>
      <w:pPr>
        <w:spacing w:after="120"/>
      </w:pPr>
      <w:r>
        <w:rPr>
          <w:sz w:val="18"/>
        </w:rPr>
        <w:t xml:space="preserve">Smaller housing associations — the ones closest to their communities — pay £50k–£100k/year for software that wasn’t built for them. </w:t>
      </w:r>
      <w:r>
        <w:rPr>
          <w:b/>
          <w:sz w:val="18"/>
        </w:rPr>
        <w:t>SocialHomes.Ai is the first AI-native, cloud-native housing management system designed specifically for this underserved segment, at 50–70% lower cost.</w:t>
      </w:r>
    </w:p>
    <w:p>
      <w:pPr>
        <w:pStyle w:val="Heading2"/>
      </w:pPr>
      <w:r>
        <w:rPr>
          <w:color w:val="00AAA4"/>
          <w:sz w:val="22"/>
        </w:rPr>
        <w:t>What Makes This Different</w:t>
      </w:r>
    </w:p>
    <w:p>
      <w:pPr>
        <w:spacing w:after="20" w:before="20"/>
      </w:pPr>
      <w:r>
        <w:rPr>
          <w:b/>
          <w:sz w:val="17"/>
        </w:rPr>
        <w:t xml:space="preserve">• AI-native, not AI-bolted-on. </w:t>
      </w:r>
      <w:r>
        <w:rPr>
          <w:sz w:val="17"/>
        </w:rPr>
        <w:t>Intelligence on every screen — predicts arrears, identifies vulnerable tenants, flags compliance risks before they become crises</w:t>
      </w:r>
    </w:p>
    <w:p>
      <w:pPr>
        <w:spacing w:after="20" w:before="20"/>
      </w:pPr>
      <w:r>
        <w:rPr>
          <w:b/>
          <w:sz w:val="17"/>
        </w:rPr>
        <w:t xml:space="preserve">• Self-service onboarding. </w:t>
      </w:r>
      <w:r>
        <w:rPr>
          <w:sz w:val="17"/>
        </w:rPr>
        <w:t>No other HMS vendor offers this. Sign up → import data → go live in weeks, not the industry-standard 6–18 months</w:t>
      </w:r>
    </w:p>
    <w:p>
      <w:pPr>
        <w:spacing w:after="20" w:before="20"/>
      </w:pPr>
      <w:r>
        <w:rPr>
          <w:b/>
          <w:sz w:val="17"/>
        </w:rPr>
        <w:t xml:space="preserve">• Combines public + organisational data. </w:t>
      </w:r>
      <w:r>
        <w:rPr>
          <w:sz w:val="17"/>
        </w:rPr>
        <w:t>Auto-pulls EPC, weather, crime, flood, deprivation data and enriches every property and tenant record</w:t>
      </w:r>
    </w:p>
    <w:p>
      <w:pPr>
        <w:spacing w:after="20" w:before="20"/>
      </w:pPr>
      <w:r>
        <w:rPr>
          <w:b/>
          <w:sz w:val="17"/>
        </w:rPr>
        <w:t xml:space="preserve">• 50–70% cheaper. </w:t>
      </w:r>
      <w:r>
        <w:rPr>
          <w:sz w:val="17"/>
        </w:rPr>
        <w:t>£20k/year for a 2,500-home HA vs £55k–£66k for Civica/Aareon/NEC (G-Cloud published pricing)</w:t>
      </w:r>
    </w:p>
    <w:p>
      <w:pPr>
        <w:spacing w:after="20" w:before="20"/>
      </w:pPr>
      <w:r>
        <w:rPr>
          <w:b/>
          <w:sz w:val="17"/>
        </w:rPr>
        <w:t xml:space="preserve">• Consortium-governed. </w:t>
      </w:r>
      <w:r>
        <w:rPr>
          <w:sz w:val="17"/>
        </w:rPr>
        <w:t>10 founding HAs co-invest £15k each and shape the roadmap via a Board seat</w:t>
      </w:r>
    </w:p>
    <w:p>
      <w:pPr>
        <w:pStyle w:val="Heading2"/>
      </w:pPr>
      <w:r>
        <w:rPr>
          <w:color w:val="00AAA4"/>
          <w:sz w:val="22"/>
        </w:rPr>
        <w:t>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7370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Total providers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1,581 (managing 4.5M homes, £27.4bn turnover)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6"/>
              </w:rPr>
              <w:t>Target segment</w:t>
            </w:r>
          </w:p>
        </w:tc>
        <w:tc>
          <w:tcPr>
            <w:tcW w:type="dxa" w:w="7370"/>
            <w:shd w:fill="F5F5F5"/>
          </w:tcPr>
          <w:p>
            <w:r>
              <w:rPr>
                <w:sz w:val="16"/>
              </w:rPr>
              <w:t>~400 providers with 1,000–30,000 homes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Incumbent HMS cost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£50k–£100k/yr for small HAs (G-Cloud data)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16"/>
              </w:rPr>
              <w:t>SocialHomes.Ai price</w:t>
            </w:r>
          </w:p>
        </w:tc>
        <w:tc>
          <w:tcPr>
            <w:tcW w:type="dxa" w:w="7370"/>
            <w:shd w:fill="F5F5F5"/>
          </w:tcPr>
          <w:p>
            <w:r>
              <w:rPr>
                <w:sz w:val="16"/>
              </w:rPr>
              <w:t>£20k/yr (small) to £500k/yr (G15/mega)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6"/>
              </w:rPr>
              <w:t>Key regulatory driver</w:t>
            </w:r>
          </w:p>
        </w:tc>
        <w:tc>
          <w:tcPr>
            <w:tcW w:type="dxa" w:w="7370"/>
          </w:tcPr>
          <w:p>
            <w:r>
              <w:rPr>
                <w:b/>
                <w:sz w:val="16"/>
              </w:rPr>
              <w:t>Awaab’s Law — unlimited fines for non-compliance</w:t>
            </w:r>
          </w:p>
        </w:tc>
      </w:tr>
    </w:tbl>
    <w:p/>
    <w:p>
      <w:pPr>
        <w:pStyle w:val="Heading2"/>
      </w:pPr>
      <w:r>
        <w:rPr>
          <w:color w:val="00AAA4"/>
          <w:sz w:val="22"/>
        </w:rPr>
        <w:t>Competition — Why We Win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2551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Civica/NEC/MRI</w:t>
            </w:r>
          </w:p>
        </w:tc>
        <w:tc>
          <w:tcPr>
            <w:tcW w:type="dxa" w:w="2268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Aareon QL</w:t>
            </w:r>
          </w:p>
        </w:tc>
        <w:tc>
          <w:tcPr>
            <w:tcW w:type="dxa" w:w="2835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SocialHomes.Ai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Architecture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1990s client-server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Hosted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Cloud-native (GCP)</w:t>
            </w:r>
          </w:p>
        </w:tc>
      </w:tr>
      <w:tr>
        <w:tc>
          <w:tcPr>
            <w:tcW w:type="dxa" w:w="1984"/>
            <w:shd w:fill="F5F5F5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6"/>
              </w:rPr>
              <w:t>Bolt-on module (£££)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6"/>
              </w:rPr>
              <w:t>Limited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6"/>
              </w:rPr>
              <w:t>Native (every screen)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Awaab’s Law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Built-in from day 1</w:t>
            </w:r>
          </w:p>
        </w:tc>
      </w:tr>
      <w:tr>
        <w:tc>
          <w:tcPr>
            <w:tcW w:type="dxa" w:w="1984"/>
            <w:shd w:fill="F5F5F5"/>
          </w:tcPr>
          <w:p>
            <w:r>
              <w:rPr>
                <w:sz w:val="16"/>
              </w:rPr>
              <w:t>Self-service setup</w:t>
            </w:r>
          </w:p>
        </w:tc>
        <w:tc>
          <w:tcPr>
            <w:tcW w:type="dxa" w:w="2551"/>
            <w:shd w:fill="F5F5F5"/>
          </w:tcPr>
          <w:p>
            <w:r>
              <w:rPr>
                <w:sz w:val="16"/>
              </w:rPr>
              <w:t>No (6–18 months)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835"/>
            <w:shd w:fill="F5F5F5"/>
          </w:tcPr>
          <w:p>
            <w:r>
              <w:rPr>
                <w:sz w:val="16"/>
              </w:rPr>
              <w:t>Yes (weeks)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Data standard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Proprietary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Proprietary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HACT v3.5 native</w:t>
            </w:r>
          </w:p>
        </w:tc>
      </w:tr>
      <w:tr>
        <w:tc>
          <w:tcPr>
            <w:tcW w:type="dxa" w:w="1984"/>
            <w:shd w:fill="F5F5F5"/>
          </w:tcPr>
          <w:p>
            <w:r>
              <w:rPr>
                <w:b/>
                <w:sz w:val="16"/>
              </w:rPr>
              <w:t>Cost (2,500 homes)</w:t>
            </w:r>
          </w:p>
        </w:tc>
        <w:tc>
          <w:tcPr>
            <w:tcW w:type="dxa" w:w="2551"/>
            <w:shd w:fill="F5F5F5"/>
          </w:tcPr>
          <w:p>
            <w:r>
              <w:rPr>
                <w:b/>
                <w:sz w:val="16"/>
              </w:rPr>
              <w:t>£55–£66k/yr</w:t>
            </w:r>
          </w:p>
        </w:tc>
        <w:tc>
          <w:tcPr>
            <w:tcW w:type="dxa" w:w="2268"/>
            <w:shd w:fill="F5F5F5"/>
          </w:tcPr>
          <w:p>
            <w:r>
              <w:rPr>
                <w:b/>
                <w:sz w:val="16"/>
              </w:rPr>
              <w:t>£60k/yr</w:t>
            </w:r>
          </w:p>
        </w:tc>
        <w:tc>
          <w:tcPr>
            <w:tcW w:type="dxa" w:w="2835"/>
            <w:shd w:fill="F5F5F5"/>
          </w:tcPr>
          <w:p>
            <w:r>
              <w:rPr>
                <w:b/>
                <w:sz w:val="16"/>
              </w:rPr>
              <w:t>£20k/yr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AAA4"/>
          <w:sz w:val="24"/>
        </w:rPr>
        <w:t>10-Year Financial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850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1134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Customers</w:t>
            </w:r>
          </w:p>
        </w:tc>
        <w:tc>
          <w:tcPr>
            <w:tcW w:type="dxa" w:w="1417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Revenue</w:t>
            </w:r>
          </w:p>
        </w:tc>
        <w:tc>
          <w:tcPr>
            <w:tcW w:type="dxa" w:w="1417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Costs</w:t>
            </w:r>
          </w:p>
        </w:tc>
        <w:tc>
          <w:tcPr>
            <w:tcW w:type="dxa" w:w="1417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Net</w:t>
            </w:r>
          </w:p>
        </w:tc>
        <w:tc>
          <w:tcPr>
            <w:tcW w:type="dxa" w:w="1701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Valuation (8×)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Y1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£75k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£235k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(£160k)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£0.6M</w:t>
            </w:r>
          </w:p>
        </w:tc>
      </w:tr>
      <w:tr>
        <w:tc>
          <w:tcPr>
            <w:tcW w:type="dxa" w:w="850"/>
            <w:shd w:fill="F5F5F5"/>
          </w:tcPr>
          <w:p>
            <w:r>
              <w:rPr>
                <w:sz w:val="16"/>
              </w:rPr>
              <w:t>Y2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£125k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£352k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(£227k)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6"/>
              </w:rPr>
              <w:t>£1M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Y3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£720k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£557k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+£163k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£5.8M</w:t>
            </w:r>
          </w:p>
        </w:tc>
      </w:tr>
      <w:tr>
        <w:tc>
          <w:tcPr>
            <w:tcW w:type="dxa" w:w="850"/>
            <w:shd w:fill="F5F5F5"/>
          </w:tcPr>
          <w:p>
            <w:r>
              <w:rPr>
                <w:sz w:val="16"/>
              </w:rPr>
              <w:t>Y4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£2.2M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£1.3M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+£880k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6"/>
              </w:rPr>
              <w:t>£18M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Y5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£5M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£3M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+£2M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£40M</w:t>
            </w:r>
          </w:p>
        </w:tc>
      </w:tr>
      <w:tr>
        <w:tc>
          <w:tcPr>
            <w:tcW w:type="dxa" w:w="850"/>
            <w:shd w:fill="F5F5F5"/>
          </w:tcPr>
          <w:p>
            <w:r>
              <w:rPr>
                <w:sz w:val="16"/>
              </w:rPr>
              <w:t>Y6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£12.5M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£7.5M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+£5M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6"/>
              </w:rPr>
              <w:t>£100M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Y7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£15.8M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£9.5M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+£6.3M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£126M</w:t>
            </w:r>
          </w:p>
        </w:tc>
      </w:tr>
      <w:tr>
        <w:tc>
          <w:tcPr>
            <w:tcW w:type="dxa" w:w="850"/>
            <w:shd w:fill="F5F5F5"/>
          </w:tcPr>
          <w:p>
            <w:r>
              <w:rPr>
                <w:sz w:val="16"/>
              </w:rPr>
              <w:t>Y8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£21.4M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£12.9M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6"/>
              </w:rPr>
              <w:t>+£8.6M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6"/>
              </w:rPr>
              <w:t>£172M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Y9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£26.8M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£16.1M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+£10.7M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£214M</w:t>
            </w:r>
          </w:p>
        </w:tc>
      </w:tr>
      <w:tr>
        <w:tc>
          <w:tcPr>
            <w:tcW w:type="dxa" w:w="850"/>
            <w:shd w:fill="F5F5F5"/>
          </w:tcPr>
          <w:p>
            <w:r>
              <w:rPr>
                <w:b/>
                <w:sz w:val="16"/>
              </w:rPr>
              <w:t>Y10</w:t>
            </w:r>
          </w:p>
        </w:tc>
        <w:tc>
          <w:tcPr>
            <w:tcW w:type="dxa" w:w="1134"/>
            <w:shd w:fill="F5F5F5"/>
          </w:tcPr>
          <w:p>
            <w:r>
              <w:rPr>
                <w:b/>
                <w:sz w:val="16"/>
              </w:rPr>
              <w:t>242</w:t>
            </w:r>
          </w:p>
        </w:tc>
        <w:tc>
          <w:tcPr>
            <w:tcW w:type="dxa" w:w="1417"/>
            <w:shd w:fill="F5F5F5"/>
          </w:tcPr>
          <w:p>
            <w:r>
              <w:rPr>
                <w:b/>
                <w:sz w:val="16"/>
              </w:rPr>
              <w:t>£32.4M</w:t>
            </w:r>
          </w:p>
        </w:tc>
        <w:tc>
          <w:tcPr>
            <w:tcW w:type="dxa" w:w="1417"/>
            <w:shd w:fill="F5F5F5"/>
          </w:tcPr>
          <w:p>
            <w:r>
              <w:rPr>
                <w:b/>
                <w:sz w:val="16"/>
              </w:rPr>
              <w:t>£19.5M</w:t>
            </w:r>
          </w:p>
        </w:tc>
        <w:tc>
          <w:tcPr>
            <w:tcW w:type="dxa" w:w="1417"/>
            <w:shd w:fill="F5F5F5"/>
          </w:tcPr>
          <w:p>
            <w:r>
              <w:rPr>
                <w:b/>
                <w:sz w:val="16"/>
              </w:rPr>
              <w:t>+£13M</w:t>
            </w:r>
          </w:p>
        </w:tc>
        <w:tc>
          <w:tcPr>
            <w:tcW w:type="dxa" w:w="1701"/>
            <w:shd w:fill="F5F5F5"/>
          </w:tcPr>
          <w:p>
            <w:r>
              <w:rPr>
                <w:b/>
                <w:sz w:val="16"/>
              </w:rPr>
              <w:t>£260M</w:t>
            </w:r>
          </w:p>
        </w:tc>
      </w:tr>
    </w:tbl>
    <w:p/>
    <w:p>
      <w:pPr>
        <w:pStyle w:val="Heading2"/>
      </w:pPr>
      <w:r>
        <w:rPr>
          <w:color w:val="00AAA4"/>
          <w:sz w:val="22"/>
        </w:rPr>
        <w:t>Return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6236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Investment sought</w:t>
            </w:r>
          </w:p>
        </w:tc>
        <w:tc>
          <w:tcPr>
            <w:tcW w:type="dxa" w:w="6236"/>
          </w:tcPr>
          <w:p>
            <w:r>
              <w:rPr>
                <w:sz w:val="16"/>
              </w:rPr>
              <w:t>£250,000</w:t>
            </w:r>
          </w:p>
        </w:tc>
      </w:tr>
      <w:tr>
        <w:tc>
          <w:tcPr>
            <w:tcW w:type="dxa" w:w="3402"/>
            <w:shd w:fill="F5F5F5"/>
          </w:tcPr>
          <w:p>
            <w:r>
              <w:rPr>
                <w:sz w:val="16"/>
              </w:rPr>
              <w:t>Consortium co-investment</w:t>
            </w:r>
          </w:p>
        </w:tc>
        <w:tc>
          <w:tcPr>
            <w:tcW w:type="dxa" w:w="6236"/>
            <w:shd w:fill="F5F5F5"/>
          </w:tcPr>
          <w:p>
            <w:r>
              <w:rPr>
                <w:sz w:val="16"/>
              </w:rPr>
              <w:t>£150,000 (10 HAs × £15k)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Total funding</w:t>
            </w:r>
          </w:p>
        </w:tc>
        <w:tc>
          <w:tcPr>
            <w:tcW w:type="dxa" w:w="6236"/>
          </w:tcPr>
          <w:p>
            <w:r>
              <w:rPr>
                <w:sz w:val="16"/>
              </w:rPr>
              <w:t>£400,000</w:t>
            </w:r>
          </w:p>
        </w:tc>
      </w:tr>
      <w:tr>
        <w:tc>
          <w:tcPr>
            <w:tcW w:type="dxa" w:w="3402"/>
            <w:shd w:fill="F5F5F5"/>
          </w:tcPr>
          <w:p>
            <w:r>
              <w:rPr>
                <w:sz w:val="16"/>
              </w:rPr>
              <w:t>Breakeven</w:t>
            </w:r>
          </w:p>
        </w:tc>
        <w:tc>
          <w:tcPr>
            <w:tcW w:type="dxa" w:w="6236"/>
            <w:shd w:fill="F5F5F5"/>
          </w:tcPr>
          <w:p>
            <w:r>
              <w:rPr>
                <w:sz w:val="16"/>
              </w:rPr>
              <w:t>Year 3 (£720k revenue)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Year 6 ARR / valuation</w:t>
            </w:r>
          </w:p>
        </w:tc>
        <w:tc>
          <w:tcPr>
            <w:tcW w:type="dxa" w:w="6236"/>
          </w:tcPr>
          <w:p>
            <w:r>
              <w:rPr>
                <w:sz w:val="16"/>
              </w:rPr>
              <w:t>£12.5M / £100M</w:t>
            </w:r>
          </w:p>
        </w:tc>
      </w:tr>
      <w:tr>
        <w:tc>
          <w:tcPr>
            <w:tcW w:type="dxa" w:w="3402"/>
            <w:shd w:fill="F5F5F5"/>
          </w:tcPr>
          <w:p>
            <w:r>
              <w:rPr>
                <w:sz w:val="16"/>
              </w:rPr>
              <w:t>Year 10 ARR / valuation</w:t>
            </w:r>
          </w:p>
        </w:tc>
        <w:tc>
          <w:tcPr>
            <w:tcW w:type="dxa" w:w="6236"/>
            <w:shd w:fill="F5F5F5"/>
          </w:tcPr>
          <w:p>
            <w:r>
              <w:rPr>
                <w:sz w:val="16"/>
              </w:rPr>
              <w:t>£32.4M / £260M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Return on £250k investment</w:t>
            </w:r>
          </w:p>
        </w:tc>
        <w:tc>
          <w:tcPr>
            <w:tcW w:type="dxa" w:w="6236"/>
          </w:tcPr>
          <w:p>
            <w:r>
              <w:rPr>
                <w:sz w:val="16"/>
              </w:rPr>
              <w:t>~1,000× at Year 10 (at 8× ARR)</w:t>
            </w:r>
          </w:p>
        </w:tc>
      </w:tr>
      <w:tr>
        <w:tc>
          <w:tcPr>
            <w:tcW w:type="dxa" w:w="3402"/>
            <w:shd w:fill="F5F5F5"/>
          </w:tcPr>
          <w:p>
            <w:r>
              <w:rPr>
                <w:sz w:val="16"/>
              </w:rPr>
              <w:t>Gross margin from Year 4</w:t>
            </w:r>
          </w:p>
        </w:tc>
        <w:tc>
          <w:tcPr>
            <w:tcW w:type="dxa" w:w="6236"/>
            <w:shd w:fill="F5F5F5"/>
          </w:tcPr>
          <w:p>
            <w:r>
              <w:rPr>
                <w:sz w:val="16"/>
              </w:rPr>
              <w:t>40%+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16"/>
              </w:rPr>
              <w:t>Cumulative profit (10 years)</w:t>
            </w:r>
          </w:p>
        </w:tc>
        <w:tc>
          <w:tcPr>
            <w:tcW w:type="dxa" w:w="6236"/>
          </w:tcPr>
          <w:p>
            <w:r>
              <w:rPr>
                <w:b/>
                <w:sz w:val="16"/>
              </w:rPr>
              <w:t>~£45M</w:t>
            </w:r>
          </w:p>
        </w:tc>
      </w:tr>
    </w:tbl>
    <w:p/>
    <w:p>
      <w:pPr>
        <w:pStyle w:val="Heading2"/>
      </w:pPr>
      <w:r>
        <w:rPr>
          <w:color w:val="00AAA4"/>
          <w:sz w:val="22"/>
        </w:rPr>
        <w:t>Comparable UK Housing Tech Valuations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Company</w:t>
            </w:r>
          </w:p>
        </w:tc>
        <w:tc>
          <w:tcPr>
            <w:tcW w:type="dxa" w:w="1701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Focus</w:t>
            </w:r>
          </w:p>
        </w:tc>
        <w:tc>
          <w:tcPr>
            <w:tcW w:type="dxa" w:w="1417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Funding</w:t>
            </w:r>
          </w:p>
        </w:tc>
        <w:tc>
          <w:tcPr>
            <w:tcW w:type="dxa" w:w="1134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Revenue</w:t>
            </w:r>
          </w:p>
        </w:tc>
        <w:tc>
          <w:tcPr>
            <w:tcW w:type="dxa" w:w="1984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Valuation</w:t>
            </w:r>
          </w:p>
        </w:tc>
        <w:tc>
          <w:tcPr>
            <w:tcW w:type="dxa" w:w="1134"/>
            <w:shd w:fill="00AAA4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Customers</w:t>
            </w:r>
          </w:p>
        </w:tc>
      </w:tr>
      <w:tr>
        <w:tc>
          <w:tcPr>
            <w:tcW w:type="dxa" w:w="1417"/>
          </w:tcPr>
          <w:p>
            <w:r>
              <w:rPr>
                <w:sz w:val="15"/>
              </w:rPr>
              <w:t>Switchee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IoT / smart thermostats</w:t>
            </w:r>
          </w:p>
        </w:tc>
        <w:tc>
          <w:tcPr>
            <w:tcW w:type="dxa" w:w="1417"/>
          </w:tcPr>
          <w:p>
            <w:r>
              <w:rPr>
                <w:sz w:val="15"/>
              </w:rPr>
              <w:t>£20M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£11.6M</w:t>
            </w:r>
          </w:p>
        </w:tc>
        <w:tc>
          <w:tcPr>
            <w:tcW w:type="dxa" w:w="1984"/>
          </w:tcPr>
          <w:p>
            <w:r>
              <w:rPr>
                <w:sz w:val="15"/>
              </w:rPr>
              <w:t>£1.63 BILLION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130+</w:t>
            </w:r>
          </w:p>
        </w:tc>
      </w:tr>
      <w:tr>
        <w:tc>
          <w:tcPr>
            <w:tcW w:type="dxa" w:w="1417"/>
            <w:shd w:fill="F5F5F5"/>
          </w:tcPr>
          <w:p>
            <w:r>
              <w:rPr>
                <w:sz w:val="15"/>
              </w:rPr>
              <w:t>Plentific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5"/>
              </w:rPr>
              <w:t>Repairs SaaS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5"/>
              </w:rPr>
              <w:t>£136M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5"/>
              </w:rPr>
              <w:t>£21M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5"/>
              </w:rPr>
              <w:t>Not disclosed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5"/>
              </w:rPr>
              <w:t>100</w:t>
            </w:r>
          </w:p>
        </w:tc>
      </w:tr>
      <w:tr>
        <w:tc>
          <w:tcPr>
            <w:tcW w:type="dxa" w:w="1417"/>
          </w:tcPr>
          <w:p>
            <w:r>
              <w:rPr>
                <w:sz w:val="15"/>
              </w:rPr>
              <w:t>Localz</w:t>
            </w:r>
          </w:p>
        </w:tc>
        <w:tc>
          <w:tcPr>
            <w:tcW w:type="dxa" w:w="1701"/>
          </w:tcPr>
          <w:p>
            <w:r>
              <w:rPr>
                <w:sz w:val="15"/>
              </w:rPr>
              <w:t>Last-mile engagement</w:t>
            </w:r>
          </w:p>
        </w:tc>
        <w:tc>
          <w:tcPr>
            <w:tcW w:type="dxa" w:w="1417"/>
          </w:tcPr>
          <w:p>
            <w:r>
              <w:rPr>
                <w:sz w:val="15"/>
              </w:rPr>
              <w:t>£7.4M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984"/>
          </w:tcPr>
          <w:p>
            <w:r>
              <w:rPr>
                <w:sz w:val="15"/>
              </w:rPr>
              <w:t>Acquired £6.2M</w:t>
            </w:r>
          </w:p>
        </w:tc>
        <w:tc>
          <w:tcPr>
            <w:tcW w:type="dxa" w:w="1134"/>
          </w:tcPr>
          <w:p>
            <w:r>
              <w:rPr>
                <w:sz w:val="15"/>
              </w:rPr>
              <w:t>10+</w:t>
            </w:r>
          </w:p>
        </w:tc>
      </w:tr>
      <w:tr>
        <w:tc>
          <w:tcPr>
            <w:tcW w:type="dxa" w:w="1417"/>
            <w:shd w:fill="F5F5F5"/>
          </w:tcPr>
          <w:p>
            <w:r>
              <w:rPr>
                <w:sz w:val="15"/>
              </w:rPr>
              <w:t>FaultFixers</w:t>
            </w:r>
          </w:p>
        </w:tc>
        <w:tc>
          <w:tcPr>
            <w:tcW w:type="dxa" w:w="1701"/>
            <w:shd w:fill="F5F5F5"/>
          </w:tcPr>
          <w:p>
            <w:r>
              <w:rPr>
                <w:sz w:val="15"/>
              </w:rPr>
              <w:t>Maintenance mgmt</w:t>
            </w:r>
          </w:p>
        </w:tc>
        <w:tc>
          <w:tcPr>
            <w:tcW w:type="dxa" w:w="1417"/>
            <w:shd w:fill="F5F5F5"/>
          </w:tcPr>
          <w:p>
            <w:r>
              <w:rPr>
                <w:sz w:val="15"/>
              </w:rPr>
              <w:t>£421k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984"/>
            <w:shd w:fill="F5F5F5"/>
          </w:tcPr>
          <w:p>
            <w:r>
              <w:rPr>
                <w:sz w:val="15"/>
              </w:rPr>
              <w:t>Early stage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5"/>
              </w:rPr>
              <w:t>Growing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15"/>
              </w:rPr>
              <w:t>SocialHomes.Ai</w:t>
            </w:r>
          </w:p>
        </w:tc>
        <w:tc>
          <w:tcPr>
            <w:tcW w:type="dxa" w:w="1701"/>
          </w:tcPr>
          <w:p>
            <w:r>
              <w:rPr>
                <w:b/>
                <w:sz w:val="15"/>
              </w:rPr>
              <w:t>Full HMS + AI</w:t>
            </w:r>
          </w:p>
        </w:tc>
        <w:tc>
          <w:tcPr>
            <w:tcW w:type="dxa" w:w="1417"/>
          </w:tcPr>
          <w:p>
            <w:r>
              <w:rPr>
                <w:b/>
                <w:sz w:val="15"/>
              </w:rPr>
              <w:t>£250k (target)</w:t>
            </w:r>
          </w:p>
        </w:tc>
        <w:tc>
          <w:tcPr>
            <w:tcW w:type="dxa" w:w="1134"/>
          </w:tcPr>
          <w:p>
            <w:r>
              <w:rPr>
                <w:b/>
                <w:sz w:val="15"/>
              </w:rPr>
              <w:t>£75k (Y1)</w:t>
            </w:r>
          </w:p>
        </w:tc>
        <w:tc>
          <w:tcPr>
            <w:tcW w:type="dxa" w:w="1984"/>
          </w:tcPr>
          <w:p>
            <w:r>
              <w:rPr>
                <w:b/>
                <w:sz w:val="15"/>
              </w:rPr>
              <w:t>£100M (Y6 target)</w:t>
            </w:r>
          </w:p>
        </w:tc>
        <w:tc>
          <w:tcPr>
            <w:tcW w:type="dxa" w:w="1134"/>
          </w:tcPr>
          <w:p>
            <w:r>
              <w:rPr>
                <w:b/>
                <w:sz w:val="15"/>
              </w:rPr>
              <w:t>10 (Y1)</w:t>
            </w:r>
          </w:p>
        </w:tc>
      </w:tr>
    </w:tbl>
    <w:p/>
    <w:p>
      <w:r>
        <w:rPr>
          <w:i/>
          <w:sz w:val="16"/>
        </w:rPr>
        <w:t>Switchee achieved a £1.63 billion valuation from just £20M in funding and 130 customers. SocialHomes.Ai targets a wider market (full HMS vs point solution) at a fraction of the capital.</w:t>
      </w:r>
    </w:p>
    <w:p>
      <w:pPr>
        <w:pStyle w:val="Heading2"/>
      </w:pPr>
      <w:r>
        <w:rPr>
          <w:color w:val="00AAA4"/>
          <w:sz w:val="22"/>
        </w:rPr>
        <w:t>Social Impact</w:t>
      </w:r>
    </w:p>
    <w:p>
      <w:r>
        <w:rPr>
          <w:b/>
          <w:sz w:val="18"/>
        </w:rPr>
        <w:t xml:space="preserve">Better housing systems save lives. </w:t>
      </w:r>
      <w:r>
        <w:rPr>
          <w:sz w:val="18"/>
        </w:rPr>
        <w:t>When Awaab Ishak’s mould complaints were tracked by a system with AI-powered countdown timers and automatic escalation, he would still be alive. When AI identifies that a vulnerable tenant hasn’t been contacted in 6 months, a welfare check happens before a crisis. When predictive maintenance catches a failing boiler before winter, a family stays warm. Every pound saved on overpriced legacy software goes back into housing and services for the 9 million people who depend on social housing.</w:t>
      </w:r>
    </w:p>
    <w:p/>
    <w:p>
      <w:pPr>
        <w:jc w:val="center"/>
      </w:pPr>
      <w:r>
        <w:rPr>
          <w:b/>
          <w:color w:val="00AAA4"/>
          <w:sz w:val="18"/>
        </w:rPr>
        <w:t>Rajiv Peter  |  Founder &amp; CTO  |  rajiv@yantra.works  |  yantra.works</w:t>
      </w:r>
    </w:p>
    <w:p>
      <w:pPr>
        <w:jc w:val="center"/>
      </w:pPr>
      <w:r>
        <w:rPr>
          <w:color w:val="646464"/>
          <w:sz w:val="14"/>
        </w:rPr>
        <w:t>Yantra Works Ltd  |  Commercially Sensitive &amp; Confidential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