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80"/>
      </w:pPr>
      <w:r>
        <w:rPr>
          <w:rFonts w:ascii="Calibri" w:hAnsi="Calibri"/>
          <w:b/>
          <w:color w:val="0B2545"/>
          <w:sz w:val="72"/>
        </w:rPr>
        <w:t>RailSahayak</w:t>
      </w:r>
    </w:p>
    <w:p>
      <w:pPr>
        <w:spacing w:after="280"/>
      </w:pPr>
      <w:r>
        <w:rPr>
          <w:rFonts w:ascii="Calibri" w:hAnsi="Calibri"/>
          <w:color w:val="134074"/>
          <w:sz w:val="30"/>
        </w:rPr>
        <w:t>Intelligent Railway Passenger Assistance &amp; Complaint Resolution Platform</w:t>
      </w:r>
    </w:p>
    <w:p>
      <w:pPr>
        <w:spacing w:after="560"/>
      </w:pPr>
      <w:r>
        <w:rPr>
          <w:rFonts w:ascii="Calibri" w:hAnsi="Calibri"/>
          <w:b/>
          <w:color w:val="A31D1D"/>
          <w:sz w:val="22"/>
        </w:rPr>
        <w:t>ENTERPRISE TECHNICAL PROPOSAL &amp; PILOT FEASIBILITY SUBMISSION</w:t>
        <w:br/>
        <w:t>Informational &amp; Advisory Complement to Indian Railways Passenger Systems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c>
          <w:tcPr>
            <w:tcW w:type="dxa" w:w="3168"/>
            <w:shd w:fill="EEF4FB"/>
            <w:tcMar>
              <w:top w:w="60" w:type="dxa"/>
              <w:bottom w:w="60" w:type="dxa"/>
              <w:left w:w="100" w:type="dxa"/>
              <w:right w:w="100" w:type="dxa"/>
            </w:tcMar>
          </w:tcPr>
          <w:p>
            <w:r>
              <w:rPr>
                <w:rFonts w:ascii="Calibri" w:hAnsi="Calibri"/>
                <w:b/>
                <w:color w:val="0B2545"/>
                <w:sz w:val="19"/>
              </w:rPr>
              <w:t>Target Stakeholders:</w:t>
            </w:r>
          </w:p>
        </w:tc>
        <w:tc>
          <w:tcPr>
            <w:tcW w:type="dxa" w:w="6581"/>
            <w:shd w:fill="FFFFFF"/>
            <w:tcMar>
              <w:top w:w="60" w:type="dxa"/>
              <w:bottom w:w="60" w:type="dxa"/>
              <w:left w:w="100" w:type="dxa"/>
              <w:right w:w="100" w:type="dxa"/>
            </w:tcMar>
          </w:tcPr>
          <w:p>
            <w:r>
              <w:rPr>
                <w:rFonts w:ascii="Calibri" w:hAnsi="Calibri"/>
                <w:color w:val="1E293B"/>
                <w:sz w:val="19"/>
              </w:rPr>
              <w:t>Ministry of Railways (MoR), Center for Railway Information Systems (CRIS), Indian Railway Catering and Tourism Corporation (IRCTC), Railway Innovation Program Evaluators</w:t>
            </w:r>
          </w:p>
        </w:tc>
      </w:tr>
      <w:tr>
        <w:tc>
          <w:tcPr>
            <w:tcW w:type="dxa" w:w="3168"/>
            <w:shd w:fill="EEF4FB"/>
            <w:tcMar>
              <w:top w:w="60" w:type="dxa"/>
              <w:bottom w:w="60" w:type="dxa"/>
              <w:left w:w="100" w:type="dxa"/>
              <w:right w:w="100" w:type="dxa"/>
            </w:tcMar>
          </w:tcPr>
          <w:p>
            <w:r>
              <w:rPr>
                <w:rFonts w:ascii="Calibri" w:hAnsi="Calibri"/>
                <w:b/>
                <w:color w:val="0B2545"/>
                <w:sz w:val="19"/>
              </w:rPr>
              <w:t>Submission Date:</w:t>
            </w:r>
          </w:p>
        </w:tc>
        <w:tc>
          <w:tcPr>
            <w:tcW w:type="dxa" w:w="6581"/>
            <w:shd w:fill="FFFFFF"/>
            <w:tcMar>
              <w:top w:w="60" w:type="dxa"/>
              <w:bottom w:w="60" w:type="dxa"/>
              <w:left w:w="100" w:type="dxa"/>
              <w:right w:w="100" w:type="dxa"/>
            </w:tcMar>
          </w:tcPr>
          <w:p>
            <w:r>
              <w:rPr>
                <w:rFonts w:ascii="Calibri" w:hAnsi="Calibri"/>
                <w:color w:val="1E293B"/>
                <w:sz w:val="19"/>
              </w:rPr>
              <w:t>October 2026</w:t>
            </w:r>
          </w:p>
        </w:tc>
      </w:tr>
      <w:tr>
        <w:tc>
          <w:tcPr>
            <w:tcW w:type="dxa" w:w="3168"/>
            <w:shd w:fill="EEF4FB"/>
            <w:tcMar>
              <w:top w:w="60" w:type="dxa"/>
              <w:bottom w:w="60" w:type="dxa"/>
              <w:left w:w="100" w:type="dxa"/>
              <w:right w:w="100" w:type="dxa"/>
            </w:tcMar>
          </w:tcPr>
          <w:p>
            <w:r>
              <w:rPr>
                <w:rFonts w:ascii="Calibri" w:hAnsi="Calibri"/>
                <w:b/>
                <w:color w:val="0B2545"/>
                <w:sz w:val="19"/>
              </w:rPr>
              <w:t>Document Reference:</w:t>
            </w:r>
          </w:p>
        </w:tc>
        <w:tc>
          <w:tcPr>
            <w:tcW w:type="dxa" w:w="6581"/>
            <w:shd w:fill="FFFFFF"/>
            <w:tcMar>
              <w:top w:w="60" w:type="dxa"/>
              <w:bottom w:w="60" w:type="dxa"/>
              <w:left w:w="100" w:type="dxa"/>
              <w:right w:w="100" w:type="dxa"/>
            </w:tcMar>
          </w:tcPr>
          <w:p>
            <w:r>
              <w:rPr>
                <w:rFonts w:ascii="Calibri" w:hAnsi="Calibri"/>
                <w:color w:val="1E293B"/>
                <w:sz w:val="19"/>
              </w:rPr>
              <w:t>RS-PROP-2026-V1.0</w:t>
            </w:r>
          </w:p>
        </w:tc>
      </w:tr>
      <w:tr>
        <w:tc>
          <w:tcPr>
            <w:tcW w:type="dxa" w:w="3168"/>
            <w:shd w:fill="EEF4FB"/>
            <w:tcMar>
              <w:top w:w="60" w:type="dxa"/>
              <w:bottom w:w="60" w:type="dxa"/>
              <w:left w:w="100" w:type="dxa"/>
              <w:right w:w="100" w:type="dxa"/>
            </w:tcMar>
          </w:tcPr>
          <w:p>
            <w:r>
              <w:rPr>
                <w:rFonts w:ascii="Calibri" w:hAnsi="Calibri"/>
                <w:b/>
                <w:color w:val="0B2545"/>
                <w:sz w:val="19"/>
              </w:rPr>
              <w:t>Classification:</w:t>
            </w:r>
          </w:p>
        </w:tc>
        <w:tc>
          <w:tcPr>
            <w:tcW w:type="dxa" w:w="6581"/>
            <w:shd w:fill="FFFFFF"/>
            <w:tcMar>
              <w:top w:w="60" w:type="dxa"/>
              <w:bottom w:w="60" w:type="dxa"/>
              <w:left w:w="100" w:type="dxa"/>
              <w:right w:w="100" w:type="dxa"/>
            </w:tcMar>
          </w:tcPr>
          <w:p>
            <w:r>
              <w:rPr>
                <w:rFonts w:ascii="Calibri" w:hAnsi="Calibri"/>
                <w:color w:val="1E293B"/>
                <w:sz w:val="19"/>
              </w:rPr>
              <w:t>Independent Engineering Prototype Submission • Commercial-in-Confidence for Innovation Review</w:t>
            </w:r>
          </w:p>
        </w:tc>
      </w:tr>
      <w:tr>
        <w:tc>
          <w:tcPr>
            <w:tcW w:type="dxa" w:w="3168"/>
            <w:shd w:fill="EEF4FB"/>
            <w:tcMar>
              <w:top w:w="60" w:type="dxa"/>
              <w:bottom w:w="60" w:type="dxa"/>
              <w:left w:w="100" w:type="dxa"/>
              <w:right w:w="100" w:type="dxa"/>
            </w:tcMar>
          </w:tcPr>
          <w:p>
            <w:r>
              <w:rPr>
                <w:rFonts w:ascii="Calibri" w:hAnsi="Calibri"/>
                <w:b/>
                <w:color w:val="0B2545"/>
                <w:sz w:val="19"/>
              </w:rPr>
              <w:t>Author / Engineering Lead:</w:t>
            </w:r>
          </w:p>
        </w:tc>
        <w:tc>
          <w:tcPr>
            <w:tcW w:type="dxa" w:w="6581"/>
            <w:shd w:fill="FFFFFF"/>
            <w:tcMar>
              <w:top w:w="60" w:type="dxa"/>
              <w:bottom w:w="60" w:type="dxa"/>
              <w:left w:w="100" w:type="dxa"/>
              <w:right w:w="100" w:type="dxa"/>
            </w:tcMar>
          </w:tcPr>
          <w:p>
            <w:r>
              <w:rPr>
                <w:rFonts w:ascii="Calibri" w:hAnsi="Calibri"/>
                <w:color w:val="1E293B"/>
                <w:sz w:val="19"/>
              </w:rPr>
              <w:t>RailSahayak Core Engineering &amp; Systems Architecture Team</w:t>
            </w:r>
          </w:p>
        </w:tc>
      </w:tr>
      <w:tr>
        <w:tc>
          <w:tcPr>
            <w:tcW w:type="dxa" w:w="3168"/>
            <w:shd w:fill="EEF4FB"/>
            <w:tcMar>
              <w:top w:w="60" w:type="dxa"/>
              <w:bottom w:w="60" w:type="dxa"/>
              <w:left w:w="100" w:type="dxa"/>
              <w:right w:w="100" w:type="dxa"/>
            </w:tcMar>
          </w:tcPr>
          <w:p>
            <w:r>
              <w:rPr>
                <w:rFonts w:ascii="Calibri" w:hAnsi="Calibri"/>
                <w:b/>
                <w:color w:val="0B2545"/>
                <w:sz w:val="19"/>
              </w:rPr>
              <w:t>Execution Environment:</w:t>
            </w:r>
          </w:p>
        </w:tc>
        <w:tc>
          <w:tcPr>
            <w:tcW w:type="dxa" w:w="6581"/>
            <w:shd w:fill="FFFFFF"/>
            <w:tcMar>
              <w:top w:w="60" w:type="dxa"/>
              <w:bottom w:w="60" w:type="dxa"/>
              <w:left w:w="100" w:type="dxa"/>
              <w:right w:w="100" w:type="dxa"/>
            </w:tcMar>
          </w:tcPr>
          <w:p>
            <w:r>
              <w:rPr>
                <w:rFonts w:ascii="Calibri" w:hAnsi="Calibri"/>
                <w:color w:val="1E293B"/>
                <w:sz w:val="19"/>
              </w:rPr>
              <w:t>Local Prototype Sandbox (Spring Boot 3.4.5, PostgreSQL 16, Java 24) • Verified by 29 Automated Tests</w:t>
            </w:r>
          </w:p>
        </w:tc>
      </w:tr>
    </w:tbl>
    <w:p>
      <w:pPr>
        <w:spacing w:before="600"/>
      </w:pPr>
    </w:p>
    <w:tbl>
      <w:tblPr>
        <w:tblW w:type="auto" w:w="0"/>
        <w:jc w:val="center"/>
        <w:tblLayout w:type="fixed"/>
        <w:tblLook w:firstColumn="1" w:firstRow="1" w:lastColumn="0" w:lastRow="0" w:noHBand="0" w:noVBand="1" w:val="04A0"/>
      </w:tblPr>
      <w:tblGrid>
        <w:gridCol w:w="9749"/>
      </w:tblGrid>
      <w:tr>
        <w:tc>
          <w:tcPr>
            <w:tcW w:type="dxa" w:w="9749"/>
            <w:shd w:fill="FFFBEB"/>
            <w:tcMar>
              <w:top w:w="120" w:type="dxa"/>
              <w:bottom w:w="120" w:type="dxa"/>
              <w:left w:w="180" w:type="dxa"/>
              <w:right w:w="140" w:type="dxa"/>
            </w:tcMar>
            <w:tcBorders>
              <w:left w:val="single" w:sz="24" w:space="0" w:color="B45309"/>
              <w:top w:val="none"/>
              <w:right w:val="none"/>
              <w:bottom w:val="none"/>
            </w:tcBorders>
          </w:tcPr>
          <w:p>
            <w:pPr>
              <w:spacing w:before="40" w:after="40" w:line="276" w:lineRule="auto"/>
            </w:pPr>
            <w:r>
              <w:rPr>
                <w:rFonts w:ascii="Calibri" w:hAnsi="Calibri"/>
                <w:b/>
                <w:color w:val="0B2545"/>
                <w:sz w:val="21"/>
              </w:rPr>
              <w:t>INDEPENDENT PROTOTYPE &amp; INSTITUTIONAL BOUNDARY NOTICE</w:t>
              <w:br/>
            </w:r>
            <w:r>
              <w:rPr>
                <w:rFonts w:ascii="Calibri" w:hAnsi="Calibri"/>
                <w:color w:val="B45309"/>
                <w:sz w:val="20"/>
              </w:rPr>
              <w:t>LEGAL &amp; ARCHITECTURAL NOTICE: RailSahayak is an independent software research and development prototype developed for academic, technical, and railway innovation review. It is NOT endorsed by, directly affiliated with, or an official production system of the Ministry of Railways, CRIS, or IRCTC. All trademarks (including IRCTC, CRIS, NTES, RailMadad, and UPI) belong to their respective owners and are cited strictly for technical architecture and systems-integration analysis. The software operates with strict informational boundaries: it does not process live bookings, execute financial reversals, or bypass official PRS/RailMadad protocols.</w:t>
            </w:r>
          </w:p>
        </w:tc>
      </w:tr>
    </w:tbl>
    <w:p>
      <w:pPr>
        <w:spacing w:before="0" w:after="80"/>
      </w:pPr>
    </w:p>
    <w:p>
      <w:r>
        <w:br w:type="page"/>
      </w:r>
    </w:p>
    <w:p>
      <w:pPr>
        <w:keepNext/>
        <w:spacing w:before="320" w:after="120"/>
      </w:pPr>
      <w:r>
        <w:rPr>
          <w:rFonts w:ascii="Calibri" w:hAnsi="Calibri"/>
          <w:b/>
          <w:color w:val="0B2545"/>
          <w:sz w:val="32"/>
        </w:rPr>
        <w:t>2. Document Control &amp; Independent Prototype Disclaimer</w:t>
      </w:r>
    </w:p>
    <w:p>
      <w:pPr>
        <w:keepNext/>
        <w:spacing w:before="240" w:after="80"/>
      </w:pPr>
      <w:r>
        <w:rPr>
          <w:rFonts w:ascii="Calibri" w:hAnsi="Calibri"/>
          <w:b/>
          <w:color w:val="134074"/>
          <w:sz w:val="26"/>
        </w:rPr>
        <w:t>2.1 Document Metadata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c>
          <w:tcPr>
            <w:tcW w:type="dxa" w:w="3168"/>
            <w:shd w:fill="0B2545"/>
            <w:tcMar>
              <w:top w:w="100" w:type="dxa"/>
              <w:bottom w:w="100" w:type="dxa"/>
              <w:left w:w="120" w:type="dxa"/>
              <w:right w:w="120" w:type="dxa"/>
            </w:tcMar>
          </w:tcPr>
          <w:p>
            <w:pPr>
              <w:jc w:val="left"/>
            </w:pPr>
            <w:r>
              <w:rPr>
                <w:rFonts w:ascii="Calibri" w:hAnsi="Calibri"/>
                <w:b/>
                <w:color w:val="FFFFFF"/>
                <w:sz w:val="19"/>
              </w:rPr>
              <w:t>Attribute</w:t>
            </w:r>
          </w:p>
        </w:tc>
        <w:tc>
          <w:tcPr>
            <w:tcW w:type="dxa" w:w="6581"/>
            <w:shd w:fill="0B2545"/>
            <w:tcMar>
              <w:top w:w="100" w:type="dxa"/>
              <w:bottom w:w="100" w:type="dxa"/>
              <w:left w:w="120" w:type="dxa"/>
              <w:right w:w="120" w:type="dxa"/>
            </w:tcMar>
          </w:tcPr>
          <w:p>
            <w:pPr>
              <w:jc w:val="left"/>
            </w:pPr>
            <w:r>
              <w:rPr>
                <w:rFonts w:ascii="Calibri" w:hAnsi="Calibri"/>
                <w:b/>
                <w:color w:val="FFFFFF"/>
                <w:sz w:val="19"/>
              </w:rPr>
              <w:t>Specification / Document Detail</w:t>
            </w:r>
          </w:p>
        </w:tc>
      </w:tr>
      <w:tr>
        <w:tc>
          <w:tcPr>
            <w:tcW w:type="dxa" w:w="3168"/>
            <w:shd w:fill="FFFFFF"/>
            <w:tcMar>
              <w:top w:w="80" w:type="dxa"/>
              <w:bottom w:w="80" w:type="dxa"/>
              <w:left w:w="120" w:type="dxa"/>
              <w:right w:w="120" w:type="dxa"/>
            </w:tcMar>
          </w:tcPr>
          <w:p>
            <w:r>
              <w:rPr>
                <w:rFonts w:ascii="Calibri" w:hAnsi="Calibri"/>
                <w:color w:val="1E293B"/>
                <w:sz w:val="18"/>
              </w:rPr>
              <w:t>Document Title</w:t>
            </w:r>
          </w:p>
        </w:tc>
        <w:tc>
          <w:tcPr>
            <w:tcW w:type="dxa" w:w="6581"/>
            <w:shd w:fill="FFFFFF"/>
            <w:tcMar>
              <w:top w:w="80" w:type="dxa"/>
              <w:bottom w:w="80" w:type="dxa"/>
              <w:left w:w="120" w:type="dxa"/>
              <w:right w:w="120" w:type="dxa"/>
            </w:tcMar>
          </w:tcPr>
          <w:p>
            <w:r>
              <w:rPr>
                <w:rFonts w:ascii="Calibri" w:hAnsi="Calibri"/>
                <w:color w:val="1E293B"/>
                <w:sz w:val="18"/>
              </w:rPr>
              <w:t>RailSahayak Enterprise Stakeholder Proposal &amp; Pilot Integration Pack</w:t>
            </w:r>
          </w:p>
        </w:tc>
      </w:tr>
      <w:tr>
        <w:tc>
          <w:tcPr>
            <w:tcW w:type="dxa" w:w="3168"/>
            <w:shd w:fill="F8FAFC"/>
            <w:tcMar>
              <w:top w:w="80" w:type="dxa"/>
              <w:bottom w:w="80" w:type="dxa"/>
              <w:left w:w="120" w:type="dxa"/>
              <w:right w:w="120" w:type="dxa"/>
            </w:tcMar>
          </w:tcPr>
          <w:p>
            <w:r>
              <w:rPr>
                <w:rFonts w:ascii="Calibri" w:hAnsi="Calibri"/>
                <w:color w:val="1E293B"/>
                <w:sz w:val="18"/>
              </w:rPr>
              <w:t>Document Identifier</w:t>
            </w:r>
          </w:p>
        </w:tc>
        <w:tc>
          <w:tcPr>
            <w:tcW w:type="dxa" w:w="6581"/>
            <w:shd w:fill="F8FAFC"/>
            <w:tcMar>
              <w:top w:w="80" w:type="dxa"/>
              <w:bottom w:w="80" w:type="dxa"/>
              <w:left w:w="120" w:type="dxa"/>
              <w:right w:w="120" w:type="dxa"/>
            </w:tcMar>
          </w:tcPr>
          <w:p>
            <w:r>
              <w:rPr>
                <w:rFonts w:ascii="Calibri" w:hAnsi="Calibri"/>
                <w:color w:val="1E293B"/>
                <w:sz w:val="18"/>
              </w:rPr>
              <w:t>RS-PROP-2026-V1.0</w:t>
            </w:r>
          </w:p>
        </w:tc>
      </w:tr>
      <w:tr>
        <w:tc>
          <w:tcPr>
            <w:tcW w:type="dxa" w:w="3168"/>
            <w:shd w:fill="FFFFFF"/>
            <w:tcMar>
              <w:top w:w="80" w:type="dxa"/>
              <w:bottom w:w="80" w:type="dxa"/>
              <w:left w:w="120" w:type="dxa"/>
              <w:right w:w="120" w:type="dxa"/>
            </w:tcMar>
          </w:tcPr>
          <w:p>
            <w:r>
              <w:rPr>
                <w:rFonts w:ascii="Calibri" w:hAnsi="Calibri"/>
                <w:color w:val="1E293B"/>
                <w:sz w:val="18"/>
              </w:rPr>
              <w:t>Target Reviewers</w:t>
            </w:r>
          </w:p>
        </w:tc>
        <w:tc>
          <w:tcPr>
            <w:tcW w:type="dxa" w:w="6581"/>
            <w:shd w:fill="FFFFFF"/>
            <w:tcMar>
              <w:top w:w="80" w:type="dxa"/>
              <w:bottom w:w="80" w:type="dxa"/>
              <w:left w:w="120" w:type="dxa"/>
              <w:right w:w="120" w:type="dxa"/>
            </w:tcMar>
          </w:tcPr>
          <w:p>
            <w:r>
              <w:rPr>
                <w:rFonts w:ascii="Calibri" w:hAnsi="Calibri"/>
                <w:color w:val="1E293B"/>
                <w:sz w:val="18"/>
              </w:rPr>
              <w:t>Ministry of Railways, CRIS Architecture Group, IRCTC E-Ticketing Directorate</w:t>
            </w:r>
          </w:p>
        </w:tc>
      </w:tr>
      <w:tr>
        <w:tc>
          <w:tcPr>
            <w:tcW w:type="dxa" w:w="3168"/>
            <w:shd w:fill="F8FAFC"/>
            <w:tcMar>
              <w:top w:w="80" w:type="dxa"/>
              <w:bottom w:w="80" w:type="dxa"/>
              <w:left w:w="120" w:type="dxa"/>
              <w:right w:w="120" w:type="dxa"/>
            </w:tcMar>
          </w:tcPr>
          <w:p>
            <w:r>
              <w:rPr>
                <w:rFonts w:ascii="Calibri" w:hAnsi="Calibri"/>
                <w:color w:val="1E293B"/>
                <w:sz w:val="18"/>
              </w:rPr>
              <w:t>Security Classification</w:t>
            </w:r>
          </w:p>
        </w:tc>
        <w:tc>
          <w:tcPr>
            <w:tcW w:type="dxa" w:w="6581"/>
            <w:shd w:fill="F8FAFC"/>
            <w:tcMar>
              <w:top w:w="80" w:type="dxa"/>
              <w:bottom w:w="80" w:type="dxa"/>
              <w:left w:w="120" w:type="dxa"/>
              <w:right w:w="120" w:type="dxa"/>
            </w:tcMar>
          </w:tcPr>
          <w:p>
            <w:r>
              <w:rPr>
                <w:rFonts w:ascii="Calibri" w:hAnsi="Calibri"/>
                <w:color w:val="1E293B"/>
                <w:sz w:val="18"/>
              </w:rPr>
              <w:t>Official Submission / Commercial-in-Confidence for Innovation Review</w:t>
            </w:r>
          </w:p>
        </w:tc>
      </w:tr>
      <w:tr>
        <w:tc>
          <w:tcPr>
            <w:tcW w:type="dxa" w:w="3168"/>
            <w:shd w:fill="FFFFFF"/>
            <w:tcMar>
              <w:top w:w="80" w:type="dxa"/>
              <w:bottom w:w="80" w:type="dxa"/>
              <w:left w:w="120" w:type="dxa"/>
              <w:right w:w="120" w:type="dxa"/>
            </w:tcMar>
          </w:tcPr>
          <w:p>
            <w:r>
              <w:rPr>
                <w:rFonts w:ascii="Calibri" w:hAnsi="Calibri"/>
                <w:color w:val="1E293B"/>
                <w:sz w:val="18"/>
              </w:rPr>
              <w:t>Current Release Version</w:t>
            </w:r>
          </w:p>
        </w:tc>
        <w:tc>
          <w:tcPr>
            <w:tcW w:type="dxa" w:w="6581"/>
            <w:shd w:fill="FFFFFF"/>
            <w:tcMar>
              <w:top w:w="80" w:type="dxa"/>
              <w:bottom w:w="80" w:type="dxa"/>
              <w:left w:w="120" w:type="dxa"/>
              <w:right w:w="120" w:type="dxa"/>
            </w:tcMar>
          </w:tcPr>
          <w:p>
            <w:r>
              <w:rPr>
                <w:rFonts w:ascii="Calibri" w:hAnsi="Calibri"/>
                <w:color w:val="1E293B"/>
                <w:sz w:val="18"/>
              </w:rPr>
              <w:t>Version 1.0 (Production-Grade Prototype Release)</w:t>
            </w:r>
          </w:p>
        </w:tc>
      </w:tr>
      <w:tr>
        <w:tc>
          <w:tcPr>
            <w:tcW w:type="dxa" w:w="3168"/>
            <w:shd w:fill="F8FAFC"/>
            <w:tcMar>
              <w:top w:w="80" w:type="dxa"/>
              <w:bottom w:w="80" w:type="dxa"/>
              <w:left w:w="120" w:type="dxa"/>
              <w:right w:w="120" w:type="dxa"/>
            </w:tcMar>
          </w:tcPr>
          <w:p>
            <w:r>
              <w:rPr>
                <w:rFonts w:ascii="Calibri" w:hAnsi="Calibri"/>
                <w:color w:val="1E293B"/>
                <w:sz w:val="18"/>
              </w:rPr>
              <w:t>Source Code Repository</w:t>
            </w:r>
          </w:p>
        </w:tc>
        <w:tc>
          <w:tcPr>
            <w:tcW w:type="dxa" w:w="6581"/>
            <w:shd w:fill="F8FAFC"/>
            <w:tcMar>
              <w:top w:w="80" w:type="dxa"/>
              <w:bottom w:w="80" w:type="dxa"/>
              <w:left w:w="120" w:type="dxa"/>
              <w:right w:w="120" w:type="dxa"/>
            </w:tcMar>
          </w:tcPr>
          <w:p>
            <w:r>
              <w:rPr>
                <w:rFonts w:ascii="Calibri" w:hAnsi="Calibri"/>
                <w:color w:val="1E293B"/>
                <w:sz w:val="18"/>
              </w:rPr>
              <w:t>C:\Railshahayak\railsahayak-backend-starter\railsahayak-backend-starter</w:t>
            </w:r>
          </w:p>
        </w:tc>
      </w:tr>
      <w:tr>
        <w:tc>
          <w:tcPr>
            <w:tcW w:type="dxa" w:w="3168"/>
            <w:shd w:fill="FFFFFF"/>
            <w:tcMar>
              <w:top w:w="80" w:type="dxa"/>
              <w:bottom w:w="80" w:type="dxa"/>
              <w:left w:w="120" w:type="dxa"/>
              <w:right w:w="120" w:type="dxa"/>
            </w:tcMar>
          </w:tcPr>
          <w:p>
            <w:r>
              <w:rPr>
                <w:rFonts w:ascii="Calibri" w:hAnsi="Calibri"/>
                <w:color w:val="1E293B"/>
                <w:sz w:val="18"/>
              </w:rPr>
              <w:t>Verification Standard</w:t>
            </w:r>
          </w:p>
        </w:tc>
        <w:tc>
          <w:tcPr>
            <w:tcW w:type="dxa" w:w="6581"/>
            <w:shd w:fill="FFFFFF"/>
            <w:tcMar>
              <w:top w:w="80" w:type="dxa"/>
              <w:bottom w:w="80" w:type="dxa"/>
              <w:left w:w="120" w:type="dxa"/>
              <w:right w:w="120" w:type="dxa"/>
            </w:tcMar>
          </w:tcPr>
          <w:p>
            <w:r>
              <w:rPr>
                <w:rFonts w:ascii="Calibri" w:hAnsi="Calibri"/>
                <w:color w:val="1E293B"/>
                <w:sz w:val="18"/>
              </w:rPr>
              <w:t>29/29 Automated Integration Tests (Pass Rate: 100%, Failures: 0, Errors: 0)</w:t>
            </w:r>
          </w:p>
        </w:tc>
      </w:tr>
      <w:tr>
        <w:tc>
          <w:tcPr>
            <w:tcW w:type="dxa" w:w="3168"/>
            <w:shd w:fill="F8FAFC"/>
            <w:tcMar>
              <w:top w:w="80" w:type="dxa"/>
              <w:bottom w:w="80" w:type="dxa"/>
              <w:left w:w="120" w:type="dxa"/>
              <w:right w:w="120" w:type="dxa"/>
            </w:tcMar>
          </w:tcPr>
          <w:p>
            <w:r>
              <w:rPr>
                <w:rFonts w:ascii="Calibri" w:hAnsi="Calibri"/>
                <w:color w:val="1E293B"/>
                <w:sz w:val="18"/>
              </w:rPr>
              <w:t>Regulatory Compliance Baseline</w:t>
            </w:r>
          </w:p>
        </w:tc>
        <w:tc>
          <w:tcPr>
            <w:tcW w:type="dxa" w:w="6581"/>
            <w:shd w:fill="F8FAFC"/>
            <w:tcMar>
              <w:top w:w="80" w:type="dxa"/>
              <w:bottom w:w="80" w:type="dxa"/>
              <w:left w:w="120" w:type="dxa"/>
              <w:right w:w="120" w:type="dxa"/>
            </w:tcMar>
          </w:tcPr>
          <w:p>
            <w:r>
              <w:rPr>
                <w:rFonts w:ascii="Calibri" w:hAnsi="Calibri"/>
                <w:color w:val="1E293B"/>
                <w:sz w:val="18"/>
              </w:rPr>
              <w:t>DPDP Act 2023, RBI Circular RBI/2019-20/67, CERT-In Web Security Guidelines</w:t>
            </w:r>
          </w:p>
        </w:tc>
      </w:tr>
    </w:tbl>
    <w:p>
      <w:pPr>
        <w:spacing w:before="0" w:after="80"/>
      </w:pPr>
    </w:p>
    <w:p>
      <w:pPr>
        <w:keepNext/>
        <w:spacing w:before="240" w:after="80"/>
      </w:pPr>
      <w:r>
        <w:rPr>
          <w:rFonts w:ascii="Calibri" w:hAnsi="Calibri"/>
          <w:b/>
          <w:color w:val="134074"/>
          <w:sz w:val="26"/>
        </w:rPr>
        <w:t>2.2 Revision History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1152"/>
            <w:shd w:fill="0B2545"/>
            <w:tcMar>
              <w:top w:w="100" w:type="dxa"/>
              <w:bottom w:w="100" w:type="dxa"/>
              <w:left w:w="120" w:type="dxa"/>
              <w:right w:w="120" w:type="dxa"/>
            </w:tcMar>
          </w:tcPr>
          <w:p>
            <w:pPr>
              <w:jc w:val="left"/>
            </w:pPr>
            <w:r>
              <w:rPr>
                <w:rFonts w:ascii="Calibri" w:hAnsi="Calibri"/>
                <w:b/>
                <w:color w:val="FFFFFF"/>
                <w:sz w:val="19"/>
              </w:rPr>
              <w:t>Version</w:t>
            </w:r>
          </w:p>
        </w:tc>
        <w:tc>
          <w:tcPr>
            <w:tcW w:type="dxa" w:w="1584"/>
            <w:shd w:fill="0B2545"/>
            <w:tcMar>
              <w:top w:w="100" w:type="dxa"/>
              <w:bottom w:w="100" w:type="dxa"/>
              <w:left w:w="120" w:type="dxa"/>
              <w:right w:w="120" w:type="dxa"/>
            </w:tcMar>
          </w:tcPr>
          <w:p>
            <w:pPr>
              <w:jc w:val="left"/>
            </w:pPr>
            <w:r>
              <w:rPr>
                <w:rFonts w:ascii="Calibri" w:hAnsi="Calibri"/>
                <w:b/>
                <w:color w:val="FFFFFF"/>
                <w:sz w:val="19"/>
              </w:rPr>
              <w:t>Release Date</w:t>
            </w:r>
          </w:p>
        </w:tc>
        <w:tc>
          <w:tcPr>
            <w:tcW w:type="dxa" w:w="2304"/>
            <w:shd w:fill="0B2545"/>
            <w:tcMar>
              <w:top w:w="100" w:type="dxa"/>
              <w:bottom w:w="100" w:type="dxa"/>
              <w:left w:w="120" w:type="dxa"/>
              <w:right w:w="120" w:type="dxa"/>
            </w:tcMar>
          </w:tcPr>
          <w:p>
            <w:pPr>
              <w:jc w:val="left"/>
            </w:pPr>
            <w:r>
              <w:rPr>
                <w:rFonts w:ascii="Calibri" w:hAnsi="Calibri"/>
                <w:b/>
                <w:color w:val="FFFFFF"/>
                <w:sz w:val="19"/>
              </w:rPr>
              <w:t>Author / Contributor</w:t>
            </w:r>
          </w:p>
        </w:tc>
        <w:tc>
          <w:tcPr>
            <w:tcW w:type="dxa" w:w="4709"/>
            <w:shd w:fill="0B2545"/>
            <w:tcMar>
              <w:top w:w="100" w:type="dxa"/>
              <w:bottom w:w="100" w:type="dxa"/>
              <w:left w:w="120" w:type="dxa"/>
              <w:right w:w="120" w:type="dxa"/>
            </w:tcMar>
          </w:tcPr>
          <w:p>
            <w:pPr>
              <w:jc w:val="left"/>
            </w:pPr>
            <w:r>
              <w:rPr>
                <w:rFonts w:ascii="Calibri" w:hAnsi="Calibri"/>
                <w:b/>
                <w:color w:val="FFFFFF"/>
                <w:sz w:val="19"/>
              </w:rPr>
              <w:t>Summary of Technical Changes</w:t>
            </w:r>
          </w:p>
        </w:tc>
      </w:tr>
      <w:tr>
        <w:tc>
          <w:tcPr>
            <w:tcW w:type="dxa" w:w="1152"/>
            <w:shd w:fill="FFFFFF"/>
            <w:tcMar>
              <w:top w:w="80" w:type="dxa"/>
              <w:bottom w:w="80" w:type="dxa"/>
              <w:left w:w="120" w:type="dxa"/>
              <w:right w:w="120" w:type="dxa"/>
            </w:tcMar>
          </w:tcPr>
          <w:p>
            <w:r>
              <w:rPr>
                <w:rFonts w:ascii="Calibri" w:hAnsi="Calibri"/>
                <w:color w:val="1E293B"/>
                <w:sz w:val="18"/>
              </w:rPr>
              <w:t>v0.1</w:t>
            </w:r>
          </w:p>
        </w:tc>
        <w:tc>
          <w:tcPr>
            <w:tcW w:type="dxa" w:w="1584"/>
            <w:shd w:fill="FFFFFF"/>
            <w:tcMar>
              <w:top w:w="80" w:type="dxa"/>
              <w:bottom w:w="80" w:type="dxa"/>
              <w:left w:w="120" w:type="dxa"/>
              <w:right w:w="120" w:type="dxa"/>
            </w:tcMar>
          </w:tcPr>
          <w:p>
            <w:r>
              <w:rPr>
                <w:rFonts w:ascii="Calibri" w:hAnsi="Calibri"/>
                <w:color w:val="1E293B"/>
                <w:sz w:val="18"/>
              </w:rPr>
              <w:t>Oct 02, 2026</w:t>
            </w:r>
          </w:p>
        </w:tc>
        <w:tc>
          <w:tcPr>
            <w:tcW w:type="dxa" w:w="2304"/>
            <w:shd w:fill="FFFFFF"/>
            <w:tcMar>
              <w:top w:w="80" w:type="dxa"/>
              <w:bottom w:w="80" w:type="dxa"/>
              <w:left w:w="120" w:type="dxa"/>
              <w:right w:w="120" w:type="dxa"/>
            </w:tcMar>
          </w:tcPr>
          <w:p>
            <w:r>
              <w:rPr>
                <w:rFonts w:ascii="Calibri" w:hAnsi="Calibri"/>
                <w:color w:val="1E293B"/>
                <w:sz w:val="18"/>
              </w:rPr>
              <w:t>Engineering Team</w:t>
            </w:r>
          </w:p>
        </w:tc>
        <w:tc>
          <w:tcPr>
            <w:tcW w:type="dxa" w:w="4709"/>
            <w:shd w:fill="FFFFFF"/>
            <w:tcMar>
              <w:top w:w="80" w:type="dxa"/>
              <w:bottom w:w="80" w:type="dxa"/>
              <w:left w:w="120" w:type="dxa"/>
              <w:right w:w="120" w:type="dxa"/>
            </w:tcMar>
          </w:tcPr>
          <w:p>
            <w:r>
              <w:rPr>
                <w:rFonts w:ascii="Calibri" w:hAnsi="Calibri"/>
                <w:color w:val="1E293B"/>
                <w:sz w:val="18"/>
              </w:rPr>
              <w:t>Initial technical architecture draft and component identification.</w:t>
            </w:r>
          </w:p>
        </w:tc>
      </w:tr>
      <w:tr>
        <w:tc>
          <w:tcPr>
            <w:tcW w:type="dxa" w:w="1152"/>
            <w:shd w:fill="F8FAFC"/>
            <w:tcMar>
              <w:top w:w="80" w:type="dxa"/>
              <w:bottom w:w="80" w:type="dxa"/>
              <w:left w:w="120" w:type="dxa"/>
              <w:right w:w="120" w:type="dxa"/>
            </w:tcMar>
          </w:tcPr>
          <w:p>
            <w:r>
              <w:rPr>
                <w:rFonts w:ascii="Calibri" w:hAnsi="Calibri"/>
                <w:color w:val="1E293B"/>
                <w:sz w:val="18"/>
              </w:rPr>
              <w:t>v0.5</w:t>
            </w:r>
          </w:p>
        </w:tc>
        <w:tc>
          <w:tcPr>
            <w:tcW w:type="dxa" w:w="1584"/>
            <w:shd w:fill="F8FAFC"/>
            <w:tcMar>
              <w:top w:w="80" w:type="dxa"/>
              <w:bottom w:w="80" w:type="dxa"/>
              <w:left w:w="120" w:type="dxa"/>
              <w:right w:w="120" w:type="dxa"/>
            </w:tcMar>
          </w:tcPr>
          <w:p>
            <w:r>
              <w:rPr>
                <w:rFonts w:ascii="Calibri" w:hAnsi="Calibri"/>
                <w:color w:val="1E293B"/>
                <w:sz w:val="18"/>
              </w:rPr>
              <w:t>Oct 08, 2026</w:t>
            </w:r>
          </w:p>
        </w:tc>
        <w:tc>
          <w:tcPr>
            <w:tcW w:type="dxa" w:w="2304"/>
            <w:shd w:fill="F8FAFC"/>
            <w:tcMar>
              <w:top w:w="80" w:type="dxa"/>
              <w:bottom w:w="80" w:type="dxa"/>
              <w:left w:w="120" w:type="dxa"/>
              <w:right w:w="120" w:type="dxa"/>
            </w:tcMar>
          </w:tcPr>
          <w:p>
            <w:r>
              <w:rPr>
                <w:rFonts w:ascii="Calibri" w:hAnsi="Calibri"/>
                <w:color w:val="1E293B"/>
                <w:sz w:val="18"/>
              </w:rPr>
              <w:t>Backend Team</w:t>
            </w:r>
          </w:p>
        </w:tc>
        <w:tc>
          <w:tcPr>
            <w:tcW w:type="dxa" w:w="4709"/>
            <w:shd w:fill="F8FAFC"/>
            <w:tcMar>
              <w:top w:w="80" w:type="dxa"/>
              <w:bottom w:w="80" w:type="dxa"/>
              <w:left w:w="120" w:type="dxa"/>
              <w:right w:w="120" w:type="dxa"/>
            </w:tcMar>
          </w:tcPr>
          <w:p>
            <w:r>
              <w:rPr>
                <w:rFonts w:ascii="Calibri" w:hAnsi="Calibri"/>
                <w:color w:val="1E293B"/>
                <w:sz w:val="18"/>
              </w:rPr>
              <w:t>Added Spring Security rate limiting and PostgreSQL Flyway persistence schema.</w:t>
            </w:r>
          </w:p>
        </w:tc>
      </w:tr>
      <w:tr>
        <w:tc>
          <w:tcPr>
            <w:tcW w:type="dxa" w:w="1152"/>
            <w:shd w:fill="FFFFFF"/>
            <w:tcMar>
              <w:top w:w="80" w:type="dxa"/>
              <w:bottom w:w="80" w:type="dxa"/>
              <w:left w:w="120" w:type="dxa"/>
              <w:right w:w="120" w:type="dxa"/>
            </w:tcMar>
          </w:tcPr>
          <w:p>
            <w:r>
              <w:rPr>
                <w:rFonts w:ascii="Calibri" w:hAnsi="Calibri"/>
                <w:color w:val="1E293B"/>
                <w:sz w:val="18"/>
              </w:rPr>
              <w:t>v0.8</w:t>
            </w:r>
          </w:p>
        </w:tc>
        <w:tc>
          <w:tcPr>
            <w:tcW w:type="dxa" w:w="1584"/>
            <w:shd w:fill="FFFFFF"/>
            <w:tcMar>
              <w:top w:w="80" w:type="dxa"/>
              <w:bottom w:w="80" w:type="dxa"/>
              <w:left w:w="120" w:type="dxa"/>
              <w:right w:w="120" w:type="dxa"/>
            </w:tcMar>
          </w:tcPr>
          <w:p>
            <w:r>
              <w:rPr>
                <w:rFonts w:ascii="Calibri" w:hAnsi="Calibri"/>
                <w:color w:val="1E293B"/>
                <w:sz w:val="18"/>
              </w:rPr>
              <w:t>Oct 12, 2026</w:t>
            </w:r>
          </w:p>
        </w:tc>
        <w:tc>
          <w:tcPr>
            <w:tcW w:type="dxa" w:w="2304"/>
            <w:shd w:fill="FFFFFF"/>
            <w:tcMar>
              <w:top w:w="80" w:type="dxa"/>
              <w:bottom w:w="80" w:type="dxa"/>
              <w:left w:w="120" w:type="dxa"/>
              <w:right w:w="120" w:type="dxa"/>
            </w:tcMar>
          </w:tcPr>
          <w:p>
            <w:r>
              <w:rPr>
                <w:rFonts w:ascii="Calibri" w:hAnsi="Calibri"/>
                <w:color w:val="1E293B"/>
                <w:sz w:val="18"/>
              </w:rPr>
              <w:t>Security Reviewer</w:t>
            </w:r>
          </w:p>
        </w:tc>
        <w:tc>
          <w:tcPr>
            <w:tcW w:type="dxa" w:w="4709"/>
            <w:shd w:fill="FFFFFF"/>
            <w:tcMar>
              <w:top w:w="80" w:type="dxa"/>
              <w:bottom w:w="80" w:type="dxa"/>
              <w:left w:w="120" w:type="dxa"/>
              <w:right w:w="120" w:type="dxa"/>
            </w:tcMar>
          </w:tcPr>
          <w:p>
            <w:r>
              <w:rPr>
                <w:rFonts w:ascii="Calibri" w:hAnsi="Calibri"/>
                <w:color w:val="1E293B"/>
                <w:sz w:val="18"/>
              </w:rPr>
              <w:t>Integrated zero-trust payment secret filter and MDC correlation ID tracing.</w:t>
            </w:r>
          </w:p>
        </w:tc>
      </w:tr>
      <w:tr>
        <w:tc>
          <w:tcPr>
            <w:tcW w:type="dxa" w:w="1152"/>
            <w:shd w:fill="F8FAFC"/>
            <w:tcMar>
              <w:top w:w="80" w:type="dxa"/>
              <w:bottom w:w="80" w:type="dxa"/>
              <w:left w:w="120" w:type="dxa"/>
              <w:right w:w="120" w:type="dxa"/>
            </w:tcMar>
          </w:tcPr>
          <w:p>
            <w:r>
              <w:rPr>
                <w:rFonts w:ascii="Calibri" w:hAnsi="Calibri"/>
                <w:color w:val="1E293B"/>
                <w:sz w:val="18"/>
              </w:rPr>
              <w:t>v0.9</w:t>
            </w:r>
          </w:p>
        </w:tc>
        <w:tc>
          <w:tcPr>
            <w:tcW w:type="dxa" w:w="1584"/>
            <w:shd w:fill="F8FAFC"/>
            <w:tcMar>
              <w:top w:w="80" w:type="dxa"/>
              <w:bottom w:w="80" w:type="dxa"/>
              <w:left w:w="120" w:type="dxa"/>
              <w:right w:w="120" w:type="dxa"/>
            </w:tcMar>
          </w:tcPr>
          <w:p>
            <w:r>
              <w:rPr>
                <w:rFonts w:ascii="Calibri" w:hAnsi="Calibri"/>
                <w:color w:val="1E293B"/>
                <w:sz w:val="18"/>
              </w:rPr>
              <w:t>Oct 15, 2026</w:t>
            </w:r>
          </w:p>
        </w:tc>
        <w:tc>
          <w:tcPr>
            <w:tcW w:type="dxa" w:w="2304"/>
            <w:shd w:fill="F8FAFC"/>
            <w:tcMar>
              <w:top w:w="80" w:type="dxa"/>
              <w:bottom w:w="80" w:type="dxa"/>
              <w:left w:w="120" w:type="dxa"/>
              <w:right w:w="120" w:type="dxa"/>
            </w:tcMar>
          </w:tcPr>
          <w:p>
            <w:r>
              <w:rPr>
                <w:rFonts w:ascii="Calibri" w:hAnsi="Calibri"/>
                <w:color w:val="1E293B"/>
                <w:sz w:val="18"/>
              </w:rPr>
              <w:t>QA Team</w:t>
            </w:r>
          </w:p>
        </w:tc>
        <w:tc>
          <w:tcPr>
            <w:tcW w:type="dxa" w:w="4709"/>
            <w:shd w:fill="F8FAFC"/>
            <w:tcMar>
              <w:top w:w="80" w:type="dxa"/>
              <w:bottom w:w="80" w:type="dxa"/>
              <w:left w:w="120" w:type="dxa"/>
              <w:right w:w="120" w:type="dxa"/>
            </w:tcMar>
          </w:tcPr>
          <w:p>
            <w:r>
              <w:rPr>
                <w:rFonts w:ascii="Calibri" w:hAnsi="Calibri"/>
                <w:color w:val="1E293B"/>
                <w:sz w:val="18"/>
              </w:rPr>
              <w:t>Automated test suite expanded to 29 integration tests; verify-runtime.ps1.</w:t>
            </w:r>
          </w:p>
        </w:tc>
      </w:tr>
      <w:tr>
        <w:tc>
          <w:tcPr>
            <w:tcW w:type="dxa" w:w="1152"/>
            <w:shd w:fill="FFFFFF"/>
            <w:tcMar>
              <w:top w:w="80" w:type="dxa"/>
              <w:bottom w:w="80" w:type="dxa"/>
              <w:left w:w="120" w:type="dxa"/>
              <w:right w:w="120" w:type="dxa"/>
            </w:tcMar>
          </w:tcPr>
          <w:p>
            <w:r>
              <w:rPr>
                <w:rFonts w:ascii="Calibri" w:hAnsi="Calibri"/>
                <w:color w:val="1E293B"/>
                <w:sz w:val="18"/>
              </w:rPr>
              <w:t>v1.0</w:t>
            </w:r>
          </w:p>
        </w:tc>
        <w:tc>
          <w:tcPr>
            <w:tcW w:type="dxa" w:w="1584"/>
            <w:shd w:fill="FFFFFF"/>
            <w:tcMar>
              <w:top w:w="80" w:type="dxa"/>
              <w:bottom w:w="80" w:type="dxa"/>
              <w:left w:w="120" w:type="dxa"/>
              <w:right w:w="120" w:type="dxa"/>
            </w:tcMar>
          </w:tcPr>
          <w:p>
            <w:r>
              <w:rPr>
                <w:rFonts w:ascii="Calibri" w:hAnsi="Calibri"/>
                <w:color w:val="1E293B"/>
                <w:sz w:val="18"/>
              </w:rPr>
              <w:t>Oct 18, 2026</w:t>
            </w:r>
          </w:p>
        </w:tc>
        <w:tc>
          <w:tcPr>
            <w:tcW w:type="dxa" w:w="2304"/>
            <w:shd w:fill="FFFFFF"/>
            <w:tcMar>
              <w:top w:w="80" w:type="dxa"/>
              <w:bottom w:w="80" w:type="dxa"/>
              <w:left w:w="120" w:type="dxa"/>
              <w:right w:w="120" w:type="dxa"/>
            </w:tcMar>
          </w:tcPr>
          <w:p>
            <w:r>
              <w:rPr>
                <w:rFonts w:ascii="Calibri" w:hAnsi="Calibri"/>
                <w:color w:val="1E293B"/>
                <w:sz w:val="18"/>
              </w:rPr>
              <w:t>Senior Architecture Group</w:t>
            </w:r>
          </w:p>
        </w:tc>
        <w:tc>
          <w:tcPr>
            <w:tcW w:type="dxa" w:w="4709"/>
            <w:shd w:fill="FFFFFF"/>
            <w:tcMar>
              <w:top w:w="80" w:type="dxa"/>
              <w:bottom w:w="80" w:type="dxa"/>
              <w:left w:w="120" w:type="dxa"/>
              <w:right w:w="120" w:type="dxa"/>
            </w:tcMar>
          </w:tcPr>
          <w:p>
            <w:r>
              <w:rPr>
                <w:rFonts w:ascii="Calibri" w:hAnsi="Calibri"/>
                <w:color w:val="1E293B"/>
                <w:sz w:val="18"/>
              </w:rPr>
              <w:t>Master enterprise proposal release with 20 sections, risk register, and pilot roadmap.</w:t>
            </w:r>
          </w:p>
        </w:tc>
      </w:tr>
    </w:tbl>
    <w:p>
      <w:pPr>
        <w:spacing w:before="0" w:after="80"/>
      </w:pPr>
    </w:p>
    <w:p>
      <w:pPr>
        <w:keepNext/>
        <w:spacing w:before="240" w:after="80"/>
      </w:pPr>
      <w:r>
        <w:rPr>
          <w:rFonts w:ascii="Calibri" w:hAnsi="Calibri"/>
          <w:b/>
          <w:color w:val="134074"/>
          <w:sz w:val="26"/>
        </w:rPr>
        <w:t>2.3 Evidentiary Classification Framework</w:t>
      </w:r>
    </w:p>
    <w:p>
      <w:pPr>
        <w:spacing w:before="0" w:after="100" w:line="276" w:lineRule="auto"/>
      </w:pPr>
      <w:r>
        <w:rPr>
          <w:rFonts w:ascii="Calibri" w:hAnsi="Calibri"/>
          <w:color w:val="1E293B"/>
          <w:sz w:val="22"/>
        </w:rPr>
        <w:t>To maintain absolute technical integrity, every technical capability, metric, and architecture component in this proposal is rigorously tagged under one of five evidentiary tiers: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c>
          <w:tcPr>
            <w:tcW w:type="dxa" w:w="2304"/>
            <w:shd w:fill="0B2545"/>
            <w:tcMar>
              <w:top w:w="100" w:type="dxa"/>
              <w:bottom w:w="100" w:type="dxa"/>
              <w:left w:w="120" w:type="dxa"/>
              <w:right w:w="120" w:type="dxa"/>
            </w:tcMar>
          </w:tcPr>
          <w:p>
            <w:pPr>
              <w:jc w:val="left"/>
            </w:pPr>
            <w:r>
              <w:rPr>
                <w:rFonts w:ascii="Calibri" w:hAnsi="Calibri"/>
                <w:b/>
                <w:color w:val="FFFFFF"/>
                <w:sz w:val="19"/>
              </w:rPr>
              <w:t>Evidentiary Tier</w:t>
            </w:r>
          </w:p>
        </w:tc>
        <w:tc>
          <w:tcPr>
            <w:tcW w:type="dxa" w:w="3600"/>
            <w:shd w:fill="0B2545"/>
            <w:tcMar>
              <w:top w:w="100" w:type="dxa"/>
              <w:bottom w:w="100" w:type="dxa"/>
              <w:left w:w="120" w:type="dxa"/>
              <w:right w:w="120" w:type="dxa"/>
            </w:tcMar>
          </w:tcPr>
          <w:p>
            <w:pPr>
              <w:jc w:val="left"/>
            </w:pPr>
            <w:r>
              <w:rPr>
                <w:rFonts w:ascii="Calibri" w:hAnsi="Calibri"/>
                <w:b/>
                <w:color w:val="FFFFFF"/>
                <w:sz w:val="19"/>
              </w:rPr>
              <w:t>Technical Definition</w:t>
            </w:r>
          </w:p>
        </w:tc>
        <w:tc>
          <w:tcPr>
            <w:tcW w:type="dxa" w:w="3845"/>
            <w:shd w:fill="0B2545"/>
            <w:tcMar>
              <w:top w:w="100" w:type="dxa"/>
              <w:bottom w:w="100" w:type="dxa"/>
              <w:left w:w="120" w:type="dxa"/>
              <w:right w:w="120" w:type="dxa"/>
            </w:tcMar>
          </w:tcPr>
          <w:p>
            <w:pPr>
              <w:jc w:val="left"/>
            </w:pPr>
            <w:r>
              <w:rPr>
                <w:rFonts w:ascii="Calibri" w:hAnsi="Calibri"/>
                <w:b/>
                <w:color w:val="FFFFFF"/>
                <w:sz w:val="19"/>
              </w:rPr>
              <w:t>Example Artifacts in RailSahayak</w:t>
            </w:r>
          </w:p>
        </w:tc>
      </w:tr>
      <w:tr>
        <w:tc>
          <w:tcPr>
            <w:tcW w:type="dxa" w:w="2304"/>
            <w:shd w:fill="FFFFFF"/>
            <w:tcMar>
              <w:top w:w="80" w:type="dxa"/>
              <w:bottom w:w="80" w:type="dxa"/>
              <w:left w:w="120" w:type="dxa"/>
              <w:right w:w="120" w:type="dxa"/>
            </w:tcMar>
          </w:tcPr>
          <w:p>
            <w:r>
              <w:rPr>
                <w:rFonts w:ascii="Calibri" w:hAnsi="Calibri"/>
                <w:color w:val="1E293B"/>
                <w:sz w:val="18"/>
              </w:rPr>
              <w:t>Tier 1: Implemented &amp; Verified</w:t>
            </w:r>
          </w:p>
        </w:tc>
        <w:tc>
          <w:tcPr>
            <w:tcW w:type="dxa" w:w="3600"/>
            <w:shd w:fill="FFFFFF"/>
            <w:tcMar>
              <w:top w:w="80" w:type="dxa"/>
              <w:bottom w:w="80" w:type="dxa"/>
              <w:left w:w="120" w:type="dxa"/>
              <w:right w:w="120" w:type="dxa"/>
            </w:tcMar>
          </w:tcPr>
          <w:p>
            <w:r>
              <w:rPr>
                <w:rFonts w:ascii="Calibri" w:hAnsi="Calibri"/>
                <w:color w:val="1E293B"/>
                <w:sz w:val="18"/>
              </w:rPr>
              <w:t>Fully implemented in source code and passing automated regression tests.</w:t>
            </w:r>
          </w:p>
        </w:tc>
        <w:tc>
          <w:tcPr>
            <w:tcW w:type="dxa" w:w="3845"/>
            <w:shd w:fill="FFFFFF"/>
            <w:tcMar>
              <w:top w:w="80" w:type="dxa"/>
              <w:bottom w:w="80" w:type="dxa"/>
              <w:left w:w="120" w:type="dxa"/>
              <w:right w:w="120" w:type="dxa"/>
            </w:tcMar>
          </w:tcPr>
          <w:p>
            <w:r>
              <w:rPr>
                <w:rFonts w:ascii="Calibri" w:hAnsi="Calibri"/>
                <w:color w:val="1E293B"/>
                <w:sz w:val="18"/>
              </w:rPr>
              <w:t>29/29 integration tests, trusted proxy limiter, Flyway migrations, role checks.</w:t>
            </w:r>
          </w:p>
        </w:tc>
      </w:tr>
      <w:tr>
        <w:tc>
          <w:tcPr>
            <w:tcW w:type="dxa" w:w="2304"/>
            <w:shd w:fill="F8FAFC"/>
            <w:tcMar>
              <w:top w:w="80" w:type="dxa"/>
              <w:bottom w:w="80" w:type="dxa"/>
              <w:left w:w="120" w:type="dxa"/>
              <w:right w:w="120" w:type="dxa"/>
            </w:tcMar>
          </w:tcPr>
          <w:p>
            <w:r>
              <w:rPr>
                <w:rFonts w:ascii="Calibri" w:hAnsi="Calibri"/>
                <w:color w:val="1E293B"/>
                <w:sz w:val="18"/>
              </w:rPr>
              <w:t>Tier 2: Demonstration Data</w:t>
            </w:r>
          </w:p>
        </w:tc>
        <w:tc>
          <w:tcPr>
            <w:tcW w:type="dxa" w:w="3600"/>
            <w:shd w:fill="F8FAFC"/>
            <w:tcMar>
              <w:top w:w="80" w:type="dxa"/>
              <w:bottom w:w="80" w:type="dxa"/>
              <w:left w:w="120" w:type="dxa"/>
              <w:right w:w="120" w:type="dxa"/>
            </w:tcMar>
          </w:tcPr>
          <w:p>
            <w:r>
              <w:rPr>
                <w:rFonts w:ascii="Calibri" w:hAnsi="Calibri"/>
                <w:color w:val="1E293B"/>
                <w:sz w:val="18"/>
              </w:rPr>
              <w:t>Heuristic or curated data used for offline prototype demonstration.</w:t>
            </w:r>
          </w:p>
        </w:tc>
        <w:tc>
          <w:tcPr>
            <w:tcW w:type="dxa" w:w="3845"/>
            <w:shd w:fill="F8FAFC"/>
            <w:tcMar>
              <w:top w:w="80" w:type="dxa"/>
              <w:bottom w:w="80" w:type="dxa"/>
              <w:left w:w="120" w:type="dxa"/>
              <w:right w:w="120" w:type="dxa"/>
            </w:tcMar>
          </w:tcPr>
          <w:p>
            <w:r>
              <w:rPr>
                <w:rFonts w:ascii="Calibri" w:hAnsi="Calibri"/>
                <w:color w:val="1E293B"/>
                <w:sz w:val="18"/>
              </w:rPr>
              <w:t>Sample train schedules on trunk routes, offline heuristic PNR zone derivation.</w:t>
            </w:r>
          </w:p>
        </w:tc>
      </w:tr>
      <w:tr>
        <w:tc>
          <w:tcPr>
            <w:tcW w:type="dxa" w:w="2304"/>
            <w:shd w:fill="FFFFFF"/>
            <w:tcMar>
              <w:top w:w="80" w:type="dxa"/>
              <w:bottom w:w="80" w:type="dxa"/>
              <w:left w:w="120" w:type="dxa"/>
              <w:right w:w="120" w:type="dxa"/>
            </w:tcMar>
          </w:tcPr>
          <w:p>
            <w:r>
              <w:rPr>
                <w:rFonts w:ascii="Calibri" w:hAnsi="Calibri"/>
                <w:color w:val="1E293B"/>
                <w:sz w:val="18"/>
              </w:rPr>
              <w:t>Tier 3: Proposed Pilot Capability</w:t>
            </w:r>
          </w:p>
        </w:tc>
        <w:tc>
          <w:tcPr>
            <w:tcW w:type="dxa" w:w="3600"/>
            <w:shd w:fill="FFFFFF"/>
            <w:tcMar>
              <w:top w:w="80" w:type="dxa"/>
              <w:bottom w:w="80" w:type="dxa"/>
              <w:left w:w="120" w:type="dxa"/>
              <w:right w:w="120" w:type="dxa"/>
            </w:tcMar>
          </w:tcPr>
          <w:p>
            <w:r>
              <w:rPr>
                <w:rFonts w:ascii="Calibri" w:hAnsi="Calibri"/>
                <w:color w:val="1E293B"/>
                <w:sz w:val="18"/>
              </w:rPr>
              <w:t>Engineered interfaces ready for deployment in an authorized staging pilot.</w:t>
            </w:r>
          </w:p>
        </w:tc>
        <w:tc>
          <w:tcPr>
            <w:tcW w:type="dxa" w:w="3845"/>
            <w:shd w:fill="FFFFFF"/>
            <w:tcMar>
              <w:top w:w="80" w:type="dxa"/>
              <w:bottom w:w="80" w:type="dxa"/>
              <w:left w:w="120" w:type="dxa"/>
              <w:right w:w="120" w:type="dxa"/>
            </w:tcMar>
          </w:tcPr>
          <w:p>
            <w:r>
              <w:rPr>
                <w:rFonts w:ascii="Calibri" w:hAnsi="Calibri"/>
                <w:color w:val="1E293B"/>
                <w:sz w:val="18"/>
              </w:rPr>
              <w:t>Prometheus metric exporters, Redis Lua adapter interfaces, webhook bridges.</w:t>
            </w:r>
          </w:p>
        </w:tc>
      </w:tr>
      <w:tr>
        <w:tc>
          <w:tcPr>
            <w:tcW w:type="dxa" w:w="2304"/>
            <w:shd w:fill="F8FAFC"/>
            <w:tcMar>
              <w:top w:w="80" w:type="dxa"/>
              <w:bottom w:w="80" w:type="dxa"/>
              <w:left w:w="120" w:type="dxa"/>
              <w:right w:w="120" w:type="dxa"/>
            </w:tcMar>
          </w:tcPr>
          <w:p>
            <w:r>
              <w:rPr>
                <w:rFonts w:ascii="Calibri" w:hAnsi="Calibri"/>
                <w:color w:val="1E293B"/>
                <w:sz w:val="18"/>
              </w:rPr>
              <w:t>Tier 4: Dependent on Authorization</w:t>
            </w:r>
          </w:p>
        </w:tc>
        <w:tc>
          <w:tcPr>
            <w:tcW w:type="dxa" w:w="3600"/>
            <w:shd w:fill="F8FAFC"/>
            <w:tcMar>
              <w:top w:w="80" w:type="dxa"/>
              <w:bottom w:w="80" w:type="dxa"/>
              <w:left w:w="120" w:type="dxa"/>
              <w:right w:w="120" w:type="dxa"/>
            </w:tcMar>
          </w:tcPr>
          <w:p>
            <w:r>
              <w:rPr>
                <w:rFonts w:ascii="Calibri" w:hAnsi="Calibri"/>
                <w:color w:val="1E293B"/>
                <w:sz w:val="18"/>
              </w:rPr>
              <w:t>Features strictly requiring written authorization from Indian Railways.</w:t>
            </w:r>
          </w:p>
        </w:tc>
        <w:tc>
          <w:tcPr>
            <w:tcW w:type="dxa" w:w="3845"/>
            <w:shd w:fill="F8FAFC"/>
            <w:tcMar>
              <w:top w:w="80" w:type="dxa"/>
              <w:bottom w:w="80" w:type="dxa"/>
              <w:left w:w="120" w:type="dxa"/>
              <w:right w:w="120" w:type="dxa"/>
            </w:tcMar>
          </w:tcPr>
          <w:p>
            <w:r>
              <w:rPr>
                <w:rFonts w:ascii="Calibri" w:hAnsi="Calibri"/>
                <w:color w:val="1E293B"/>
                <w:sz w:val="18"/>
              </w:rPr>
              <w:t>Live CRIS PRS read-only API access, NTES live feed, IRCTC OAuth2 SSO, RailMadad webhook.</w:t>
            </w:r>
          </w:p>
        </w:tc>
      </w:tr>
      <w:tr>
        <w:tc>
          <w:tcPr>
            <w:tcW w:type="dxa" w:w="2304"/>
            <w:shd w:fill="FFFFFF"/>
            <w:tcMar>
              <w:top w:w="80" w:type="dxa"/>
              <w:bottom w:w="80" w:type="dxa"/>
              <w:left w:w="120" w:type="dxa"/>
              <w:right w:w="120" w:type="dxa"/>
            </w:tcMar>
          </w:tcPr>
          <w:p>
            <w:r>
              <w:rPr>
                <w:rFonts w:ascii="Calibri" w:hAnsi="Calibri"/>
                <w:color w:val="1E293B"/>
                <w:sz w:val="18"/>
              </w:rPr>
              <w:t>Tier 5: Research Hypotheses</w:t>
            </w:r>
          </w:p>
        </w:tc>
        <w:tc>
          <w:tcPr>
            <w:tcW w:type="dxa" w:w="3600"/>
            <w:shd w:fill="FFFFFF"/>
            <w:tcMar>
              <w:top w:w="80" w:type="dxa"/>
              <w:bottom w:w="80" w:type="dxa"/>
              <w:left w:w="120" w:type="dxa"/>
              <w:right w:w="120" w:type="dxa"/>
            </w:tcMar>
          </w:tcPr>
          <w:p>
            <w:r>
              <w:rPr>
                <w:rFonts w:ascii="Calibri" w:hAnsi="Calibri"/>
                <w:color w:val="1E293B"/>
                <w:sz w:val="18"/>
              </w:rPr>
              <w:t>Operational targets to be empirically measured during a controlled pilot.</w:t>
            </w:r>
          </w:p>
        </w:tc>
        <w:tc>
          <w:tcPr>
            <w:tcW w:type="dxa" w:w="3845"/>
            <w:shd w:fill="FFFFFF"/>
            <w:tcMar>
              <w:top w:w="80" w:type="dxa"/>
              <w:bottom w:w="80" w:type="dxa"/>
              <w:left w:w="120" w:type="dxa"/>
              <w:right w:w="120" w:type="dxa"/>
            </w:tcMar>
          </w:tcPr>
          <w:p>
            <w:r>
              <w:rPr>
                <w:rFonts w:ascii="Calibri" w:hAnsi="Calibri"/>
                <w:color w:val="1E293B"/>
                <w:sz w:val="18"/>
              </w:rPr>
              <w:t>70% self-resolution rate, 85% duplicate booking reduction, &lt;150ms P95 latency.</w:t>
            </w:r>
          </w:p>
        </w:tc>
      </w:tr>
    </w:tbl>
    <w:p>
      <w:pPr>
        <w:spacing w:before="0" w:after="80"/>
      </w:pPr>
    </w:p>
    <w:p>
      <w:pPr>
        <w:keepNext/>
        <w:spacing w:before="320" w:after="120"/>
      </w:pPr>
      <w:r>
        <w:rPr>
          <w:rFonts w:ascii="Calibri" w:hAnsi="Calibri"/>
          <w:b/>
          <w:color w:val="0B2545"/>
          <w:sz w:val="32"/>
        </w:rPr>
        <w:t>3. Executive Summary</w:t>
      </w:r>
    </w:p>
    <w:p>
      <w:pPr>
        <w:spacing w:before="0" w:after="100" w:line="276" w:lineRule="auto"/>
      </w:pPr>
      <w:r>
        <w:rPr>
          <w:rFonts w:ascii="Calibri" w:hAnsi="Calibri"/>
          <w:color w:val="1E293B"/>
          <w:sz w:val="22"/>
        </w:rPr>
        <w:t>Indian Railways operates one of the world's most intricate and massive passenger transport networks, carrying over 24 million citizens daily across more than 13,000 passenger services. While the master reservation engine—the Center for Railway Information Systems (CRIS) Passenger Reservation System (PRS)—and the commercial booking front-end—the Indian Railway Catering and Tourism Corporation (IRCTC) E-Ticketing Portal—process transaction volumes at unparalleled scale, travelers routinely experience severe information ambiguity and anxiety.</w:t>
      </w:r>
    </w:p>
    <w:p>
      <w:pPr>
        <w:spacing w:before="0" w:after="100" w:line="276" w:lineRule="auto"/>
      </w:pPr>
      <w:r>
        <w:rPr>
          <w:rFonts w:ascii="Calibri" w:hAnsi="Calibri"/>
          <w:color w:val="1E293B"/>
          <w:sz w:val="22"/>
        </w:rPr>
        <w:t>This friction manifests acutely across three primary touchpoints: (1) payment ambiguity during Tatkal booking windows where bank debits occur without immediate ticket generation, triggering duplicate charges and banking disputes; (2) complex reservation taxonomy (GNWL, RLWL, PQWL, TQWL, RAC, and Section 138 travel regulations) that baffles passengers; and (3) fragmented grievance channels that burden emergency helpline operators with routine informational queries.</w:t>
      </w:r>
    </w:p>
    <w:tbl>
      <w:tblPr>
        <w:tblW w:type="auto" w:w="0"/>
        <w:jc w:val="center"/>
        <w:tblLayout w:type="fixed"/>
        <w:tblLook w:firstColumn="1" w:firstRow="1" w:lastColumn="0" w:lastRow="0" w:noHBand="0" w:noVBand="1" w:val="04A0"/>
      </w:tblPr>
      <w:tblGrid>
        <w:gridCol w:w="9749"/>
      </w:tblGrid>
      <w:tr>
        <w:tc>
          <w:tcPr>
            <w:tcW w:type="dxa" w:w="9749"/>
            <w:shd w:fill="EEF4FB"/>
            <w:tcMar>
              <w:top w:w="120" w:type="dxa"/>
              <w:bottom w:w="120" w:type="dxa"/>
              <w:left w:w="180" w:type="dxa"/>
              <w:right w:w="140" w:type="dxa"/>
            </w:tcMar>
            <w:tcBorders>
              <w:left w:val="single" w:sz="24" w:space="0" w:color="134074"/>
              <w:top w:val="none"/>
              <w:right w:val="none"/>
              <w:bottom w:val="none"/>
            </w:tcBorders>
          </w:tcPr>
          <w:p>
            <w:pPr>
              <w:spacing w:before="40" w:after="40" w:line="276" w:lineRule="auto"/>
            </w:pPr>
            <w:r>
              <w:rPr>
                <w:rFonts w:ascii="Calibri" w:hAnsi="Calibri"/>
                <w:b/>
                <w:color w:val="0B2545"/>
                <w:sz w:val="21"/>
              </w:rPr>
              <w:t>EXECUTIVE SUMMARY — STRATEGIC INTENT</w:t>
              <w:br/>
            </w:r>
            <w:r>
              <w:rPr>
                <w:rFonts w:ascii="Calibri" w:hAnsi="Calibri"/>
                <w:color w:val="1E293B"/>
                <w:sz w:val="20"/>
              </w:rPr>
              <w:t>CORE VALUE PROPOSITION: RailSahayak is a focused, lightweight, intelligent first-contact passenger assistance terminal designed to operate at the edge of the passenger journey. By providing immediate diagnostic clarity for failed payments, explaining complex reservation rules in plain bilingual language, and tracking non-emergency support inquiries, RailSahayak reassures passengers, deflects helpdesk traffic, and protects core railway transaction servers—all while strictly respecting existing institutional boundaries.</w:t>
            </w:r>
          </w:p>
        </w:tc>
      </w:tr>
    </w:tbl>
    <w:p>
      <w:pPr>
        <w:spacing w:before="0" w:after="80"/>
      </w:pPr>
    </w:p>
    <w:p>
      <w:pPr>
        <w:spacing w:before="0" w:after="100" w:line="276" w:lineRule="auto"/>
      </w:pPr>
      <w:r>
        <w:rPr>
          <w:rFonts w:ascii="Calibri" w:hAnsi="Calibri"/>
          <w:color w:val="1E293B"/>
          <w:sz w:val="22"/>
        </w:rPr>
        <w:t>The platform is engineered with a strict principle of complementary defense. RailSahayak does NOT execute bookings, does NOT handle financial transactions or refunds, does NOT scrape live PRS databases, and does NOT dispatch physical on-train emergency personnel. Instead, it guides passengers intelligently: failed payments are diagnosed according to the Reserve Bank of India (RBI) Turn Around Time (TAT) framework; reservation rules are clarified based on Ministry of Railways Commercial Circulars; and passengers requiring live bookings, live PNR updates, or emergency assistance are routed seamlessly to official IRCTC portals, CRIS lookup pages, and RailMadad Helpline 139.</w:t>
      </w:r>
    </w:p>
    <w:p>
      <w:pPr>
        <w:spacing w:before="0" w:after="100" w:line="276" w:lineRule="auto"/>
      </w:pPr>
      <w:r>
        <w:rPr>
          <w:rFonts w:ascii="Calibri" w:hAnsi="Calibri"/>
          <w:color w:val="1E293B"/>
          <w:sz w:val="22"/>
        </w:rPr>
        <w:t>The current software prototype is fully operational in a localized development and demonstration sandbox. Built on Spring Boot 3.4.5, Java 24, and PostgreSQL 16 with Flyway versioned migrations, the platform is verified by a comprehensive suite of 29 automated integration tests with a 100% pass rate. It incorporates enterprise-grade rate limiting (300 req/min/IP), zero-trust payment secret blocking, MDC correlation tracing, and disaster recovery automation.</w:t>
      </w:r>
    </w:p>
    <w:p>
      <w:pPr>
        <w:spacing w:before="0" w:after="100" w:line="276" w:lineRule="auto"/>
      </w:pPr>
      <w:r>
        <w:rPr>
          <w:rFonts w:ascii="Calibri" w:hAnsi="Calibri"/>
          <w:color w:val="1E293B"/>
          <w:sz w:val="22"/>
        </w:rPr>
        <w:t>This submission proposes a structured, 4-phase limited pilot conducted under railway supervision to evaluate passenger deflection, operational satisfaction, and technical scalability in a sandboxed staging environment.</w:t>
      </w:r>
    </w:p>
    <w:p>
      <w:pPr>
        <w:keepNext/>
        <w:spacing w:before="320" w:after="120"/>
      </w:pPr>
      <w:r>
        <w:rPr>
          <w:rFonts w:ascii="Calibri" w:hAnsi="Calibri"/>
          <w:b/>
          <w:color w:val="0B2545"/>
          <w:sz w:val="32"/>
        </w:rPr>
        <w:t>4. Project Background and Scope</w:t>
      </w:r>
    </w:p>
    <w:p>
      <w:pPr>
        <w:spacing w:before="0" w:after="100" w:line="276" w:lineRule="auto"/>
      </w:pPr>
      <w:r>
        <w:rPr>
          <w:rFonts w:ascii="Calibri" w:hAnsi="Calibri"/>
          <w:color w:val="1E293B"/>
          <w:sz w:val="22"/>
        </w:rPr>
        <w:t>Over four decades, Indian Railways has pioneered digital public infrastructure, from the early mainframe-based Passenger Reservation System (PRS) in 1985 to the world-renowned IRCTC next-generation e-ticketing platform and the RailMadad unified grievance system. However, the sheer scale of operations creates an unavoidable 'information gap' at the edge of the passenger journey.</w:t>
      </w:r>
    </w:p>
    <w:p>
      <w:pPr>
        <w:spacing w:before="0" w:after="100" w:line="276" w:lineRule="auto"/>
      </w:pPr>
      <w:r>
        <w:rPr>
          <w:rFonts w:ascii="Calibri" w:hAnsi="Calibri"/>
          <w:color w:val="1E293B"/>
          <w:sz w:val="22"/>
        </w:rPr>
        <w:t>During high-traffic booking windows—such as 10:00 AM AC Tatkal and 11:00 AM Non-AC Tatkal—thousands of concurrent transactions compete for limited inventory. When network lags or bank gateway timeouts occur, passengers face financial ambiguity. In the absence of an immediate, authoritative explainer, travelers frequently make panicked duplicate bookings, tie up personal funds, and flood bank and railway dispute channels. Similarly, travelers misinterpret waitlist progression and RAC shared seating rights, occasionally incurring penalties under Section 138 of the Railways Act, 1989 for boarding trains with dropped waitlisted e-tickets.</w:t>
      </w:r>
    </w:p>
    <w:p>
      <w:pPr>
        <w:keepNext/>
        <w:spacing w:before="240" w:after="80"/>
      </w:pPr>
      <w:r>
        <w:rPr>
          <w:rFonts w:ascii="Calibri" w:hAnsi="Calibri"/>
          <w:b/>
          <w:color w:val="134074"/>
          <w:sz w:val="26"/>
        </w:rPr>
        <w:t>4.1 Project Scope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c>
          <w:tcPr>
            <w:tcW w:type="dxa" w:w="2016"/>
            <w:shd w:fill="0B2545"/>
            <w:tcMar>
              <w:top w:w="100" w:type="dxa"/>
              <w:bottom w:w="100" w:type="dxa"/>
              <w:left w:w="120" w:type="dxa"/>
              <w:right w:w="120" w:type="dxa"/>
            </w:tcMar>
          </w:tcPr>
          <w:p>
            <w:pPr>
              <w:jc w:val="left"/>
            </w:pPr>
            <w:r>
              <w:rPr>
                <w:rFonts w:ascii="Calibri" w:hAnsi="Calibri"/>
                <w:b/>
                <w:color w:val="FFFFFF"/>
                <w:sz w:val="19"/>
              </w:rPr>
              <w:t>Functional Dimension</w:t>
            </w:r>
          </w:p>
        </w:tc>
        <w:tc>
          <w:tcPr>
            <w:tcW w:type="dxa" w:w="3845"/>
            <w:shd w:fill="0B2545"/>
            <w:tcMar>
              <w:top w:w="100" w:type="dxa"/>
              <w:bottom w:w="100" w:type="dxa"/>
              <w:left w:w="120" w:type="dxa"/>
              <w:right w:w="120" w:type="dxa"/>
            </w:tcMar>
          </w:tcPr>
          <w:p>
            <w:pPr>
              <w:jc w:val="left"/>
            </w:pPr>
            <w:r>
              <w:rPr>
                <w:rFonts w:ascii="Calibri" w:hAnsi="Calibri"/>
                <w:b/>
                <w:color w:val="FFFFFF"/>
                <w:sz w:val="19"/>
              </w:rPr>
              <w:t>In-Scope for RailSahayak</w:t>
            </w:r>
          </w:p>
        </w:tc>
        <w:tc>
          <w:tcPr>
            <w:tcW w:type="dxa" w:w="3888"/>
            <w:shd w:fill="0B2545"/>
            <w:tcMar>
              <w:top w:w="100" w:type="dxa"/>
              <w:bottom w:w="100" w:type="dxa"/>
              <w:left w:w="120" w:type="dxa"/>
              <w:right w:w="120" w:type="dxa"/>
            </w:tcMar>
          </w:tcPr>
          <w:p>
            <w:pPr>
              <w:jc w:val="left"/>
            </w:pPr>
            <w:r>
              <w:rPr>
                <w:rFonts w:ascii="Calibri" w:hAnsi="Calibri"/>
                <w:b/>
                <w:color w:val="FFFFFF"/>
                <w:sz w:val="19"/>
              </w:rPr>
              <w:t>Strictly Out-of-Scope (Existing Systems Retain Authority)</w:t>
            </w:r>
          </w:p>
        </w:tc>
      </w:tr>
      <w:tr>
        <w:tc>
          <w:tcPr>
            <w:tcW w:type="dxa" w:w="2016"/>
            <w:shd w:fill="FFFFFF"/>
            <w:tcMar>
              <w:top w:w="80" w:type="dxa"/>
              <w:bottom w:w="80" w:type="dxa"/>
              <w:left w:w="120" w:type="dxa"/>
              <w:right w:w="120" w:type="dxa"/>
            </w:tcMar>
          </w:tcPr>
          <w:p>
            <w:r>
              <w:rPr>
                <w:rFonts w:ascii="Calibri" w:hAnsi="Calibri"/>
                <w:color w:val="1E293B"/>
                <w:sz w:val="18"/>
              </w:rPr>
              <w:t>Train Discovery</w:t>
            </w:r>
          </w:p>
        </w:tc>
        <w:tc>
          <w:tcPr>
            <w:tcW w:type="dxa" w:w="3845"/>
            <w:shd w:fill="FFFFFF"/>
            <w:tcMar>
              <w:top w:w="80" w:type="dxa"/>
              <w:bottom w:w="80" w:type="dxa"/>
              <w:left w:w="120" w:type="dxa"/>
              <w:right w:w="120" w:type="dxa"/>
            </w:tcMar>
          </w:tcPr>
          <w:p>
            <w:r>
              <w:rPr>
                <w:rFonts w:ascii="Calibri" w:hAnsi="Calibri"/>
                <w:color w:val="1E293B"/>
                <w:sz w:val="18"/>
              </w:rPr>
              <w:t>Station search validation, trunk corridor route planning, direct deep-links to IRCTC.</w:t>
            </w:r>
          </w:p>
        </w:tc>
        <w:tc>
          <w:tcPr>
            <w:tcW w:type="dxa" w:w="3888"/>
            <w:shd w:fill="FFFFFF"/>
            <w:tcMar>
              <w:top w:w="80" w:type="dxa"/>
              <w:bottom w:w="80" w:type="dxa"/>
              <w:left w:w="120" w:type="dxa"/>
              <w:right w:w="120" w:type="dxa"/>
            </w:tcMar>
          </w:tcPr>
          <w:p>
            <w:r>
              <w:rPr>
                <w:rFonts w:ascii="Calibri" w:hAnsi="Calibri"/>
                <w:color w:val="1E293B"/>
                <w:sz w:val="18"/>
              </w:rPr>
              <w:t>Live PRS seat inventory allocation, quota booking, dynamic fare calculation.</w:t>
            </w:r>
          </w:p>
        </w:tc>
      </w:tr>
      <w:tr>
        <w:tc>
          <w:tcPr>
            <w:tcW w:type="dxa" w:w="2016"/>
            <w:shd w:fill="F8FAFC"/>
            <w:tcMar>
              <w:top w:w="80" w:type="dxa"/>
              <w:bottom w:w="80" w:type="dxa"/>
              <w:left w:w="120" w:type="dxa"/>
              <w:right w:w="120" w:type="dxa"/>
            </w:tcMar>
          </w:tcPr>
          <w:p>
            <w:r>
              <w:rPr>
                <w:rFonts w:ascii="Calibri" w:hAnsi="Calibri"/>
                <w:color w:val="1E293B"/>
                <w:sz w:val="18"/>
              </w:rPr>
              <w:t>Payment Assistance</w:t>
            </w:r>
          </w:p>
        </w:tc>
        <w:tc>
          <w:tcPr>
            <w:tcW w:type="dxa" w:w="3845"/>
            <w:shd w:fill="F8FAFC"/>
            <w:tcMar>
              <w:top w:w="80" w:type="dxa"/>
              <w:bottom w:w="80" w:type="dxa"/>
              <w:left w:w="120" w:type="dxa"/>
              <w:right w:w="120" w:type="dxa"/>
            </w:tcMar>
          </w:tcPr>
          <w:p>
            <w:r>
              <w:rPr>
                <w:rFonts w:ascii="Calibri" w:hAnsi="Calibri"/>
                <w:color w:val="1E293B"/>
                <w:sz w:val="18"/>
              </w:rPr>
              <w:t>Automated diagnostic checklists, RBI TAT settlement explanation, secret masking.</w:t>
            </w:r>
          </w:p>
        </w:tc>
        <w:tc>
          <w:tcPr>
            <w:tcW w:type="dxa" w:w="3888"/>
            <w:shd w:fill="F8FAFC"/>
            <w:tcMar>
              <w:top w:w="80" w:type="dxa"/>
              <w:bottom w:w="80" w:type="dxa"/>
              <w:left w:w="120" w:type="dxa"/>
              <w:right w:w="120" w:type="dxa"/>
            </w:tcMar>
          </w:tcPr>
          <w:p>
            <w:r>
              <w:rPr>
                <w:rFonts w:ascii="Calibri" w:hAnsi="Calibri"/>
                <w:color w:val="1E293B"/>
                <w:sz w:val="18"/>
              </w:rPr>
              <w:t>Payment gateway merchant acquiring, bank account debit/credit, automated refund execution.</w:t>
            </w:r>
          </w:p>
        </w:tc>
      </w:tr>
      <w:tr>
        <w:tc>
          <w:tcPr>
            <w:tcW w:type="dxa" w:w="2016"/>
            <w:shd w:fill="FFFFFF"/>
            <w:tcMar>
              <w:top w:w="80" w:type="dxa"/>
              <w:bottom w:w="80" w:type="dxa"/>
              <w:left w:w="120" w:type="dxa"/>
              <w:right w:w="120" w:type="dxa"/>
            </w:tcMar>
          </w:tcPr>
          <w:p>
            <w:r>
              <w:rPr>
                <w:rFonts w:ascii="Calibri" w:hAnsi="Calibri"/>
                <w:color w:val="1E293B"/>
                <w:sz w:val="18"/>
              </w:rPr>
              <w:t>PNR &amp; Charting</w:t>
            </w:r>
          </w:p>
        </w:tc>
        <w:tc>
          <w:tcPr>
            <w:tcW w:type="dxa" w:w="3845"/>
            <w:shd w:fill="FFFFFF"/>
            <w:tcMar>
              <w:top w:w="80" w:type="dxa"/>
              <w:bottom w:w="80" w:type="dxa"/>
              <w:left w:w="120" w:type="dxa"/>
              <w:right w:w="120" w:type="dxa"/>
            </w:tcMar>
          </w:tcPr>
          <w:p>
            <w:r>
              <w:rPr>
                <w:rFonts w:ascii="Calibri" w:hAnsi="Calibri"/>
                <w:color w:val="1E293B"/>
                <w:sz w:val="18"/>
              </w:rPr>
              <w:t>Heuristic zone decoding, waitlist code glossary, charting timetable explanation, Section 138 notices.</w:t>
            </w:r>
          </w:p>
        </w:tc>
        <w:tc>
          <w:tcPr>
            <w:tcW w:type="dxa" w:w="3888"/>
            <w:shd w:fill="FFFFFF"/>
            <w:tcMar>
              <w:top w:w="80" w:type="dxa"/>
              <w:bottom w:w="80" w:type="dxa"/>
              <w:left w:w="120" w:type="dxa"/>
              <w:right w:w="120" w:type="dxa"/>
            </w:tcMar>
          </w:tcPr>
          <w:p>
            <w:r>
              <w:rPr>
                <w:rFonts w:ascii="Calibri" w:hAnsi="Calibri"/>
                <w:color w:val="1E293B"/>
                <w:sz w:val="18"/>
              </w:rPr>
              <w:t>Direct live PRS mainframe queries, seat confirmation modification, chart generation.</w:t>
            </w:r>
          </w:p>
        </w:tc>
      </w:tr>
      <w:tr>
        <w:tc>
          <w:tcPr>
            <w:tcW w:type="dxa" w:w="2016"/>
            <w:shd w:fill="F8FAFC"/>
            <w:tcMar>
              <w:top w:w="80" w:type="dxa"/>
              <w:bottom w:w="80" w:type="dxa"/>
              <w:left w:w="120" w:type="dxa"/>
              <w:right w:w="120" w:type="dxa"/>
            </w:tcMar>
          </w:tcPr>
          <w:p>
            <w:r>
              <w:rPr>
                <w:rFonts w:ascii="Calibri" w:hAnsi="Calibri"/>
                <w:color w:val="1E293B"/>
                <w:sz w:val="18"/>
              </w:rPr>
              <w:t>Grievance Handling</w:t>
            </w:r>
          </w:p>
        </w:tc>
        <w:tc>
          <w:tcPr>
            <w:tcW w:type="dxa" w:w="3845"/>
            <w:shd w:fill="F8FAFC"/>
            <w:tcMar>
              <w:top w:w="80" w:type="dxa"/>
              <w:bottom w:w="80" w:type="dxa"/>
              <w:left w:w="120" w:type="dxa"/>
              <w:right w:w="120" w:type="dxa"/>
            </w:tcMar>
          </w:tcPr>
          <w:p>
            <w:r>
              <w:rPr>
                <w:rFonts w:ascii="Calibri" w:hAnsi="Calibri"/>
                <w:color w:val="1E293B"/>
                <w:sz w:val="18"/>
              </w:rPr>
              <w:t>Non-emergency inquiry intake, RS-XXXXXX tracking IDs, chronological audit logging, admin notes.</w:t>
            </w:r>
          </w:p>
        </w:tc>
        <w:tc>
          <w:tcPr>
            <w:tcW w:type="dxa" w:w="3888"/>
            <w:shd w:fill="F8FAFC"/>
            <w:tcMar>
              <w:top w:w="80" w:type="dxa"/>
              <w:bottom w:w="80" w:type="dxa"/>
              <w:left w:w="120" w:type="dxa"/>
              <w:right w:w="120" w:type="dxa"/>
            </w:tcMar>
          </w:tcPr>
          <w:p>
            <w:r>
              <w:rPr>
                <w:rFonts w:ascii="Calibri" w:hAnsi="Calibri"/>
                <w:color w:val="1E293B"/>
                <w:sz w:val="18"/>
              </w:rPr>
              <w:t>On-train emergency dispatch, RPF security mobilization, medical emergency response (RailMadad 139).</w:t>
            </w:r>
          </w:p>
        </w:tc>
      </w:tr>
    </w:tbl>
    <w:p>
      <w:pPr>
        <w:spacing w:before="0" w:after="80"/>
      </w:pPr>
    </w:p>
    <w:p>
      <w:pPr>
        <w:keepNext/>
        <w:spacing w:before="320" w:after="120"/>
      </w:pPr>
      <w:r>
        <w:rPr>
          <w:rFonts w:ascii="Calibri" w:hAnsi="Calibri"/>
          <w:b/>
          <w:color w:val="0B2545"/>
          <w:sz w:val="32"/>
        </w:rPr>
        <w:t>5. Passenger Problem Statement and Evidence Gaps</w:t>
      </w:r>
    </w:p>
    <w:p>
      <w:pPr>
        <w:spacing w:before="0" w:after="100" w:line="276" w:lineRule="auto"/>
      </w:pPr>
      <w:r>
        <w:rPr>
          <w:rFonts w:ascii="Calibri" w:hAnsi="Calibri"/>
          <w:color w:val="1E293B"/>
          <w:sz w:val="22"/>
        </w:rPr>
        <w:t>To ensure that software engineering solves genuine human and operational problems, RailSahayak focuses on three specific friction domains:</w:t>
      </w:r>
    </w:p>
    <w:p>
      <w:pPr>
        <w:keepNext/>
        <w:spacing w:before="240" w:after="80"/>
      </w:pPr>
      <w:r>
        <w:rPr>
          <w:rFonts w:ascii="Calibri" w:hAnsi="Calibri"/>
          <w:b/>
          <w:color w:val="134074"/>
          <w:sz w:val="26"/>
        </w:rPr>
        <w:t>5.1 Domain 1: Payment Uncertainty &amp; Transaction Anxiety</w:t>
      </w:r>
    </w:p>
    <w:p>
      <w:pPr>
        <w:spacing w:before="0" w:after="100" w:line="276" w:lineRule="auto"/>
      </w:pPr>
      <w:r>
        <w:rPr>
          <w:rFonts w:ascii="Calibri" w:hAnsi="Calibri"/>
          <w:color w:val="1E293B"/>
          <w:sz w:val="22"/>
        </w:rPr>
        <w:t>During high-volume ticketing windows, multi-party distributed transactions (Passenger -&gt; Aggregator -&gt; Bank Gateway -&gt; IRCTC -&gt; CRIS PRS) occasionally experience two-phase commit timeouts. The passenger's bank account or UPI app reflects a debit, but the ticketing system fails to issue a PNR before the transaction session expires. Passengers experience immediate panic, wondering whether their funds are lost, whether the ticket was booked, or whether they should attempt a second transaction. This triggers duplicate bookings that tie up personal capital and result in premature dispute filings with commercial banks.</w:t>
      </w:r>
    </w:p>
    <w:p>
      <w:pPr>
        <w:keepNext/>
        <w:spacing w:before="240" w:after="80"/>
      </w:pPr>
      <w:r>
        <w:rPr>
          <w:rFonts w:ascii="Calibri" w:hAnsi="Calibri"/>
          <w:b/>
          <w:color w:val="134074"/>
          <w:sz w:val="26"/>
        </w:rPr>
        <w:t>5.2 Domain 2: Reservation Rule Complexity &amp; Section 138 Legal Exposure</w:t>
      </w:r>
    </w:p>
    <w:p>
      <w:pPr>
        <w:spacing w:before="0" w:after="100" w:line="276" w:lineRule="auto"/>
      </w:pPr>
      <w:r>
        <w:rPr>
          <w:rFonts w:ascii="Calibri" w:hAnsi="Calibri"/>
          <w:color w:val="1E293B"/>
          <w:sz w:val="22"/>
        </w:rPr>
        <w:t>The Indian Railways reservation hierarchy is sophisticated, encompassing General Waitlist (GNWL), Roadside/Remote Location Waitlist (RLWL), Pooled Quota Waitlist (PQWL), and Tatkal Waitlist (TQWL), each governed by distinct confirmation priorities. Furthermore, passengers routinely misunderstand Reservation Against Cancellation (RAC), failing to recognize that RAC guarantees travel rights with shared sitting accommodation, not a full sleeping berth. Crucially, thousands of passengers remain unaware that an e-ticket that remains fully waitlisted after chart preparation is automatically cancelled by PRS; boarding a train with such a ticket constitutes ticketless travel under Section 138 of the Railways Act, 1989, subjecting the traveler to excess fare penalties.</w:t>
      </w:r>
    </w:p>
    <w:p>
      <w:pPr>
        <w:keepNext/>
        <w:spacing w:before="240" w:after="80"/>
      </w:pPr>
      <w:r>
        <w:rPr>
          <w:rFonts w:ascii="Calibri" w:hAnsi="Calibri"/>
          <w:b/>
          <w:color w:val="134074"/>
          <w:sz w:val="26"/>
        </w:rPr>
        <w:t>5.3 Domain 3: Grievance Fragmentation &amp; Helpdesk Clutter</w:t>
      </w:r>
    </w:p>
    <w:p>
      <w:pPr>
        <w:spacing w:before="0" w:after="100" w:line="276" w:lineRule="auto"/>
      </w:pPr>
      <w:r>
        <w:rPr>
          <w:rFonts w:ascii="Calibri" w:hAnsi="Calibri"/>
          <w:color w:val="1E293B"/>
          <w:sz w:val="22"/>
        </w:rPr>
        <w:t>When passengers encounter non-emergency difficulties, they face fragmented support channels. Travelers are often unsure whether to contact their issuing bank, IRCTC customer care, or RailMadad Helpline 139. In the confusion, routine inquiries regarding refund turnaround times or charting hours clutter the RailMadad emergency queues, diverting operational staff from addressing critical on-train medical, security, or cleanliness emergencies.</w:t>
      </w:r>
    </w:p>
    <w:tbl>
      <w:tblPr>
        <w:tblW w:type="auto" w:w="0"/>
        <w:jc w:val="center"/>
        <w:tblLayout w:type="fixed"/>
        <w:tblLook w:firstColumn="1" w:firstRow="1" w:lastColumn="0" w:lastRow="0" w:noHBand="0" w:noVBand="1" w:val="04A0"/>
      </w:tblPr>
      <w:tblGrid>
        <w:gridCol w:w="9749"/>
      </w:tblGrid>
      <w:tr>
        <w:tc>
          <w:tcPr>
            <w:tcW w:type="dxa" w:w="9749"/>
            <w:shd w:fill="FFFBEB"/>
            <w:tcMar>
              <w:top w:w="120" w:type="dxa"/>
              <w:bottom w:w="120" w:type="dxa"/>
              <w:left w:w="180" w:type="dxa"/>
              <w:right w:w="140" w:type="dxa"/>
            </w:tcMar>
            <w:tcBorders>
              <w:left w:val="single" w:sz="24" w:space="0" w:color="B45309"/>
              <w:top w:val="none"/>
              <w:right w:val="none"/>
              <w:bottom w:val="none"/>
            </w:tcBorders>
          </w:tcPr>
          <w:p>
            <w:pPr>
              <w:spacing w:before="40" w:after="40" w:line="276" w:lineRule="auto"/>
            </w:pPr>
            <w:r>
              <w:rPr>
                <w:rFonts w:ascii="Calibri" w:hAnsi="Calibri"/>
                <w:b/>
                <w:color w:val="0B2545"/>
                <w:sz w:val="21"/>
              </w:rPr>
              <w:t>RESEARCH HYPOTHESIS &amp; EVIDENCE QUALIFICATION</w:t>
              <w:br/>
            </w:r>
            <w:r>
              <w:rPr>
                <w:rFonts w:ascii="Calibri" w:hAnsi="Calibri"/>
                <w:color w:val="B45309"/>
                <w:sz w:val="20"/>
              </w:rPr>
              <w:t>EVIDENTIARY QUALIFICATION ON PROBLEM DATA: The operational friction described above is documented across public helpdesk channels, consumer forums, and regulatory advisories. Quantitative claims regarding specific deflection percentages (e.g., 70% self-resolution) and behavioral change rates represent prospective research hypotheses to be measured and validated during an authorized railway pilot, rather than pre-existing empirical baseline facts.</w:t>
            </w:r>
          </w:p>
        </w:tc>
      </w:tr>
    </w:tbl>
    <w:p>
      <w:pPr>
        <w:spacing w:before="0" w:after="80"/>
      </w:pPr>
    </w:p>
    <w:p>
      <w:pPr>
        <w:keepNext/>
        <w:spacing w:before="320" w:after="120"/>
      </w:pPr>
      <w:r>
        <w:rPr>
          <w:rFonts w:ascii="Calibri" w:hAnsi="Calibri"/>
          <w:b/>
          <w:color w:val="0B2545"/>
          <w:sz w:val="32"/>
        </w:rPr>
        <w:t>6. Proposed Solution and Intended Users</w:t>
      </w:r>
    </w:p>
    <w:p>
      <w:pPr>
        <w:spacing w:before="0" w:after="100" w:line="276" w:lineRule="auto"/>
      </w:pPr>
      <w:r>
        <w:rPr>
          <w:rFonts w:ascii="Calibri" w:hAnsi="Calibri"/>
          <w:color w:val="1E293B"/>
          <w:sz w:val="22"/>
        </w:rPr>
        <w:t>RailSahayak resolves these friction points by functioning as an intelligent digital intake layer. Operating as a responsive web terminal accessible from any smartphone, tablet, or workstation without requiring app installation, the platform provides clear, tamper-evident advisory assistance.</w:t>
      </w:r>
    </w:p>
    <w:p>
      <w:pPr>
        <w:keepNext/>
        <w:spacing w:before="240" w:after="80"/>
      </w:pPr>
      <w:r>
        <w:rPr>
          <w:rFonts w:ascii="Calibri" w:hAnsi="Calibri"/>
          <w:b/>
          <w:color w:val="134074"/>
          <w:sz w:val="26"/>
        </w:rPr>
        <w:t>6.1 Core System Capabilities</w:t>
      </w:r>
    </w:p>
    <w:p>
      <w:pPr>
        <w:pStyle w:val="ListBullet"/>
        <w:spacing w:before="20" w:after="60" w:line="276" w:lineRule="auto"/>
      </w:pPr>
      <w:r>
        <w:rPr>
          <w:rFonts w:ascii="Calibri" w:hAnsi="Calibri"/>
          <w:b/>
          <w:color w:val="0B2545"/>
          <w:sz w:val="21"/>
        </w:rPr>
        <w:t xml:space="preserve">Automated Payment Diagnosis: </w:t>
      </w:r>
      <w:r>
        <w:rPr>
          <w:rFonts w:ascii="Calibri" w:hAnsi="Calibri"/>
          <w:color w:val="1E293B"/>
          <w:sz w:val="21"/>
        </w:rPr>
        <w:t>Evaluates payment failure scenarios (deducted but unbooked, pending, failed) across UPI, Net Banking, and Cards; explains the RBI TAT automatic reversal cycle (T+3 to T+5 bank working days); and provides a structured action checklist.</w:t>
      </w:r>
    </w:p>
    <w:p>
      <w:pPr>
        <w:pStyle w:val="ListBullet"/>
        <w:spacing w:before="20" w:after="60" w:line="276" w:lineRule="auto"/>
      </w:pPr>
      <w:r>
        <w:rPr>
          <w:rFonts w:ascii="Calibri" w:hAnsi="Calibri"/>
          <w:b/>
          <w:color w:val="0B2545"/>
          <w:sz w:val="21"/>
        </w:rPr>
        <w:t xml:space="preserve">Regulatory PNR &amp; Charting Explainer: </w:t>
      </w:r>
      <w:r>
        <w:rPr>
          <w:rFonts w:ascii="Calibri" w:hAnsi="Calibri"/>
          <w:color w:val="1E293B"/>
          <w:sz w:val="21"/>
        </w:rPr>
        <w:t>Validates 10-digit PNR formats; provides an offline heuristic derivation of the originating railway zone; details waitlist priority rules; explains 1st chart (~4h) and 2nd chart (30-50m) preparation timelines; and issues explicit legal warnings regarding Section 138.</w:t>
      </w:r>
    </w:p>
    <w:p>
      <w:pPr>
        <w:pStyle w:val="ListBullet"/>
        <w:spacing w:before="20" w:after="60" w:line="276" w:lineRule="auto"/>
      </w:pPr>
      <w:r>
        <w:rPr>
          <w:rFonts w:ascii="Calibri" w:hAnsi="Calibri"/>
          <w:b/>
          <w:color w:val="0B2545"/>
          <w:sz w:val="21"/>
        </w:rPr>
        <w:t xml:space="preserve">Smart Route Discovery: </w:t>
      </w:r>
      <w:r>
        <w:rPr>
          <w:rFonts w:ascii="Calibri" w:hAnsi="Calibri"/>
          <w:color w:val="1E293B"/>
          <w:sz w:val="21"/>
        </w:rPr>
        <w:t>Provides fast, validated trunk route discovery with same-station blocking; displays curated schedule details; and directs passengers immediately to the official IRCTC portal for booking.</w:t>
      </w:r>
    </w:p>
    <w:p>
      <w:pPr>
        <w:pStyle w:val="ListBullet"/>
        <w:spacing w:before="20" w:after="60" w:line="276" w:lineRule="auto"/>
      </w:pPr>
      <w:r>
        <w:rPr>
          <w:rFonts w:ascii="Calibri" w:hAnsi="Calibri"/>
          <w:b/>
          <w:color w:val="0B2545"/>
          <w:sz w:val="21"/>
        </w:rPr>
        <w:t xml:space="preserve">Auditable Support Engine: </w:t>
      </w:r>
      <w:r>
        <w:rPr>
          <w:rFonts w:ascii="Calibri" w:hAnsi="Calibri"/>
          <w:color w:val="1E293B"/>
          <w:sz w:val="21"/>
        </w:rPr>
        <w:t>Enables passengers to register structured non-emergency feedback, yielding a trackable RS-XXXXXX reference with an interactive chronological event history modal.</w:t>
      </w:r>
    </w:p>
    <w:p>
      <w:pPr>
        <w:pStyle w:val="ListBullet"/>
        <w:spacing w:before="20" w:after="60" w:line="276" w:lineRule="auto"/>
      </w:pPr>
      <w:r>
        <w:rPr>
          <w:rFonts w:ascii="Calibri" w:hAnsi="Calibri"/>
          <w:b/>
          <w:color w:val="0B2545"/>
          <w:sz w:val="21"/>
        </w:rPr>
        <w:t xml:space="preserve">Administrative Operations Console: </w:t>
      </w:r>
      <w:r>
        <w:rPr>
          <w:rFonts w:ascii="Calibri" w:hAnsi="Calibri"/>
          <w:color w:val="1E293B"/>
          <w:sz w:val="21"/>
        </w:rPr>
        <w:t>Empowers railway customer service agents to inspect filtered case queues, execute status transitions (OPEN -&gt; IN_PROGRESS -&gt; RESOLVED) with mandatory investigation notes, and maintain an immutable dual audit log.</w:t>
      </w:r>
    </w:p>
    <w:p>
      <w:pPr>
        <w:keepNext/>
        <w:spacing w:before="240" w:after="80"/>
      </w:pPr>
      <w:r>
        <w:rPr>
          <w:rFonts w:ascii="Calibri" w:hAnsi="Calibri"/>
          <w:b/>
          <w:color w:val="134074"/>
          <w:sz w:val="26"/>
        </w:rPr>
        <w:t>6.2 User Persona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c>
          <w:tcPr>
            <w:tcW w:type="dxa" w:w="2016"/>
            <w:shd w:fill="0B2545"/>
            <w:tcMar>
              <w:top w:w="100" w:type="dxa"/>
              <w:bottom w:w="100" w:type="dxa"/>
              <w:left w:w="120" w:type="dxa"/>
              <w:right w:w="120" w:type="dxa"/>
            </w:tcMar>
          </w:tcPr>
          <w:p>
            <w:pPr>
              <w:jc w:val="left"/>
            </w:pPr>
            <w:r>
              <w:rPr>
                <w:rFonts w:ascii="Calibri" w:hAnsi="Calibri"/>
                <w:b/>
                <w:color w:val="FFFFFF"/>
                <w:sz w:val="19"/>
              </w:rPr>
              <w:t>User Persona</w:t>
            </w:r>
          </w:p>
        </w:tc>
        <w:tc>
          <w:tcPr>
            <w:tcW w:type="dxa" w:w="3845"/>
            <w:shd w:fill="0B2545"/>
            <w:tcMar>
              <w:top w:w="100" w:type="dxa"/>
              <w:bottom w:w="100" w:type="dxa"/>
              <w:left w:w="120" w:type="dxa"/>
              <w:right w:w="120" w:type="dxa"/>
            </w:tcMar>
          </w:tcPr>
          <w:p>
            <w:pPr>
              <w:jc w:val="left"/>
            </w:pPr>
            <w:r>
              <w:rPr>
                <w:rFonts w:ascii="Calibri" w:hAnsi="Calibri"/>
                <w:b/>
                <w:color w:val="FFFFFF"/>
                <w:sz w:val="19"/>
              </w:rPr>
              <w:t>Context &amp; Primary Pain Point</w:t>
            </w:r>
          </w:p>
        </w:tc>
        <w:tc>
          <w:tcPr>
            <w:tcW w:type="dxa" w:w="3888"/>
            <w:shd w:fill="0B2545"/>
            <w:tcMar>
              <w:top w:w="100" w:type="dxa"/>
              <w:bottom w:w="100" w:type="dxa"/>
              <w:left w:w="120" w:type="dxa"/>
              <w:right w:w="120" w:type="dxa"/>
            </w:tcMar>
          </w:tcPr>
          <w:p>
            <w:pPr>
              <w:jc w:val="left"/>
            </w:pPr>
            <w:r>
              <w:rPr>
                <w:rFonts w:ascii="Calibri" w:hAnsi="Calibri"/>
                <w:b/>
                <w:color w:val="FFFFFF"/>
                <w:sz w:val="19"/>
              </w:rPr>
              <w:t>How RailSahayak Delivers Value</w:t>
            </w:r>
          </w:p>
        </w:tc>
      </w:tr>
      <w:tr>
        <w:tc>
          <w:tcPr>
            <w:tcW w:type="dxa" w:w="2016"/>
            <w:shd w:fill="FFFFFF"/>
            <w:tcMar>
              <w:top w:w="80" w:type="dxa"/>
              <w:bottom w:w="80" w:type="dxa"/>
              <w:left w:w="120" w:type="dxa"/>
              <w:right w:w="120" w:type="dxa"/>
            </w:tcMar>
          </w:tcPr>
          <w:p>
            <w:r>
              <w:rPr>
                <w:rFonts w:ascii="Calibri" w:hAnsi="Calibri"/>
                <w:color w:val="1E293B"/>
                <w:sz w:val="18"/>
              </w:rPr>
              <w:t>Distressed Tatkal Booker</w:t>
            </w:r>
          </w:p>
        </w:tc>
        <w:tc>
          <w:tcPr>
            <w:tcW w:type="dxa" w:w="3845"/>
            <w:shd w:fill="FFFFFF"/>
            <w:tcMar>
              <w:top w:w="80" w:type="dxa"/>
              <w:bottom w:w="80" w:type="dxa"/>
              <w:left w:w="120" w:type="dxa"/>
              <w:right w:w="120" w:type="dxa"/>
            </w:tcMar>
          </w:tcPr>
          <w:p>
            <w:r>
              <w:rPr>
                <w:rFonts w:ascii="Calibri" w:hAnsi="Calibri"/>
                <w:color w:val="1E293B"/>
                <w:sz w:val="18"/>
              </w:rPr>
              <w:t>Account debited Rs. 2,400 during 10:01 AM Tatkal rush; no ticket confirmation received.</w:t>
            </w:r>
          </w:p>
        </w:tc>
        <w:tc>
          <w:tcPr>
            <w:tcW w:type="dxa" w:w="3888"/>
            <w:shd w:fill="FFFFFF"/>
            <w:tcMar>
              <w:top w:w="80" w:type="dxa"/>
              <w:bottom w:w="80" w:type="dxa"/>
              <w:left w:w="120" w:type="dxa"/>
              <w:right w:w="120" w:type="dxa"/>
            </w:tcMar>
          </w:tcPr>
          <w:p>
            <w:r>
              <w:rPr>
                <w:rFonts w:ascii="Calibri" w:hAnsi="Calibri"/>
                <w:color w:val="1E293B"/>
                <w:sz w:val="18"/>
              </w:rPr>
              <w:t>Immediate diagnosis explaining settlement cycle; deters duplicate payment; provides bank dispute checklist.</w:t>
            </w:r>
          </w:p>
        </w:tc>
      </w:tr>
      <w:tr>
        <w:tc>
          <w:tcPr>
            <w:tcW w:type="dxa" w:w="2016"/>
            <w:shd w:fill="F8FAFC"/>
            <w:tcMar>
              <w:top w:w="80" w:type="dxa"/>
              <w:bottom w:w="80" w:type="dxa"/>
              <w:left w:w="120" w:type="dxa"/>
              <w:right w:w="120" w:type="dxa"/>
            </w:tcMar>
          </w:tcPr>
          <w:p>
            <w:r>
              <w:rPr>
                <w:rFonts w:ascii="Calibri" w:hAnsi="Calibri"/>
                <w:color w:val="1E293B"/>
                <w:sz w:val="18"/>
              </w:rPr>
              <w:t>Uncertain RAC Passenger</w:t>
            </w:r>
          </w:p>
        </w:tc>
        <w:tc>
          <w:tcPr>
            <w:tcW w:type="dxa" w:w="3845"/>
            <w:shd w:fill="F8FAFC"/>
            <w:tcMar>
              <w:top w:w="80" w:type="dxa"/>
              <w:bottom w:w="80" w:type="dxa"/>
              <w:left w:w="120" w:type="dxa"/>
              <w:right w:w="120" w:type="dxa"/>
            </w:tcMar>
          </w:tcPr>
          <w:p>
            <w:r>
              <w:rPr>
                <w:rFonts w:ascii="Calibri" w:hAnsi="Calibri"/>
                <w:color w:val="1E293B"/>
                <w:sz w:val="18"/>
              </w:rPr>
              <w:t>Assigned RAC 14; confused whether to board train or cancel ticket.</w:t>
            </w:r>
          </w:p>
        </w:tc>
        <w:tc>
          <w:tcPr>
            <w:tcW w:type="dxa" w:w="3888"/>
            <w:shd w:fill="F8FAFC"/>
            <w:tcMar>
              <w:top w:w="80" w:type="dxa"/>
              <w:bottom w:w="80" w:type="dxa"/>
              <w:left w:w="120" w:type="dxa"/>
              <w:right w:w="120" w:type="dxa"/>
            </w:tcMar>
          </w:tcPr>
          <w:p>
            <w:r>
              <w:rPr>
                <w:rFonts w:ascii="Calibri" w:hAnsi="Calibri"/>
                <w:color w:val="1E293B"/>
                <w:sz w:val="18"/>
              </w:rPr>
              <w:t>Explains legal travel entitlement, shared sitting berth rights, and post-charting upgrade rules.</w:t>
            </w:r>
          </w:p>
        </w:tc>
      </w:tr>
      <w:tr>
        <w:tc>
          <w:tcPr>
            <w:tcW w:type="dxa" w:w="2016"/>
            <w:shd w:fill="FFFFFF"/>
            <w:tcMar>
              <w:top w:w="80" w:type="dxa"/>
              <w:bottom w:w="80" w:type="dxa"/>
              <w:left w:w="120" w:type="dxa"/>
              <w:right w:w="120" w:type="dxa"/>
            </w:tcMar>
          </w:tcPr>
          <w:p>
            <w:r>
              <w:rPr>
                <w:rFonts w:ascii="Calibri" w:hAnsi="Calibri"/>
                <w:color w:val="1E293B"/>
                <w:sz w:val="18"/>
              </w:rPr>
              <w:t>General Commuter</w:t>
            </w:r>
          </w:p>
        </w:tc>
        <w:tc>
          <w:tcPr>
            <w:tcW w:type="dxa" w:w="3845"/>
            <w:shd w:fill="FFFFFF"/>
            <w:tcMar>
              <w:top w:w="80" w:type="dxa"/>
              <w:bottom w:w="80" w:type="dxa"/>
              <w:left w:w="120" w:type="dxa"/>
              <w:right w:w="120" w:type="dxa"/>
            </w:tcMar>
          </w:tcPr>
          <w:p>
            <w:r>
              <w:rPr>
                <w:rFonts w:ascii="Calibri" w:hAnsi="Calibri"/>
                <w:color w:val="1E293B"/>
                <w:sz w:val="18"/>
              </w:rPr>
              <w:t>Exploring express connectivity between New Delhi and Varanasi.</w:t>
            </w:r>
          </w:p>
        </w:tc>
        <w:tc>
          <w:tcPr>
            <w:tcW w:type="dxa" w:w="3888"/>
            <w:shd w:fill="FFFFFF"/>
            <w:tcMar>
              <w:top w:w="80" w:type="dxa"/>
              <w:bottom w:w="80" w:type="dxa"/>
              <w:left w:w="120" w:type="dxa"/>
              <w:right w:w="120" w:type="dxa"/>
            </w:tcMar>
          </w:tcPr>
          <w:p>
            <w:r>
              <w:rPr>
                <w:rFonts w:ascii="Calibri" w:hAnsi="Calibri"/>
                <w:color w:val="1E293B"/>
                <w:sz w:val="18"/>
              </w:rPr>
              <w:t>Validates stations, provides deterministic schedule guidance, links directly to IRCTC.</w:t>
            </w:r>
          </w:p>
        </w:tc>
      </w:tr>
      <w:tr>
        <w:tc>
          <w:tcPr>
            <w:tcW w:type="dxa" w:w="2016"/>
            <w:shd w:fill="F8FAFC"/>
            <w:tcMar>
              <w:top w:w="80" w:type="dxa"/>
              <w:bottom w:w="80" w:type="dxa"/>
              <w:left w:w="120" w:type="dxa"/>
              <w:right w:w="120" w:type="dxa"/>
            </w:tcMar>
          </w:tcPr>
          <w:p>
            <w:r>
              <w:rPr>
                <w:rFonts w:ascii="Calibri" w:hAnsi="Calibri"/>
                <w:color w:val="1E293B"/>
                <w:sz w:val="18"/>
              </w:rPr>
              <w:t>Railway Helpdesk Agent</w:t>
            </w:r>
          </w:p>
        </w:tc>
        <w:tc>
          <w:tcPr>
            <w:tcW w:type="dxa" w:w="3845"/>
            <w:shd w:fill="F8FAFC"/>
            <w:tcMar>
              <w:top w:w="80" w:type="dxa"/>
              <w:bottom w:w="80" w:type="dxa"/>
              <w:left w:w="120" w:type="dxa"/>
              <w:right w:w="120" w:type="dxa"/>
            </w:tcMar>
          </w:tcPr>
          <w:p>
            <w:r>
              <w:rPr>
                <w:rFonts w:ascii="Calibri" w:hAnsi="Calibri"/>
                <w:color w:val="1E293B"/>
                <w:sz w:val="18"/>
              </w:rPr>
              <w:t>Managing backlog of repetitive refund inquiries on RailMadad.</w:t>
            </w:r>
          </w:p>
        </w:tc>
        <w:tc>
          <w:tcPr>
            <w:tcW w:type="dxa" w:w="3888"/>
            <w:shd w:fill="F8FAFC"/>
            <w:tcMar>
              <w:top w:w="80" w:type="dxa"/>
              <w:bottom w:w="80" w:type="dxa"/>
              <w:left w:w="120" w:type="dxa"/>
              <w:right w:w="120" w:type="dxa"/>
            </w:tcMar>
          </w:tcPr>
          <w:p>
            <w:r>
              <w:rPr>
                <w:rFonts w:ascii="Calibri" w:hAnsi="Calibri"/>
                <w:color w:val="1E293B"/>
                <w:sz w:val="18"/>
              </w:rPr>
              <w:t>Filters non-emergency inquiries; updates case status with structured notes and MDC correlation tracking.</w:t>
            </w:r>
          </w:p>
        </w:tc>
      </w:tr>
      <w:tr>
        <w:tc>
          <w:tcPr>
            <w:tcW w:type="dxa" w:w="2016"/>
            <w:shd w:fill="FFFFFF"/>
            <w:tcMar>
              <w:top w:w="80" w:type="dxa"/>
              <w:bottom w:w="80" w:type="dxa"/>
              <w:left w:w="120" w:type="dxa"/>
              <w:right w:w="120" w:type="dxa"/>
            </w:tcMar>
          </w:tcPr>
          <w:p>
            <w:r>
              <w:rPr>
                <w:rFonts w:ascii="Calibri" w:hAnsi="Calibri"/>
                <w:color w:val="1E293B"/>
                <w:sz w:val="18"/>
              </w:rPr>
              <w:t>Railway IT Executive</w:t>
            </w:r>
          </w:p>
        </w:tc>
        <w:tc>
          <w:tcPr>
            <w:tcW w:type="dxa" w:w="3845"/>
            <w:shd w:fill="FFFFFF"/>
            <w:tcMar>
              <w:top w:w="80" w:type="dxa"/>
              <w:bottom w:w="80" w:type="dxa"/>
              <w:left w:w="120" w:type="dxa"/>
              <w:right w:w="120" w:type="dxa"/>
            </w:tcMar>
          </w:tcPr>
          <w:p>
            <w:r>
              <w:rPr>
                <w:rFonts w:ascii="Calibri" w:hAnsi="Calibri"/>
                <w:color w:val="1E293B"/>
                <w:sz w:val="18"/>
              </w:rPr>
              <w:t>Monitoring passenger grievance trends and platform security.</w:t>
            </w:r>
          </w:p>
        </w:tc>
        <w:tc>
          <w:tcPr>
            <w:tcW w:type="dxa" w:w="3888"/>
            <w:shd w:fill="FFFFFF"/>
            <w:tcMar>
              <w:top w:w="80" w:type="dxa"/>
              <w:bottom w:w="80" w:type="dxa"/>
              <w:left w:w="120" w:type="dxa"/>
              <w:right w:w="120" w:type="dxa"/>
            </w:tcMar>
          </w:tcPr>
          <w:p>
            <w:r>
              <w:rPr>
                <w:rFonts w:ascii="Calibri" w:hAnsi="Calibri"/>
                <w:color w:val="1E293B"/>
                <w:sz w:val="18"/>
              </w:rPr>
              <w:t>Reviews tamper-evident audit logs, rate-limiting telemetry, and DPDP compliance posture.</w:t>
            </w:r>
          </w:p>
        </w:tc>
      </w:tr>
    </w:tbl>
    <w:p>
      <w:pPr>
        <w:spacing w:before="0" w:after="80"/>
      </w:pPr>
    </w:p>
    <w:p>
      <w:pPr>
        <w:keepNext/>
        <w:spacing w:before="320" w:after="120"/>
      </w:pPr>
      <w:r>
        <w:rPr>
          <w:rFonts w:ascii="Calibri" w:hAnsi="Calibri"/>
          <w:b/>
          <w:color w:val="0B2545"/>
          <w:sz w:val="32"/>
        </w:rPr>
        <w:t>7. Detailed Feature and Workflow Descriptions</w:t>
      </w:r>
    </w:p>
    <w:p>
      <w:pPr>
        <w:spacing w:before="0" w:after="100" w:line="276" w:lineRule="auto"/>
      </w:pPr>
      <w:r>
        <w:rPr>
          <w:rFonts w:ascii="Calibri" w:hAnsi="Calibri"/>
          <w:color w:val="1E293B"/>
          <w:sz w:val="22"/>
        </w:rPr>
        <w:t>RailSahayak's functional architecture is organized into five tightly integrated modules, each engineered with defensive validation and user-centric workflows:</w:t>
      </w:r>
    </w:p>
    <w:p>
      <w:pPr>
        <w:keepNext/>
        <w:spacing w:before="240" w:after="80"/>
      </w:pPr>
      <w:r>
        <w:rPr>
          <w:rFonts w:ascii="Calibri" w:hAnsi="Calibri"/>
          <w:b/>
          <w:color w:val="134074"/>
          <w:sz w:val="26"/>
        </w:rPr>
        <w:t>7.1 Smart Train Finder Module</w:t>
      </w:r>
    </w:p>
    <w:p>
      <w:pPr>
        <w:spacing w:before="0" w:after="100" w:line="276" w:lineRule="auto"/>
      </w:pPr>
      <w:r>
        <w:rPr>
          <w:rFonts w:ascii="Calibri" w:hAnsi="Calibri"/>
          <w:color w:val="1E293B"/>
          <w:sz w:val="22"/>
        </w:rPr>
        <w:t>The Smart Train Finder enables passengers to discover passenger train services on major trunk corridors. The module enforces strict client and server validation: departure and destination stations must be valid, distinct stations; journey dates cannot be in the past; and class preferences (SL, 3A, 2A, 1A, CC) are validated. Search results display curated route information, including train numbers, departure/arrival schedules, and intermediate halts. Every route card features a prominent visual badge ('SAMPLE DEMO DATA') and a direct deep-link to the official IRCTC e-ticketing portal (irctc.co.in) for live seat inventory and commercial booking.</w:t>
      </w:r>
    </w:p>
    <w:p>
      <w:pPr>
        <w:keepNext/>
        <w:spacing w:before="240" w:after="80"/>
      </w:pPr>
      <w:r>
        <w:rPr>
          <w:rFonts w:ascii="Calibri" w:hAnsi="Calibri"/>
          <w:b/>
          <w:color w:val="134074"/>
          <w:sz w:val="26"/>
        </w:rPr>
        <w:t>7.2 Payment Help Diagnostic Module</w:t>
      </w:r>
    </w:p>
    <w:p>
      <w:pPr>
        <w:spacing w:before="0" w:after="100" w:line="276" w:lineRule="auto"/>
      </w:pPr>
      <w:r>
        <w:rPr>
          <w:rFonts w:ascii="Calibri" w:hAnsi="Calibri"/>
          <w:color w:val="1E293B"/>
          <w:sz w:val="22"/>
        </w:rPr>
        <w:t>The Payment Help module addresses passenger transaction distress without querying live payment gateway APIs or collecting financial credentials. The passenger selects the payment mode (UPI, Net Banking, Debit Card, Credit Card), the specific issue (Deducted but not booked, Transaction timed out, Payment pending, Refund delayed), and enters a masked transaction reference.</w:t>
      </w:r>
    </w:p>
    <w:tbl>
      <w:tblPr>
        <w:tblW w:type="auto" w:w="0"/>
        <w:jc w:val="center"/>
        <w:tblLayout w:type="fixed"/>
        <w:tblLook w:firstColumn="1" w:firstRow="1" w:lastColumn="0" w:lastRow="0" w:noHBand="0" w:noVBand="1" w:val="04A0"/>
      </w:tblPr>
      <w:tblGrid>
        <w:gridCol w:w="9749"/>
      </w:tblGrid>
      <w:tr>
        <w:tc>
          <w:tcPr>
            <w:tcW w:type="dxa" w:w="9749"/>
            <w:shd w:fill="FDF2F2"/>
            <w:tcMar>
              <w:top w:w="120" w:type="dxa"/>
              <w:bottom w:w="120" w:type="dxa"/>
              <w:left w:w="180" w:type="dxa"/>
              <w:right w:w="140" w:type="dxa"/>
            </w:tcMar>
            <w:tcBorders>
              <w:left w:val="single" w:sz="24" w:space="0" w:color="A31D1D"/>
              <w:top w:val="none"/>
              <w:right w:val="none"/>
              <w:bottom w:val="none"/>
            </w:tcBorders>
          </w:tcPr>
          <w:p>
            <w:pPr>
              <w:spacing w:before="40" w:after="40" w:line="276" w:lineRule="auto"/>
            </w:pPr>
            <w:r>
              <w:rPr>
                <w:rFonts w:ascii="Calibri" w:hAnsi="Calibri"/>
                <w:b/>
                <w:color w:val="0B2545"/>
                <w:sz w:val="21"/>
              </w:rPr>
              <w:t>ZERO-TRUST PAYMENT SECRET DEFENSE</w:t>
              <w:br/>
            </w:r>
            <w:r>
              <w:rPr>
                <w:rFonts w:ascii="Calibri" w:hAnsi="Calibri"/>
                <w:color w:val="A31D1D"/>
                <w:sz w:val="20"/>
              </w:rPr>
              <w:t>ZERO-TRUST FINANCIAL CREDENTIAL PROTECTION: RailSahayak actively protects passenger financial privacy. The payment diagnostic input parser executes real-time regular expression checks that immediately reject any input containing 13 to 19 digit primary account numbers (PANs), 3 to 4 digit CVVs, UPI PINs, One-Time Passwords (OTPs), or password strings with an immediate HTTP 400 Bad Request. RailSahayak never prompts for, transmits, or persists financial secrets.</w:t>
            </w:r>
          </w:p>
        </w:tc>
      </w:tr>
    </w:tbl>
    <w:p>
      <w:pPr>
        <w:spacing w:before="0" w:after="80"/>
      </w:pPr>
    </w:p>
    <w:p>
      <w:pPr>
        <w:spacing w:before="0" w:after="100" w:line="276" w:lineRule="auto"/>
      </w:pPr>
      <w:r>
        <w:rPr>
          <w:rFonts w:ascii="Calibri" w:hAnsi="Calibri"/>
          <w:color w:val="1E293B"/>
          <w:sz w:val="22"/>
        </w:rPr>
        <w:t>Upon submission, the diagnostic engine evaluates the input against a decision tree grounded in Reserve Bank of India Circular RBI/2019-20/67 ('Harmonisation of Turn Around Time (TAT) and customer compensation for failed transactions'). It explains that interbank settlement cycles typically resolve within T+3 to T+5 bank working days, outlines auto-reversal procedures, and generates a structured, printable escalation checklist.</w:t>
      </w:r>
    </w:p>
    <w:p>
      <w:pPr>
        <w:keepNext/>
        <w:spacing w:before="240" w:after="80"/>
      </w:pPr>
      <w:r>
        <w:rPr>
          <w:rFonts w:ascii="Calibri" w:hAnsi="Calibri"/>
          <w:b/>
          <w:color w:val="134074"/>
          <w:sz w:val="26"/>
        </w:rPr>
        <w:t>7.3 Regulatory PNR Guide Module</w:t>
      </w:r>
    </w:p>
    <w:p>
      <w:pPr>
        <w:spacing w:before="0" w:after="100" w:line="276" w:lineRule="auto"/>
      </w:pPr>
      <w:r>
        <w:rPr>
          <w:rFonts w:ascii="Calibri" w:hAnsi="Calibri"/>
          <w:color w:val="1E293B"/>
          <w:sz w:val="22"/>
        </w:rPr>
        <w:t>The PNR Guide validates 10-digit Passenger Name Record numbers using strict numeric format checking. Based on established Indian Railways numbering conventions, the module performs an offline heuristic mapping of the first digit to determine the originating PRS data center (e.g., 2/3 for Northern Zone / CRIS New Delhi, 4/5 for Eastern Zone / CRIS Kolkata, 8/9 for Southern Zone / CRIS Chennai).</w:t>
      </w:r>
    </w:p>
    <w:p>
      <w:pPr>
        <w:spacing w:before="0" w:after="100" w:line="276" w:lineRule="auto"/>
      </w:pPr>
      <w:r>
        <w:rPr>
          <w:rFonts w:ascii="Calibri" w:hAnsi="Calibri"/>
          <w:color w:val="1E293B"/>
          <w:sz w:val="22"/>
        </w:rPr>
        <w:t>The module provides an authoritative bilingual glossary explaining every PRS status code: Confirmed (CNF), Reservation Against Cancellation (RAC), General Waitlist (GNWL), Remote Location Waitlist (RLWL), Pooled Quota Waitlist (PQWL), Tatkal Waitlist (TQWL), Cancelled (CAN), and Ticket Deposit Receipt (TDR). It explains charting timetables: the 1st reservation chart is prepared at least 4 hours prior to scheduled departure (or by 20:00 hours on the previous evening for morning departures), while the 2nd chart is prepared 30 to 50 minutes prior to departure for last-minute allocations.</w:t>
      </w:r>
    </w:p>
    <w:tbl>
      <w:tblPr>
        <w:tblW w:type="auto" w:w="0"/>
        <w:jc w:val="center"/>
        <w:tblLayout w:type="fixed"/>
        <w:tblLook w:firstColumn="1" w:firstRow="1" w:lastColumn="0" w:lastRow="0" w:noHBand="0" w:noVBand="1" w:val="04A0"/>
      </w:tblPr>
      <w:tblGrid>
        <w:gridCol w:w="9749"/>
      </w:tblGrid>
      <w:tr>
        <w:tc>
          <w:tcPr>
            <w:tcW w:type="dxa" w:w="9749"/>
            <w:shd w:fill="FFFBEB"/>
            <w:tcMar>
              <w:top w:w="120" w:type="dxa"/>
              <w:bottom w:w="120" w:type="dxa"/>
              <w:left w:w="180" w:type="dxa"/>
              <w:right w:w="140" w:type="dxa"/>
            </w:tcMar>
            <w:tcBorders>
              <w:left w:val="single" w:sz="24" w:space="0" w:color="B45309"/>
              <w:top w:val="none"/>
              <w:right w:val="none"/>
              <w:bottom w:val="none"/>
            </w:tcBorders>
          </w:tcPr>
          <w:p>
            <w:pPr>
              <w:spacing w:before="40" w:after="40" w:line="276" w:lineRule="auto"/>
            </w:pPr>
            <w:r>
              <w:rPr>
                <w:rFonts w:ascii="Calibri" w:hAnsi="Calibri"/>
                <w:b/>
                <w:color w:val="0B2545"/>
                <w:sz w:val="21"/>
              </w:rPr>
              <w:t>STATUTORY ADVISORY — RAILWAYS ACT 1989 SECTION 138</w:t>
              <w:br/>
            </w:r>
            <w:r>
              <w:rPr>
                <w:rFonts w:ascii="Calibri" w:hAnsi="Calibri"/>
                <w:color w:val="B45309"/>
                <w:sz w:val="20"/>
              </w:rPr>
              <w:t>STATUTORY LEGAL NOTICE ON E-TICKET TRAVEL: Under Ministry of Railways Commercial Circular No. 64 of 2015 and the Indian Railways Commercial Manual, an e-ticket that remains fully waitlisted after 2nd chart preparation is automatically invalidated by CRIS PRS, and the fare is refunded to the booking account. Traveling on an Indian Railways train with an invalidated, waitlisted e-ticket is strictly prohibited and constitutes ticketless travel under Section 138 of the Railways Act, 1989, subjecting the passenger to mandatory excess fare penalties.</w:t>
            </w:r>
          </w:p>
        </w:tc>
      </w:tr>
    </w:tbl>
    <w:p>
      <w:pPr>
        <w:spacing w:before="0" w:after="80"/>
      </w:pPr>
    </w:p>
    <w:p>
      <w:pPr>
        <w:keepNext/>
        <w:spacing w:before="240" w:after="80"/>
      </w:pPr>
      <w:r>
        <w:rPr>
          <w:rFonts w:ascii="Calibri" w:hAnsi="Calibri"/>
          <w:b/>
          <w:color w:val="134074"/>
          <w:sz w:val="26"/>
        </w:rPr>
        <w:t>7.4 Passenger Support Case Management &amp; Timeline</w:t>
      </w:r>
    </w:p>
    <w:p>
      <w:pPr>
        <w:spacing w:before="0" w:after="100" w:line="276" w:lineRule="auto"/>
      </w:pPr>
      <w:r>
        <w:rPr>
          <w:rFonts w:ascii="Calibri" w:hAnsi="Calibri"/>
          <w:color w:val="1E293B"/>
          <w:sz w:val="22"/>
        </w:rPr>
        <w:t>Passengers experiencing non-emergency operational friction (e.g., station amenities, booking inquiry, accessibility assistance) can submit a structured support ticket. The submission wizard requires selecting a valid category and providing a description between 10 and 500 characters. Upon submission, the system atomically persists the record in PostgreSQL, assigning a unique identifier formatted as RS-XXXXXX (e.g., RS-7A4B9C). Passengers can inspect their active cases at any time; clicking a case opens an interactive timeline modal displaying the full chronological history from case creation to resolution.</w:t>
      </w:r>
    </w:p>
    <w:p>
      <w:pPr>
        <w:keepNext/>
        <w:spacing w:before="240" w:after="80"/>
      </w:pPr>
      <w:r>
        <w:rPr>
          <w:rFonts w:ascii="Calibri" w:hAnsi="Calibri"/>
          <w:b/>
          <w:color w:val="134074"/>
          <w:sz w:val="26"/>
        </w:rPr>
        <w:t>7.5 Administrative Operations Console</w:t>
      </w:r>
    </w:p>
    <w:p>
      <w:pPr>
        <w:spacing w:before="0" w:after="100" w:line="276" w:lineRule="auto"/>
      </w:pPr>
      <w:r>
        <w:rPr>
          <w:rFonts w:ascii="Calibri" w:hAnsi="Calibri"/>
          <w:color w:val="1E293B"/>
          <w:sz w:val="22"/>
        </w:rPr>
        <w:t>The Operations Console provides railway administrators (authenticated with ROLE_ADMIN) with a comprehensive supervisory dashboard. The console displays aggregate metrics (Total Cases, Pending Inquiries, Resolved Issues, Audit Trail Records) and a filterable case queue. Operators can open any case, inspect passenger details, and trigger status updates (OPEN -&gt; IN_PROGRESS -&gt; RESOLVED) with mandatory investigation notes. Every administrative action is atomically committed to PostgreSQL, writing an event to case_events for passenger visibility and an immutable audit log to audit_logs.</w:t>
      </w:r>
    </w:p>
    <w:p>
      <w:pPr>
        <w:keepNext/>
        <w:spacing w:before="320" w:after="120"/>
      </w:pPr>
      <w:r>
        <w:rPr>
          <w:rFonts w:ascii="Calibri" w:hAnsi="Calibri"/>
          <w:b/>
          <w:color w:val="0B2545"/>
          <w:sz w:val="32"/>
        </w:rPr>
        <w:t>8. Current Implementation and Verification Evidence</w:t>
      </w:r>
    </w:p>
    <w:p>
      <w:pPr>
        <w:spacing w:before="0" w:after="100" w:line="276" w:lineRule="auto"/>
      </w:pPr>
      <w:r>
        <w:rPr>
          <w:rFonts w:ascii="Calibri" w:hAnsi="Calibri"/>
          <w:color w:val="1E293B"/>
          <w:sz w:val="22"/>
        </w:rPr>
        <w:t>The RailSahayak software package is not a concept paper or visual mockup; it is a fully functioning, production-grade application running in a verified local sandbox environment.</w:t>
      </w:r>
    </w:p>
    <w:p>
      <w:pPr>
        <w:keepNext/>
        <w:spacing w:before="240" w:after="80"/>
      </w:pPr>
      <w:r>
        <w:rPr>
          <w:rFonts w:ascii="Calibri" w:hAnsi="Calibri"/>
          <w:b/>
          <w:color w:val="134074"/>
          <w:sz w:val="26"/>
        </w:rPr>
        <w:t>8.1 Architecture Stack &amp; Dependencies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2016"/>
            <w:shd w:fill="0B2545"/>
            <w:tcMar>
              <w:top w:w="100" w:type="dxa"/>
              <w:bottom w:w="100" w:type="dxa"/>
              <w:left w:w="120" w:type="dxa"/>
              <w:right w:w="120" w:type="dxa"/>
            </w:tcMar>
          </w:tcPr>
          <w:p>
            <w:pPr>
              <w:jc w:val="left"/>
            </w:pPr>
            <w:r>
              <w:rPr>
                <w:rFonts w:ascii="Calibri" w:hAnsi="Calibri"/>
                <w:b/>
                <w:color w:val="FFFFFF"/>
                <w:sz w:val="19"/>
              </w:rPr>
              <w:t>Layer / Component</w:t>
            </w:r>
          </w:p>
        </w:tc>
        <w:tc>
          <w:tcPr>
            <w:tcW w:type="dxa" w:w="3168"/>
            <w:shd w:fill="0B2545"/>
            <w:tcMar>
              <w:top w:w="100" w:type="dxa"/>
              <w:bottom w:w="100" w:type="dxa"/>
              <w:left w:w="120" w:type="dxa"/>
              <w:right w:w="120" w:type="dxa"/>
            </w:tcMar>
          </w:tcPr>
          <w:p>
            <w:pPr>
              <w:jc w:val="left"/>
            </w:pPr>
            <w:r>
              <w:rPr>
                <w:rFonts w:ascii="Calibri" w:hAnsi="Calibri"/>
                <w:b/>
                <w:color w:val="FFFFFF"/>
                <w:sz w:val="19"/>
              </w:rPr>
              <w:t>Technology / Framework</w:t>
            </w:r>
          </w:p>
        </w:tc>
        <w:tc>
          <w:tcPr>
            <w:tcW w:type="dxa" w:w="1152"/>
            <w:shd w:fill="0B2545"/>
            <w:tcMar>
              <w:top w:w="100" w:type="dxa"/>
              <w:bottom w:w="100" w:type="dxa"/>
              <w:left w:w="120" w:type="dxa"/>
              <w:right w:w="120" w:type="dxa"/>
            </w:tcMar>
          </w:tcPr>
          <w:p>
            <w:pPr>
              <w:jc w:val="left"/>
            </w:pPr>
            <w:r>
              <w:rPr>
                <w:rFonts w:ascii="Calibri" w:hAnsi="Calibri"/>
                <w:b/>
                <w:color w:val="FFFFFF"/>
                <w:sz w:val="19"/>
              </w:rPr>
              <w:t>Version</w:t>
            </w:r>
          </w:p>
        </w:tc>
        <w:tc>
          <w:tcPr>
            <w:tcW w:type="dxa" w:w="3413"/>
            <w:shd w:fill="0B2545"/>
            <w:tcMar>
              <w:top w:w="100" w:type="dxa"/>
              <w:bottom w:w="100" w:type="dxa"/>
              <w:left w:w="120" w:type="dxa"/>
              <w:right w:w="120" w:type="dxa"/>
            </w:tcMar>
          </w:tcPr>
          <w:p>
            <w:pPr>
              <w:jc w:val="left"/>
            </w:pPr>
            <w:r>
              <w:rPr>
                <w:rFonts w:ascii="Calibri" w:hAnsi="Calibri"/>
                <w:b/>
                <w:color w:val="FFFFFF"/>
                <w:sz w:val="19"/>
              </w:rPr>
              <w:t>Role in RailSahayak</w:t>
            </w:r>
          </w:p>
        </w:tc>
      </w:tr>
      <w:tr>
        <w:tc>
          <w:tcPr>
            <w:tcW w:type="dxa" w:w="2016"/>
            <w:shd w:fill="FFFFFF"/>
            <w:tcMar>
              <w:top w:w="80" w:type="dxa"/>
              <w:bottom w:w="80" w:type="dxa"/>
              <w:left w:w="120" w:type="dxa"/>
              <w:right w:w="120" w:type="dxa"/>
            </w:tcMar>
          </w:tcPr>
          <w:p>
            <w:r>
              <w:rPr>
                <w:rFonts w:ascii="Calibri" w:hAnsi="Calibri"/>
                <w:color w:val="1E293B"/>
                <w:sz w:val="18"/>
              </w:rPr>
              <w:t>Runtime Environment</w:t>
            </w:r>
          </w:p>
        </w:tc>
        <w:tc>
          <w:tcPr>
            <w:tcW w:type="dxa" w:w="3168"/>
            <w:shd w:fill="FFFFFF"/>
            <w:tcMar>
              <w:top w:w="80" w:type="dxa"/>
              <w:bottom w:w="80" w:type="dxa"/>
              <w:left w:w="120" w:type="dxa"/>
              <w:right w:w="120" w:type="dxa"/>
            </w:tcMar>
          </w:tcPr>
          <w:p>
            <w:r>
              <w:rPr>
                <w:rFonts w:ascii="Calibri" w:hAnsi="Calibri"/>
                <w:color w:val="1E293B"/>
                <w:sz w:val="18"/>
              </w:rPr>
              <w:t>OpenJDK / Eclipse Temurin</w:t>
            </w:r>
          </w:p>
        </w:tc>
        <w:tc>
          <w:tcPr>
            <w:tcW w:type="dxa" w:w="1152"/>
            <w:shd w:fill="FFFFFF"/>
            <w:tcMar>
              <w:top w:w="80" w:type="dxa"/>
              <w:bottom w:w="80" w:type="dxa"/>
              <w:left w:w="120" w:type="dxa"/>
              <w:right w:w="120" w:type="dxa"/>
            </w:tcMar>
          </w:tcPr>
          <w:p>
            <w:r>
              <w:rPr>
                <w:rFonts w:ascii="Calibri" w:hAnsi="Calibri"/>
                <w:color w:val="1E293B"/>
                <w:sz w:val="18"/>
              </w:rPr>
              <w:t>Java 24</w:t>
            </w:r>
          </w:p>
        </w:tc>
        <w:tc>
          <w:tcPr>
            <w:tcW w:type="dxa" w:w="3413"/>
            <w:shd w:fill="FFFFFF"/>
            <w:tcMar>
              <w:top w:w="80" w:type="dxa"/>
              <w:bottom w:w="80" w:type="dxa"/>
              <w:left w:w="120" w:type="dxa"/>
              <w:right w:w="120" w:type="dxa"/>
            </w:tcMar>
          </w:tcPr>
          <w:p>
            <w:r>
              <w:rPr>
                <w:rFonts w:ascii="Calibri" w:hAnsi="Calibri"/>
                <w:color w:val="1E293B"/>
                <w:sz w:val="18"/>
              </w:rPr>
              <w:t>Core application execution environment.</w:t>
            </w:r>
          </w:p>
        </w:tc>
      </w:tr>
      <w:tr>
        <w:tc>
          <w:tcPr>
            <w:tcW w:type="dxa" w:w="2016"/>
            <w:shd w:fill="F8FAFC"/>
            <w:tcMar>
              <w:top w:w="80" w:type="dxa"/>
              <w:bottom w:w="80" w:type="dxa"/>
              <w:left w:w="120" w:type="dxa"/>
              <w:right w:w="120" w:type="dxa"/>
            </w:tcMar>
          </w:tcPr>
          <w:p>
            <w:r>
              <w:rPr>
                <w:rFonts w:ascii="Calibri" w:hAnsi="Calibri"/>
                <w:color w:val="1E293B"/>
                <w:sz w:val="18"/>
              </w:rPr>
              <w:t>Backend Framework</w:t>
            </w:r>
          </w:p>
        </w:tc>
        <w:tc>
          <w:tcPr>
            <w:tcW w:type="dxa" w:w="3168"/>
            <w:shd w:fill="F8FAFC"/>
            <w:tcMar>
              <w:top w:w="80" w:type="dxa"/>
              <w:bottom w:w="80" w:type="dxa"/>
              <w:left w:w="120" w:type="dxa"/>
              <w:right w:w="120" w:type="dxa"/>
            </w:tcMar>
          </w:tcPr>
          <w:p>
            <w:r>
              <w:rPr>
                <w:rFonts w:ascii="Calibri" w:hAnsi="Calibri"/>
                <w:color w:val="1E293B"/>
                <w:sz w:val="18"/>
              </w:rPr>
              <w:t>Spring Boot (Web, Security, Data JPA)</w:t>
            </w:r>
          </w:p>
        </w:tc>
        <w:tc>
          <w:tcPr>
            <w:tcW w:type="dxa" w:w="1152"/>
            <w:shd w:fill="F8FAFC"/>
            <w:tcMar>
              <w:top w:w="80" w:type="dxa"/>
              <w:bottom w:w="80" w:type="dxa"/>
              <w:left w:w="120" w:type="dxa"/>
              <w:right w:w="120" w:type="dxa"/>
            </w:tcMar>
          </w:tcPr>
          <w:p>
            <w:r>
              <w:rPr>
                <w:rFonts w:ascii="Calibri" w:hAnsi="Calibri"/>
                <w:color w:val="1E293B"/>
                <w:sz w:val="18"/>
              </w:rPr>
              <w:t>3.4.5</w:t>
            </w:r>
          </w:p>
        </w:tc>
        <w:tc>
          <w:tcPr>
            <w:tcW w:type="dxa" w:w="3413"/>
            <w:shd w:fill="F8FAFC"/>
            <w:tcMar>
              <w:top w:w="80" w:type="dxa"/>
              <w:bottom w:w="80" w:type="dxa"/>
              <w:left w:w="120" w:type="dxa"/>
              <w:right w:w="120" w:type="dxa"/>
            </w:tcMar>
          </w:tcPr>
          <w:p>
            <w:r>
              <w:rPr>
                <w:rFonts w:ascii="Calibri" w:hAnsi="Calibri"/>
                <w:color w:val="1E293B"/>
                <w:sz w:val="18"/>
              </w:rPr>
              <w:t>REST APIs, security filter chain, transaction management.</w:t>
            </w:r>
          </w:p>
        </w:tc>
      </w:tr>
      <w:tr>
        <w:tc>
          <w:tcPr>
            <w:tcW w:type="dxa" w:w="2016"/>
            <w:shd w:fill="FFFFFF"/>
            <w:tcMar>
              <w:top w:w="80" w:type="dxa"/>
              <w:bottom w:w="80" w:type="dxa"/>
              <w:left w:w="120" w:type="dxa"/>
              <w:right w:w="120" w:type="dxa"/>
            </w:tcMar>
          </w:tcPr>
          <w:p>
            <w:r>
              <w:rPr>
                <w:rFonts w:ascii="Calibri" w:hAnsi="Calibri"/>
                <w:color w:val="1E293B"/>
                <w:sz w:val="18"/>
              </w:rPr>
              <w:t>Database Engine</w:t>
            </w:r>
          </w:p>
        </w:tc>
        <w:tc>
          <w:tcPr>
            <w:tcW w:type="dxa" w:w="3168"/>
            <w:shd w:fill="FFFFFF"/>
            <w:tcMar>
              <w:top w:w="80" w:type="dxa"/>
              <w:bottom w:w="80" w:type="dxa"/>
              <w:left w:w="120" w:type="dxa"/>
              <w:right w:w="120" w:type="dxa"/>
            </w:tcMar>
          </w:tcPr>
          <w:p>
            <w:r>
              <w:rPr>
                <w:rFonts w:ascii="Calibri" w:hAnsi="Calibri"/>
                <w:color w:val="1E293B"/>
                <w:sz w:val="18"/>
              </w:rPr>
              <w:t>PostgreSQL</w:t>
            </w:r>
          </w:p>
        </w:tc>
        <w:tc>
          <w:tcPr>
            <w:tcW w:type="dxa" w:w="1152"/>
            <w:shd w:fill="FFFFFF"/>
            <w:tcMar>
              <w:top w:w="80" w:type="dxa"/>
              <w:bottom w:w="80" w:type="dxa"/>
              <w:left w:w="120" w:type="dxa"/>
              <w:right w:w="120" w:type="dxa"/>
            </w:tcMar>
          </w:tcPr>
          <w:p>
            <w:r>
              <w:rPr>
                <w:rFonts w:ascii="Calibri" w:hAnsi="Calibri"/>
                <w:color w:val="1E293B"/>
                <w:sz w:val="18"/>
              </w:rPr>
              <w:t>16.x</w:t>
            </w:r>
          </w:p>
        </w:tc>
        <w:tc>
          <w:tcPr>
            <w:tcW w:type="dxa" w:w="3413"/>
            <w:shd w:fill="FFFFFF"/>
            <w:tcMar>
              <w:top w:w="80" w:type="dxa"/>
              <w:bottom w:w="80" w:type="dxa"/>
              <w:left w:w="120" w:type="dxa"/>
              <w:right w:w="120" w:type="dxa"/>
            </w:tcMar>
          </w:tcPr>
          <w:p>
            <w:r>
              <w:rPr>
                <w:rFonts w:ascii="Calibri" w:hAnsi="Calibri"/>
                <w:color w:val="1E293B"/>
                <w:sz w:val="18"/>
              </w:rPr>
              <w:t>Relational persistence for cases, events, and audit logs.</w:t>
            </w:r>
          </w:p>
        </w:tc>
      </w:tr>
      <w:tr>
        <w:tc>
          <w:tcPr>
            <w:tcW w:type="dxa" w:w="2016"/>
            <w:shd w:fill="F8FAFC"/>
            <w:tcMar>
              <w:top w:w="80" w:type="dxa"/>
              <w:bottom w:w="80" w:type="dxa"/>
              <w:left w:w="120" w:type="dxa"/>
              <w:right w:w="120" w:type="dxa"/>
            </w:tcMar>
          </w:tcPr>
          <w:p>
            <w:r>
              <w:rPr>
                <w:rFonts w:ascii="Calibri" w:hAnsi="Calibri"/>
                <w:color w:val="1E293B"/>
                <w:sz w:val="18"/>
              </w:rPr>
              <w:t>Schema Migration</w:t>
            </w:r>
          </w:p>
        </w:tc>
        <w:tc>
          <w:tcPr>
            <w:tcW w:type="dxa" w:w="3168"/>
            <w:shd w:fill="F8FAFC"/>
            <w:tcMar>
              <w:top w:w="80" w:type="dxa"/>
              <w:bottom w:w="80" w:type="dxa"/>
              <w:left w:w="120" w:type="dxa"/>
              <w:right w:w="120" w:type="dxa"/>
            </w:tcMar>
          </w:tcPr>
          <w:p>
            <w:r>
              <w:rPr>
                <w:rFonts w:ascii="Calibri" w:hAnsi="Calibri"/>
                <w:color w:val="1E293B"/>
                <w:sz w:val="18"/>
              </w:rPr>
              <w:t>Flyway Migration Framework</w:t>
            </w:r>
          </w:p>
        </w:tc>
        <w:tc>
          <w:tcPr>
            <w:tcW w:type="dxa" w:w="1152"/>
            <w:shd w:fill="F8FAFC"/>
            <w:tcMar>
              <w:top w:w="80" w:type="dxa"/>
              <w:bottom w:w="80" w:type="dxa"/>
              <w:left w:w="120" w:type="dxa"/>
              <w:right w:w="120" w:type="dxa"/>
            </w:tcMar>
          </w:tcPr>
          <w:p>
            <w:r>
              <w:rPr>
                <w:rFonts w:ascii="Calibri" w:hAnsi="Calibri"/>
                <w:color w:val="1E293B"/>
                <w:sz w:val="18"/>
              </w:rPr>
              <w:t>10.x</w:t>
            </w:r>
          </w:p>
        </w:tc>
        <w:tc>
          <w:tcPr>
            <w:tcW w:type="dxa" w:w="3413"/>
            <w:shd w:fill="F8FAFC"/>
            <w:tcMar>
              <w:top w:w="80" w:type="dxa"/>
              <w:bottom w:w="80" w:type="dxa"/>
              <w:left w:w="120" w:type="dxa"/>
              <w:right w:w="120" w:type="dxa"/>
            </w:tcMar>
          </w:tcPr>
          <w:p>
            <w:r>
              <w:rPr>
                <w:rFonts w:ascii="Calibri" w:hAnsi="Calibri"/>
                <w:color w:val="1E293B"/>
                <w:sz w:val="18"/>
              </w:rPr>
              <w:t>Versioned, reproducible database schema management.</w:t>
            </w:r>
          </w:p>
        </w:tc>
      </w:tr>
      <w:tr>
        <w:tc>
          <w:tcPr>
            <w:tcW w:type="dxa" w:w="2016"/>
            <w:shd w:fill="FFFFFF"/>
            <w:tcMar>
              <w:top w:w="80" w:type="dxa"/>
              <w:bottom w:w="80" w:type="dxa"/>
              <w:left w:w="120" w:type="dxa"/>
              <w:right w:w="120" w:type="dxa"/>
            </w:tcMar>
          </w:tcPr>
          <w:p>
            <w:r>
              <w:rPr>
                <w:rFonts w:ascii="Calibri" w:hAnsi="Calibri"/>
                <w:color w:val="1E293B"/>
                <w:sz w:val="18"/>
              </w:rPr>
              <w:t>Frontend UI</w:t>
            </w:r>
          </w:p>
        </w:tc>
        <w:tc>
          <w:tcPr>
            <w:tcW w:type="dxa" w:w="3168"/>
            <w:shd w:fill="FFFFFF"/>
            <w:tcMar>
              <w:top w:w="80" w:type="dxa"/>
              <w:bottom w:w="80" w:type="dxa"/>
              <w:left w:w="120" w:type="dxa"/>
              <w:right w:w="120" w:type="dxa"/>
            </w:tcMar>
          </w:tcPr>
          <w:p>
            <w:r>
              <w:rPr>
                <w:rFonts w:ascii="Calibri" w:hAnsi="Calibri"/>
                <w:color w:val="1E293B"/>
                <w:sz w:val="18"/>
              </w:rPr>
              <w:t>Vanilla HTML5, CSS3, ES6 JavaScript</w:t>
            </w:r>
          </w:p>
        </w:tc>
        <w:tc>
          <w:tcPr>
            <w:tcW w:type="dxa" w:w="1152"/>
            <w:shd w:fill="FFFFFF"/>
            <w:tcMar>
              <w:top w:w="80" w:type="dxa"/>
              <w:bottom w:w="80" w:type="dxa"/>
              <w:left w:w="120" w:type="dxa"/>
              <w:right w:w="120" w:type="dxa"/>
            </w:tcMar>
          </w:tcPr>
          <w:p>
            <w:r>
              <w:rPr>
                <w:rFonts w:ascii="Calibri" w:hAnsi="Calibri"/>
                <w:color w:val="1E293B"/>
                <w:sz w:val="18"/>
              </w:rPr>
              <w:t>Modern Web</w:t>
            </w:r>
          </w:p>
        </w:tc>
        <w:tc>
          <w:tcPr>
            <w:tcW w:type="dxa" w:w="3413"/>
            <w:shd w:fill="FFFFFF"/>
            <w:tcMar>
              <w:top w:w="80" w:type="dxa"/>
              <w:bottom w:w="80" w:type="dxa"/>
              <w:left w:w="120" w:type="dxa"/>
              <w:right w:w="120" w:type="dxa"/>
            </w:tcMar>
          </w:tcPr>
          <w:p>
            <w:r>
              <w:rPr>
                <w:rFonts w:ascii="Calibri" w:hAnsi="Calibri"/>
                <w:color w:val="1E293B"/>
                <w:sz w:val="18"/>
              </w:rPr>
              <w:t>Lightweight, responsive, zero-framework Single-Page App.</w:t>
            </w:r>
          </w:p>
        </w:tc>
      </w:tr>
      <w:tr>
        <w:tc>
          <w:tcPr>
            <w:tcW w:type="dxa" w:w="2016"/>
            <w:shd w:fill="F8FAFC"/>
            <w:tcMar>
              <w:top w:w="80" w:type="dxa"/>
              <w:bottom w:w="80" w:type="dxa"/>
              <w:left w:w="120" w:type="dxa"/>
              <w:right w:w="120" w:type="dxa"/>
            </w:tcMar>
          </w:tcPr>
          <w:p>
            <w:r>
              <w:rPr>
                <w:rFonts w:ascii="Calibri" w:hAnsi="Calibri"/>
                <w:color w:val="1E293B"/>
                <w:sz w:val="18"/>
              </w:rPr>
              <w:t>Build &amp; Dependency Tool</w:t>
            </w:r>
          </w:p>
        </w:tc>
        <w:tc>
          <w:tcPr>
            <w:tcW w:type="dxa" w:w="3168"/>
            <w:shd w:fill="F8FAFC"/>
            <w:tcMar>
              <w:top w:w="80" w:type="dxa"/>
              <w:bottom w:w="80" w:type="dxa"/>
              <w:left w:w="120" w:type="dxa"/>
              <w:right w:w="120" w:type="dxa"/>
            </w:tcMar>
          </w:tcPr>
          <w:p>
            <w:r>
              <w:rPr>
                <w:rFonts w:ascii="Calibri" w:hAnsi="Calibri"/>
                <w:color w:val="1E293B"/>
                <w:sz w:val="18"/>
              </w:rPr>
              <w:t>Apache Maven</w:t>
            </w:r>
          </w:p>
        </w:tc>
        <w:tc>
          <w:tcPr>
            <w:tcW w:type="dxa" w:w="1152"/>
            <w:shd w:fill="F8FAFC"/>
            <w:tcMar>
              <w:top w:w="80" w:type="dxa"/>
              <w:bottom w:w="80" w:type="dxa"/>
              <w:left w:w="120" w:type="dxa"/>
              <w:right w:w="120" w:type="dxa"/>
            </w:tcMar>
          </w:tcPr>
          <w:p>
            <w:r>
              <w:rPr>
                <w:rFonts w:ascii="Calibri" w:hAnsi="Calibri"/>
                <w:color w:val="1E293B"/>
                <w:sz w:val="18"/>
              </w:rPr>
              <w:t>3.10.0</w:t>
            </w:r>
          </w:p>
        </w:tc>
        <w:tc>
          <w:tcPr>
            <w:tcW w:type="dxa" w:w="3413"/>
            <w:shd w:fill="F8FAFC"/>
            <w:tcMar>
              <w:top w:w="80" w:type="dxa"/>
              <w:bottom w:w="80" w:type="dxa"/>
              <w:left w:w="120" w:type="dxa"/>
              <w:right w:w="120" w:type="dxa"/>
            </w:tcMar>
          </w:tcPr>
          <w:p>
            <w:r>
              <w:rPr>
                <w:rFonts w:ascii="Calibri" w:hAnsi="Calibri"/>
                <w:color w:val="1E293B"/>
                <w:sz w:val="18"/>
              </w:rPr>
              <w:t>Build lifecycle, dependency resolution, CI/CD pipeline.</w:t>
            </w:r>
          </w:p>
        </w:tc>
      </w:tr>
      <w:tr>
        <w:tc>
          <w:tcPr>
            <w:tcW w:type="dxa" w:w="2016"/>
            <w:shd w:fill="FFFFFF"/>
            <w:tcMar>
              <w:top w:w="80" w:type="dxa"/>
              <w:bottom w:w="80" w:type="dxa"/>
              <w:left w:w="120" w:type="dxa"/>
              <w:right w:w="120" w:type="dxa"/>
            </w:tcMar>
          </w:tcPr>
          <w:p>
            <w:r>
              <w:rPr>
                <w:rFonts w:ascii="Calibri" w:hAnsi="Calibri"/>
                <w:color w:val="1E293B"/>
                <w:sz w:val="18"/>
              </w:rPr>
              <w:t>Testing Framework</w:t>
            </w:r>
          </w:p>
        </w:tc>
        <w:tc>
          <w:tcPr>
            <w:tcW w:type="dxa" w:w="3168"/>
            <w:shd w:fill="FFFFFF"/>
            <w:tcMar>
              <w:top w:w="80" w:type="dxa"/>
              <w:bottom w:w="80" w:type="dxa"/>
              <w:left w:w="120" w:type="dxa"/>
              <w:right w:w="120" w:type="dxa"/>
            </w:tcMar>
          </w:tcPr>
          <w:p>
            <w:r>
              <w:rPr>
                <w:rFonts w:ascii="Calibri" w:hAnsi="Calibri"/>
                <w:color w:val="1E293B"/>
                <w:sz w:val="18"/>
              </w:rPr>
              <w:t>JUnit 5, MockMvc, AssertJ, Spring Test</w:t>
            </w:r>
          </w:p>
        </w:tc>
        <w:tc>
          <w:tcPr>
            <w:tcW w:type="dxa" w:w="1152"/>
            <w:shd w:fill="FFFFFF"/>
            <w:tcMar>
              <w:top w:w="80" w:type="dxa"/>
              <w:bottom w:w="80" w:type="dxa"/>
              <w:left w:w="120" w:type="dxa"/>
              <w:right w:w="120" w:type="dxa"/>
            </w:tcMar>
          </w:tcPr>
          <w:p>
            <w:r>
              <w:rPr>
                <w:rFonts w:ascii="Calibri" w:hAnsi="Calibri"/>
                <w:color w:val="1E293B"/>
                <w:sz w:val="18"/>
              </w:rPr>
              <w:t>Latest</w:t>
            </w:r>
          </w:p>
        </w:tc>
        <w:tc>
          <w:tcPr>
            <w:tcW w:type="dxa" w:w="3413"/>
            <w:shd w:fill="FFFFFF"/>
            <w:tcMar>
              <w:top w:w="80" w:type="dxa"/>
              <w:bottom w:w="80" w:type="dxa"/>
              <w:left w:w="120" w:type="dxa"/>
              <w:right w:w="120" w:type="dxa"/>
            </w:tcMar>
          </w:tcPr>
          <w:p>
            <w:r>
              <w:rPr>
                <w:rFonts w:ascii="Calibri" w:hAnsi="Calibri"/>
                <w:color w:val="1E293B"/>
                <w:sz w:val="18"/>
              </w:rPr>
              <w:t>Automated unit and integration test suite.</w:t>
            </w:r>
          </w:p>
        </w:tc>
      </w:tr>
    </w:tbl>
    <w:p>
      <w:pPr>
        <w:spacing w:before="0" w:after="80"/>
      </w:pPr>
    </w:p>
    <w:p>
      <w:pPr>
        <w:keepNext/>
        <w:spacing w:before="240" w:after="80"/>
      </w:pPr>
      <w:r>
        <w:rPr>
          <w:rFonts w:ascii="Calibri" w:hAnsi="Calibri"/>
          <w:b/>
          <w:color w:val="134074"/>
          <w:sz w:val="26"/>
        </w:rPr>
        <w:t>8.2 Automated Test Suite Verification Proof</w:t>
      </w:r>
    </w:p>
    <w:p>
      <w:pPr>
        <w:spacing w:before="0" w:after="100" w:line="276" w:lineRule="auto"/>
      </w:pPr>
      <w:r>
        <w:rPr>
          <w:rFonts w:ascii="Calibri" w:hAnsi="Calibri"/>
          <w:color w:val="1E293B"/>
          <w:sz w:val="22"/>
        </w:rPr>
        <w:t>The backend repository includes an extensive automated integration test suite located in src/test/java/com/railsahayak/RailSahayakApplicationTests.java. The suite verifies end-to-end functionality, security controls, and edge cases:</w:t>
      </w:r>
    </w:p>
    <w:tbl>
      <w:tblPr>
        <w:tblW w:type="auto" w:w="0"/>
        <w:jc w:val="center"/>
        <w:tblLayout w:type="fixed"/>
        <w:tblLook w:firstColumn="1" w:firstRow="1" w:lastColumn="0" w:lastRow="0" w:noHBand="0" w:noVBand="1" w:val="04A0"/>
      </w:tblPr>
      <w:tblGrid>
        <w:gridCol w:w="9749"/>
      </w:tblGrid>
      <w:tr>
        <w:tc>
          <w:tcPr>
            <w:tcW w:type="dxa" w:w="9749"/>
            <w:shd w:fill="F0FDF4"/>
            <w:tcMar>
              <w:top w:w="120" w:type="dxa"/>
              <w:bottom w:w="120" w:type="dxa"/>
              <w:left w:w="180" w:type="dxa"/>
              <w:right w:w="140" w:type="dxa"/>
            </w:tcMar>
            <w:tcBorders>
              <w:left w:val="single" w:sz="24" w:space="0" w:color="15803D"/>
              <w:top w:val="none"/>
              <w:right w:val="none"/>
              <w:bottom w:val="none"/>
            </w:tcBorders>
          </w:tcPr>
          <w:p>
            <w:pPr>
              <w:spacing w:before="40" w:after="40" w:line="276" w:lineRule="auto"/>
            </w:pPr>
            <w:r>
              <w:rPr>
                <w:rFonts w:ascii="Calibri" w:hAnsi="Calibri"/>
                <w:b/>
                <w:color w:val="0B2545"/>
                <w:sz w:val="21"/>
              </w:rPr>
              <w:t>REPRODUCIBLE INTEGRATION TEST SUITE PROOF</w:t>
              <w:br/>
            </w:r>
            <w:r>
              <w:rPr>
                <w:rFonts w:ascii="Calibri" w:hAnsi="Calibri"/>
                <w:color w:val="15803D"/>
                <w:sz w:val="20"/>
              </w:rPr>
              <w:t>AUTOMATED TEST EXECUTION RESULT (BUILD SUCCESS):</w:t>
              <w:br/>
              <w:t>• Total Automated Integration Tests Executed: 29</w:t>
              <w:br/>
              <w:t>• Test Pass Rate: 100% (Passed: 29, Failures: 0, Errors: 0, Skipped: 0)</w:t>
              <w:br/>
              <w:t>• Test Execution Duration: ~14.2 seconds</w:t>
              <w:br/>
              <w:t>• Test Coverage Scope: Role-Based Access Control (403 Forbidden for passenger accessing admin endpoints, 401 Unauthorized for unauthenticated requests), input length and pattern sanitization, payment secret blocking (regex rejection of card numbers, CVVs, PINs, OTPs), PNR validation rules, sliding-window rate limiting (300 req/min/IP), trusted proxy X-Forwarded-For validation, case creation lifecycle, status transition audit logging, and global exception sanitization.</w:t>
            </w:r>
          </w:p>
        </w:tc>
      </w:tr>
    </w:tbl>
    <w:p>
      <w:pPr>
        <w:spacing w:before="0" w:after="80"/>
      </w:pPr>
    </w:p>
    <w:p>
      <w:pPr>
        <w:keepNext/>
        <w:spacing w:before="240" w:after="80"/>
      </w:pPr>
      <w:r>
        <w:rPr>
          <w:rFonts w:ascii="Calibri" w:hAnsi="Calibri"/>
          <w:b/>
          <w:color w:val="134074"/>
          <w:sz w:val="26"/>
        </w:rPr>
        <w:t>8.3 Database Persistence &amp; Data Integrity Proof</w:t>
      </w:r>
    </w:p>
    <w:p>
      <w:pPr>
        <w:spacing w:before="0" w:after="100" w:line="276" w:lineRule="auto"/>
      </w:pPr>
      <w:r>
        <w:rPr>
          <w:rFonts w:ascii="Calibri" w:hAnsi="Calibri"/>
          <w:color w:val="1E293B"/>
          <w:sz w:val="22"/>
        </w:rPr>
        <w:t>Relational data integrity is enforced via PostgreSQL 16 and Flyway versioned migrations. The database schema encompasses three core relational tables:</w:t>
      </w:r>
    </w:p>
    <w:p>
      <w:pPr>
        <w:pStyle w:val="ListBullet"/>
        <w:spacing w:before="20" w:after="60" w:line="276" w:lineRule="auto"/>
      </w:pPr>
      <w:r>
        <w:rPr>
          <w:rFonts w:ascii="Calibri" w:hAnsi="Calibri"/>
          <w:b/>
          <w:color w:val="0B2545"/>
          <w:sz w:val="21"/>
        </w:rPr>
        <w:t xml:space="preserve">support_cases: </w:t>
      </w:r>
      <w:r>
        <w:rPr>
          <w:rFonts w:ascii="Calibri" w:hAnsi="Calibri"/>
          <w:color w:val="1E293B"/>
          <w:sz w:val="21"/>
        </w:rPr>
        <w:t>Stores primary support ticket records with columns id, case_id (unique RS-XXXXXX reference), category, description, status (OPEN, IN_PROGRESS, RESOLVED), created_at, and updated_at.</w:t>
      </w:r>
    </w:p>
    <w:p>
      <w:pPr>
        <w:pStyle w:val="ListBullet"/>
        <w:spacing w:before="20" w:after="60" w:line="276" w:lineRule="auto"/>
      </w:pPr>
      <w:r>
        <w:rPr>
          <w:rFonts w:ascii="Calibri" w:hAnsi="Calibri"/>
          <w:b/>
          <w:color w:val="0B2545"/>
          <w:sz w:val="21"/>
        </w:rPr>
        <w:t xml:space="preserve">case_events: </w:t>
      </w:r>
      <w:r>
        <w:rPr>
          <w:rFonts w:ascii="Calibri" w:hAnsi="Calibri"/>
          <w:color w:val="1E293B"/>
          <w:sz w:val="21"/>
        </w:rPr>
        <w:t>Stores passenger-visible timeline milestones with columns id, case_id, event_type, description, created_by, and created_at.</w:t>
      </w:r>
    </w:p>
    <w:p>
      <w:pPr>
        <w:pStyle w:val="ListBullet"/>
        <w:spacing w:before="20" w:after="60" w:line="276" w:lineRule="auto"/>
      </w:pPr>
      <w:r>
        <w:rPr>
          <w:rFonts w:ascii="Calibri" w:hAnsi="Calibri"/>
          <w:b/>
          <w:color w:val="0B2545"/>
          <w:sz w:val="21"/>
        </w:rPr>
        <w:t xml:space="preserve">audit_logs: </w:t>
      </w:r>
      <w:r>
        <w:rPr>
          <w:rFonts w:ascii="Calibri" w:hAnsi="Calibri"/>
          <w:color w:val="1E293B"/>
          <w:sz w:val="21"/>
        </w:rPr>
        <w:t>Stores immutable operational audit records with columns id, case_id, action, performed_by, correlation_id, details, and timestamp.</w:t>
      </w:r>
    </w:p>
    <w:p>
      <w:pPr>
        <w:spacing w:before="0" w:after="100" w:line="276" w:lineRule="auto"/>
      </w:pPr>
      <w:r>
        <w:rPr>
          <w:rFonts w:ascii="Calibri" w:hAnsi="Calibri"/>
          <w:color w:val="1E293B"/>
          <w:sz w:val="22"/>
        </w:rPr>
        <w:t>Flyway migration V1__init_schema.sql establishes the baseline table structures, while V2__add_performance_indexes.sql applies B-tree indexes across case_id, status, and created_at to guarantee sub-millisecond query performance as ticket volume scales. Persistence testing confirms zero data loss across test executions and application restarts.</w:t>
      </w:r>
    </w:p>
    <w:p>
      <w:pPr>
        <w:keepNext/>
        <w:spacing w:before="240" w:after="80"/>
      </w:pPr>
      <w:r>
        <w:rPr>
          <w:rFonts w:ascii="Calibri" w:hAnsi="Calibri"/>
          <w:b/>
          <w:color w:val="134074"/>
          <w:sz w:val="26"/>
        </w:rPr>
        <w:t>8.4 Operational Tooling Verification</w:t>
      </w:r>
    </w:p>
    <w:p>
      <w:pPr>
        <w:spacing w:before="0" w:after="100" w:line="276" w:lineRule="auto"/>
      </w:pPr>
      <w:r>
        <w:rPr>
          <w:rFonts w:ascii="Calibri" w:hAnsi="Calibri"/>
          <w:color w:val="1E293B"/>
          <w:sz w:val="22"/>
        </w:rPr>
        <w:t>The repository provides automated PowerShell operational scripts verified in local testing: (1) scripts/verify-runtime.ps1 executes automated HTTP probes across all 8 core API endpoints, validating health, train search, payment diagnosis, PNR explanation, case filing, and admin audit retrieval; (2) scripts/backup-db.ps1 creates timestamped, compressed PostgreSQL dumps; (3) scripts/restore-db.ps1 provides idempotent disaster recovery; and (4) scripts/load-test.ps1 validates rate-limiting thresholds under synthetic load.</w:t>
      </w:r>
    </w:p>
    <w:p>
      <w:pPr>
        <w:keepNext/>
        <w:spacing w:before="320" w:after="120"/>
      </w:pPr>
      <w:r>
        <w:rPr>
          <w:rFonts w:ascii="Calibri" w:hAnsi="Calibri"/>
          <w:b/>
          <w:color w:val="0B2545"/>
          <w:sz w:val="32"/>
        </w:rPr>
        <w:t>9. Current Architecture vs Proposed Future Architecture</w:t>
      </w:r>
    </w:p>
    <w:p>
      <w:pPr>
        <w:spacing w:before="0" w:after="100" w:line="276" w:lineRule="auto"/>
      </w:pPr>
      <w:r>
        <w:rPr>
          <w:rFonts w:ascii="Calibri" w:hAnsi="Calibri"/>
          <w:color w:val="1E293B"/>
          <w:sz w:val="22"/>
        </w:rPr>
        <w:t>A critical objective of this proposal is to demonstrate architectural transparency: clearly delineating what is currently operational in the prototype versus what will be deployed in a future production railway cluster.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c>
          <w:tcPr>
            <w:tcW w:type="dxa" w:w="2016"/>
            <w:shd w:fill="0B2545"/>
            <w:tcMar>
              <w:top w:w="100" w:type="dxa"/>
              <w:bottom w:w="100" w:type="dxa"/>
              <w:left w:w="120" w:type="dxa"/>
              <w:right w:w="120" w:type="dxa"/>
            </w:tcMar>
          </w:tcPr>
          <w:p>
            <w:pPr>
              <w:jc w:val="left"/>
            </w:pPr>
            <w:r>
              <w:rPr>
                <w:rFonts w:ascii="Calibri" w:hAnsi="Calibri"/>
                <w:b/>
                <w:color w:val="FFFFFF"/>
                <w:sz w:val="19"/>
              </w:rPr>
              <w:t>Architectural Layer</w:t>
            </w:r>
          </w:p>
        </w:tc>
        <w:tc>
          <w:tcPr>
            <w:tcW w:type="dxa" w:w="3845"/>
            <w:shd w:fill="0B2545"/>
            <w:tcMar>
              <w:top w:w="100" w:type="dxa"/>
              <w:bottom w:w="100" w:type="dxa"/>
              <w:left w:w="120" w:type="dxa"/>
              <w:right w:w="120" w:type="dxa"/>
            </w:tcMar>
          </w:tcPr>
          <w:p>
            <w:pPr>
              <w:jc w:val="left"/>
            </w:pPr>
            <w:r>
              <w:rPr>
                <w:rFonts w:ascii="Calibri" w:hAnsi="Calibri"/>
                <w:b/>
                <w:color w:val="FFFFFF"/>
                <w:sz w:val="19"/>
              </w:rPr>
              <w:t>Current Local Prototype State (Verified)</w:t>
            </w:r>
          </w:p>
        </w:tc>
        <w:tc>
          <w:tcPr>
            <w:tcW w:type="dxa" w:w="3888"/>
            <w:shd w:fill="0B2545"/>
            <w:tcMar>
              <w:top w:w="100" w:type="dxa"/>
              <w:bottom w:w="100" w:type="dxa"/>
              <w:left w:w="120" w:type="dxa"/>
              <w:right w:w="120" w:type="dxa"/>
            </w:tcMar>
          </w:tcPr>
          <w:p>
            <w:pPr>
              <w:jc w:val="left"/>
            </w:pPr>
            <w:r>
              <w:rPr>
                <w:rFonts w:ascii="Calibri" w:hAnsi="Calibri"/>
                <w:b/>
                <w:color w:val="FFFFFF"/>
                <w:sz w:val="19"/>
              </w:rPr>
              <w:t>Proposed Enterprise Production State (Planned)</w:t>
            </w:r>
          </w:p>
        </w:tc>
      </w:tr>
      <w:tr>
        <w:tc>
          <w:tcPr>
            <w:tcW w:type="dxa" w:w="2016"/>
            <w:shd w:fill="FFFFFF"/>
            <w:tcMar>
              <w:top w:w="80" w:type="dxa"/>
              <w:bottom w:w="80" w:type="dxa"/>
              <w:left w:w="120" w:type="dxa"/>
              <w:right w:w="120" w:type="dxa"/>
            </w:tcMar>
          </w:tcPr>
          <w:p>
            <w:r>
              <w:rPr>
                <w:rFonts w:ascii="Calibri" w:hAnsi="Calibri"/>
                <w:color w:val="1E293B"/>
                <w:sz w:val="18"/>
              </w:rPr>
              <w:t>Client Application</w:t>
            </w:r>
          </w:p>
        </w:tc>
        <w:tc>
          <w:tcPr>
            <w:tcW w:type="dxa" w:w="3845"/>
            <w:shd w:fill="FFFFFF"/>
            <w:tcMar>
              <w:top w:w="80" w:type="dxa"/>
              <w:bottom w:w="80" w:type="dxa"/>
              <w:left w:w="120" w:type="dxa"/>
              <w:right w:w="120" w:type="dxa"/>
            </w:tcMar>
          </w:tcPr>
          <w:p>
            <w:r>
              <w:rPr>
                <w:rFonts w:ascii="Calibri" w:hAnsi="Calibri"/>
                <w:color w:val="1E293B"/>
                <w:sz w:val="18"/>
              </w:rPr>
              <w:t>Responsive HTML5/CSS3/ES6 Single-Page App served on port 8081.</w:t>
            </w:r>
          </w:p>
        </w:tc>
        <w:tc>
          <w:tcPr>
            <w:tcW w:type="dxa" w:w="3888"/>
            <w:shd w:fill="FFFFFF"/>
            <w:tcMar>
              <w:top w:w="80" w:type="dxa"/>
              <w:bottom w:w="80" w:type="dxa"/>
              <w:left w:w="120" w:type="dxa"/>
              <w:right w:w="120" w:type="dxa"/>
            </w:tcMar>
          </w:tcPr>
          <w:p>
            <w:r>
              <w:rPr>
                <w:rFonts w:ascii="Calibri" w:hAnsi="Calibri"/>
                <w:color w:val="1E293B"/>
                <w:sz w:val="18"/>
              </w:rPr>
              <w:t>Progressive Web App (PWA) with native IRCTC Rail Connect SDK integration.</w:t>
            </w:r>
          </w:p>
        </w:tc>
      </w:tr>
      <w:tr>
        <w:tc>
          <w:tcPr>
            <w:tcW w:type="dxa" w:w="2016"/>
            <w:shd w:fill="F8FAFC"/>
            <w:tcMar>
              <w:top w:w="80" w:type="dxa"/>
              <w:bottom w:w="80" w:type="dxa"/>
              <w:left w:w="120" w:type="dxa"/>
              <w:right w:w="120" w:type="dxa"/>
            </w:tcMar>
          </w:tcPr>
          <w:p>
            <w:r>
              <w:rPr>
                <w:rFonts w:ascii="Calibri" w:hAnsi="Calibri"/>
                <w:color w:val="1E293B"/>
                <w:sz w:val="18"/>
              </w:rPr>
              <w:t>Ingress &amp; Transport</w:t>
            </w:r>
          </w:p>
        </w:tc>
        <w:tc>
          <w:tcPr>
            <w:tcW w:type="dxa" w:w="3845"/>
            <w:shd w:fill="F8FAFC"/>
            <w:tcMar>
              <w:top w:w="80" w:type="dxa"/>
              <w:bottom w:w="80" w:type="dxa"/>
              <w:left w:w="120" w:type="dxa"/>
              <w:right w:w="120" w:type="dxa"/>
            </w:tcMar>
          </w:tcPr>
          <w:p>
            <w:r>
              <w:rPr>
                <w:rFonts w:ascii="Calibri" w:hAnsi="Calibri"/>
                <w:color w:val="1E293B"/>
                <w:sz w:val="18"/>
              </w:rPr>
              <w:t>Local HTTP on port 8081 for standalone sandbox development.</w:t>
            </w:r>
          </w:p>
        </w:tc>
        <w:tc>
          <w:tcPr>
            <w:tcW w:type="dxa" w:w="3888"/>
            <w:shd w:fill="F8FAFC"/>
            <w:tcMar>
              <w:top w:w="80" w:type="dxa"/>
              <w:bottom w:w="80" w:type="dxa"/>
              <w:left w:w="120" w:type="dxa"/>
              <w:right w:w="120" w:type="dxa"/>
            </w:tcMar>
          </w:tcPr>
          <w:p>
            <w:r>
              <w:rPr>
                <w:rFonts w:ascii="Calibri" w:hAnsi="Calibri"/>
                <w:color w:val="1E293B"/>
                <w:sz w:val="18"/>
              </w:rPr>
              <w:t>NGINX / Cloudflare reverse proxy terminating TLS 1.3 with automated HSTS.</w:t>
            </w:r>
          </w:p>
        </w:tc>
      </w:tr>
      <w:tr>
        <w:tc>
          <w:tcPr>
            <w:tcW w:type="dxa" w:w="2016"/>
            <w:shd w:fill="FFFFFF"/>
            <w:tcMar>
              <w:top w:w="80" w:type="dxa"/>
              <w:bottom w:w="80" w:type="dxa"/>
              <w:left w:w="120" w:type="dxa"/>
              <w:right w:w="120" w:type="dxa"/>
            </w:tcMar>
          </w:tcPr>
          <w:p>
            <w:r>
              <w:rPr>
                <w:rFonts w:ascii="Calibri" w:hAnsi="Calibri"/>
                <w:color w:val="1E293B"/>
                <w:sz w:val="18"/>
              </w:rPr>
              <w:t>Rate Limiting</w:t>
            </w:r>
          </w:p>
        </w:tc>
        <w:tc>
          <w:tcPr>
            <w:tcW w:type="dxa" w:w="3845"/>
            <w:shd w:fill="FFFFFF"/>
            <w:tcMar>
              <w:top w:w="80" w:type="dxa"/>
              <w:bottom w:w="80" w:type="dxa"/>
              <w:left w:w="120" w:type="dxa"/>
              <w:right w:w="120" w:type="dxa"/>
            </w:tcMar>
          </w:tcPr>
          <w:p>
            <w:r>
              <w:rPr>
                <w:rFonts w:ascii="Calibri" w:hAnsi="Calibri"/>
                <w:color w:val="1E293B"/>
                <w:sz w:val="18"/>
              </w:rPr>
              <w:t>Single-node in-memory ConcurrentHashMap sliding window (300 req/min).</w:t>
            </w:r>
          </w:p>
        </w:tc>
        <w:tc>
          <w:tcPr>
            <w:tcW w:type="dxa" w:w="3888"/>
            <w:shd w:fill="FFFFFF"/>
            <w:tcMar>
              <w:top w:w="80" w:type="dxa"/>
              <w:bottom w:w="80" w:type="dxa"/>
              <w:left w:w="120" w:type="dxa"/>
              <w:right w:w="120" w:type="dxa"/>
            </w:tcMar>
          </w:tcPr>
          <w:p>
            <w:r>
              <w:rPr>
                <w:rFonts w:ascii="Calibri" w:hAnsi="Calibri"/>
                <w:color w:val="1E293B"/>
                <w:sz w:val="18"/>
              </w:rPr>
              <w:t>Distributed Redis Lua token-bucket cluster supporting auto-scaling pods.</w:t>
            </w:r>
          </w:p>
        </w:tc>
      </w:tr>
      <w:tr>
        <w:tc>
          <w:tcPr>
            <w:tcW w:type="dxa" w:w="2016"/>
            <w:shd w:fill="F8FAFC"/>
            <w:tcMar>
              <w:top w:w="80" w:type="dxa"/>
              <w:bottom w:w="80" w:type="dxa"/>
              <w:left w:w="120" w:type="dxa"/>
              <w:right w:w="120" w:type="dxa"/>
            </w:tcMar>
          </w:tcPr>
          <w:p>
            <w:r>
              <w:rPr>
                <w:rFonts w:ascii="Calibri" w:hAnsi="Calibri"/>
                <w:color w:val="1E293B"/>
                <w:sz w:val="18"/>
              </w:rPr>
              <w:t>Identity &amp; Auth</w:t>
            </w:r>
          </w:p>
        </w:tc>
        <w:tc>
          <w:tcPr>
            <w:tcW w:type="dxa" w:w="3845"/>
            <w:shd w:fill="F8FAFC"/>
            <w:tcMar>
              <w:top w:w="80" w:type="dxa"/>
              <w:bottom w:w="80" w:type="dxa"/>
              <w:left w:w="120" w:type="dxa"/>
              <w:right w:w="120" w:type="dxa"/>
            </w:tcMar>
          </w:tcPr>
          <w:p>
            <w:r>
              <w:rPr>
                <w:rFonts w:ascii="Calibri" w:hAnsi="Calibri"/>
                <w:color w:val="1E293B"/>
                <w:sz w:val="18"/>
              </w:rPr>
              <w:t>In-memory test credentials with environment variable overrides.</w:t>
            </w:r>
          </w:p>
        </w:tc>
        <w:tc>
          <w:tcPr>
            <w:tcW w:type="dxa" w:w="3888"/>
            <w:shd w:fill="F8FAFC"/>
            <w:tcMar>
              <w:top w:w="80" w:type="dxa"/>
              <w:bottom w:w="80" w:type="dxa"/>
              <w:left w:w="120" w:type="dxa"/>
              <w:right w:w="120" w:type="dxa"/>
            </w:tcMar>
          </w:tcPr>
          <w:p>
            <w:r>
              <w:rPr>
                <w:rFonts w:ascii="Calibri" w:hAnsi="Calibri"/>
                <w:color w:val="1E293B"/>
                <w:sz w:val="18"/>
              </w:rPr>
              <w:t>PostgreSQL users table with Argon2id hashing or IRCTC/Parichay OAuth2 SSO.</w:t>
            </w:r>
          </w:p>
        </w:tc>
      </w:tr>
      <w:tr>
        <w:tc>
          <w:tcPr>
            <w:tcW w:type="dxa" w:w="2016"/>
            <w:shd w:fill="FFFFFF"/>
            <w:tcMar>
              <w:top w:w="80" w:type="dxa"/>
              <w:bottom w:w="80" w:type="dxa"/>
              <w:left w:w="120" w:type="dxa"/>
              <w:right w:w="120" w:type="dxa"/>
            </w:tcMar>
          </w:tcPr>
          <w:p>
            <w:r>
              <w:rPr>
                <w:rFonts w:ascii="Calibri" w:hAnsi="Calibri"/>
                <w:color w:val="1E293B"/>
                <w:sz w:val="18"/>
              </w:rPr>
              <w:t>Persistence Engine</w:t>
            </w:r>
          </w:p>
        </w:tc>
        <w:tc>
          <w:tcPr>
            <w:tcW w:type="dxa" w:w="3845"/>
            <w:shd w:fill="FFFFFF"/>
            <w:tcMar>
              <w:top w:w="80" w:type="dxa"/>
              <w:bottom w:w="80" w:type="dxa"/>
              <w:left w:w="120" w:type="dxa"/>
              <w:right w:w="120" w:type="dxa"/>
            </w:tcMar>
          </w:tcPr>
          <w:p>
            <w:r>
              <w:rPr>
                <w:rFonts w:ascii="Calibri" w:hAnsi="Calibri"/>
                <w:color w:val="1E293B"/>
                <w:sz w:val="18"/>
              </w:rPr>
              <w:t>Single-instance PostgreSQL 16 container with Flyway migrations.</w:t>
            </w:r>
          </w:p>
        </w:tc>
        <w:tc>
          <w:tcPr>
            <w:tcW w:type="dxa" w:w="3888"/>
            <w:shd w:fill="FFFFFF"/>
            <w:tcMar>
              <w:top w:w="80" w:type="dxa"/>
              <w:bottom w:w="80" w:type="dxa"/>
              <w:left w:w="120" w:type="dxa"/>
              <w:right w:w="120" w:type="dxa"/>
            </w:tcMar>
          </w:tcPr>
          <w:p>
            <w:r>
              <w:rPr>
                <w:rFonts w:ascii="Calibri" w:hAnsi="Calibri"/>
                <w:color w:val="1E293B"/>
                <w:sz w:val="18"/>
              </w:rPr>
              <w:t>High-Availability PostgreSQL cluster (Patroni) with synchronous replication.</w:t>
            </w:r>
          </w:p>
        </w:tc>
      </w:tr>
      <w:tr>
        <w:tc>
          <w:tcPr>
            <w:tcW w:type="dxa" w:w="2016"/>
            <w:shd w:fill="F8FAFC"/>
            <w:tcMar>
              <w:top w:w="80" w:type="dxa"/>
              <w:bottom w:w="80" w:type="dxa"/>
              <w:left w:w="120" w:type="dxa"/>
              <w:right w:w="120" w:type="dxa"/>
            </w:tcMar>
          </w:tcPr>
          <w:p>
            <w:r>
              <w:rPr>
                <w:rFonts w:ascii="Calibri" w:hAnsi="Calibri"/>
                <w:color w:val="1E293B"/>
                <w:sz w:val="18"/>
              </w:rPr>
              <w:t>Railway Gateways</w:t>
            </w:r>
          </w:p>
        </w:tc>
        <w:tc>
          <w:tcPr>
            <w:tcW w:type="dxa" w:w="3845"/>
            <w:shd w:fill="F8FAFC"/>
            <w:tcMar>
              <w:top w:w="80" w:type="dxa"/>
              <w:bottom w:w="80" w:type="dxa"/>
              <w:left w:w="120" w:type="dxa"/>
              <w:right w:w="120" w:type="dxa"/>
            </w:tcMar>
          </w:tcPr>
          <w:p>
            <w:r>
              <w:rPr>
                <w:rFonts w:ascii="Calibri" w:hAnsi="Calibri"/>
                <w:color w:val="1E293B"/>
                <w:sz w:val="18"/>
              </w:rPr>
              <w:t>Offline curated schedules and heuristic PNR zone derivation.</w:t>
            </w:r>
          </w:p>
        </w:tc>
        <w:tc>
          <w:tcPr>
            <w:tcW w:type="dxa" w:w="3888"/>
            <w:shd w:fill="F8FAFC"/>
            <w:tcMar>
              <w:top w:w="80" w:type="dxa"/>
              <w:bottom w:w="80" w:type="dxa"/>
              <w:left w:w="120" w:type="dxa"/>
              <w:right w:w="120" w:type="dxa"/>
            </w:tcMar>
          </w:tcPr>
          <w:p>
            <w:r>
              <w:rPr>
                <w:rFonts w:ascii="Calibri" w:hAnsi="Calibri"/>
                <w:color w:val="1E293B"/>
                <w:sz w:val="18"/>
              </w:rPr>
              <w:t>Secure, read-only REST/mTLS gateway adapters to CRIS PRS and NTES testbeds.</w:t>
            </w:r>
          </w:p>
        </w:tc>
      </w:tr>
    </w:tbl>
    <w:p>
      <w:pPr>
        <w:spacing w:before="0" w:after="80"/>
      </w:pPr>
    </w:p>
    <w:p>
      <w:pPr>
        <w:keepNext/>
        <w:spacing w:before="240" w:after="80"/>
      </w:pPr>
      <w:r>
        <w:rPr>
          <w:rFonts w:ascii="Calibri" w:hAnsi="Calibri"/>
          <w:b/>
          <w:color w:val="134074"/>
          <w:sz w:val="26"/>
        </w:rPr>
        <w:t>9.1 Architectural Transition Path</w:t>
      </w:r>
    </w:p>
    <w:p>
      <w:pPr>
        <w:spacing w:before="0" w:after="100" w:line="276" w:lineRule="auto"/>
      </w:pPr>
      <w:r>
        <w:rPr>
          <w:rFonts w:ascii="Calibri" w:hAnsi="Calibri"/>
          <w:color w:val="1E293B"/>
          <w:sz w:val="22"/>
        </w:rPr>
        <w:t>The modular design of RailSahayak ensures that the backend service layer is completely decoupled from external data providers. For example, TrainSearchService and PnrGuideService are implemented against abstract interface contracts. In the current prototype, these interfaces are fulfilled by local heuristic implementations (LocalTrainSearchServiceImpl, LocalPnrGuideServiceImpl). Transitioning to production requires zero changes to core business logic; it merely involves injecting production adapter implementations (CrisPrsGatewayAdapter, NtesTimetableAdapter) that authenticate over mutual TLS (mTLS) with railway servers once formal authorization is granted.</w:t>
      </w:r>
    </w:p>
    <w:p>
      <w:pPr>
        <w:keepNext/>
        <w:spacing w:before="320" w:after="120"/>
      </w:pPr>
      <w:r>
        <w:rPr>
          <w:rFonts w:ascii="Calibri" w:hAnsi="Calibri"/>
          <w:b/>
          <w:color w:val="0B2545"/>
          <w:sz w:val="32"/>
        </w:rPr>
        <w:t>10. Security, Privacy and Data Governance</w:t>
      </w:r>
    </w:p>
    <w:p>
      <w:pPr>
        <w:spacing w:before="0" w:after="100" w:line="276" w:lineRule="auto"/>
      </w:pPr>
      <w:r>
        <w:rPr>
          <w:rFonts w:ascii="Calibri" w:hAnsi="Calibri"/>
          <w:color w:val="1E293B"/>
          <w:sz w:val="22"/>
        </w:rPr>
        <w:t>RailSahayak is engineered from the ground up to comply with statutory Indian cybersecurity regulations and global privacy best practices:</w:t>
      </w:r>
    </w:p>
    <w:p>
      <w:pPr>
        <w:keepNext/>
        <w:spacing w:before="240" w:after="80"/>
      </w:pPr>
      <w:r>
        <w:rPr>
          <w:rFonts w:ascii="Calibri" w:hAnsi="Calibri"/>
          <w:b/>
          <w:color w:val="134074"/>
          <w:sz w:val="26"/>
        </w:rPr>
        <w:t>10.1 Digital Personal Data Protection (DPDP) Act, 2023 Compliance</w:t>
      </w:r>
    </w:p>
    <w:p>
      <w:pPr>
        <w:pStyle w:val="ListBullet"/>
        <w:spacing w:before="20" w:after="60" w:line="276" w:lineRule="auto"/>
      </w:pPr>
      <w:r>
        <w:rPr>
          <w:rFonts w:ascii="Calibri" w:hAnsi="Calibri"/>
          <w:b/>
          <w:color w:val="0B2545"/>
          <w:sz w:val="21"/>
        </w:rPr>
        <w:t xml:space="preserve">Data Minimization: </w:t>
      </w:r>
      <w:r>
        <w:rPr>
          <w:rFonts w:ascii="Calibri" w:hAnsi="Calibri"/>
          <w:color w:val="1E293B"/>
          <w:sz w:val="21"/>
        </w:rPr>
        <w:t>RailSahayak collects only data strictly required to resolve the immediate passenger inquiry (complaint category, description, and masked reference). It never prompts for Aadhaar numbers, unmasked payment cards, or unnecessary personal identifiers.</w:t>
      </w:r>
    </w:p>
    <w:p>
      <w:pPr>
        <w:pStyle w:val="ListBullet"/>
        <w:spacing w:before="20" w:after="60" w:line="276" w:lineRule="auto"/>
      </w:pPr>
      <w:r>
        <w:rPr>
          <w:rFonts w:ascii="Calibri" w:hAnsi="Calibri"/>
          <w:b/>
          <w:color w:val="0B2545"/>
          <w:sz w:val="21"/>
        </w:rPr>
        <w:t xml:space="preserve">Purpose Limitation &amp; Consent: </w:t>
      </w:r>
      <w:r>
        <w:rPr>
          <w:rFonts w:ascii="Calibri" w:hAnsi="Calibri"/>
          <w:color w:val="1E293B"/>
          <w:sz w:val="21"/>
        </w:rPr>
        <w:t>The platform includes an explicit bilingual consent notice prior to case submission, informing the passenger that their description will be stored for support resolution.</w:t>
      </w:r>
    </w:p>
    <w:p>
      <w:pPr>
        <w:pStyle w:val="ListBullet"/>
        <w:spacing w:before="20" w:after="60" w:line="276" w:lineRule="auto"/>
      </w:pPr>
      <w:r>
        <w:rPr>
          <w:rFonts w:ascii="Calibri" w:hAnsi="Calibri"/>
          <w:b/>
          <w:color w:val="0B2545"/>
          <w:sz w:val="21"/>
        </w:rPr>
        <w:t xml:space="preserve">Storage Limitation: </w:t>
      </w:r>
      <w:r>
        <w:rPr>
          <w:rFonts w:ascii="Calibri" w:hAnsi="Calibri"/>
          <w:color w:val="1E293B"/>
          <w:sz w:val="21"/>
        </w:rPr>
        <w:t>Passenger case data is subject to automated retention policies, enabling purging or anonymization following case closure.</w:t>
      </w:r>
    </w:p>
    <w:p>
      <w:pPr>
        <w:keepNext/>
        <w:spacing w:before="240" w:after="80"/>
      </w:pPr>
      <w:r>
        <w:rPr>
          <w:rFonts w:ascii="Calibri" w:hAnsi="Calibri"/>
          <w:b/>
          <w:color w:val="134074"/>
          <w:sz w:val="26"/>
        </w:rPr>
        <w:t>10.2 Defense-in-Depth Security Safeguards</w:t>
      </w:r>
    </w:p>
    <w:p>
      <w:pPr>
        <w:pStyle w:val="ListBullet"/>
        <w:spacing w:before="20" w:after="60" w:line="276" w:lineRule="auto"/>
      </w:pPr>
      <w:r>
        <w:rPr>
          <w:rFonts w:ascii="Calibri" w:hAnsi="Calibri"/>
          <w:b/>
          <w:color w:val="0B2545"/>
          <w:sz w:val="21"/>
        </w:rPr>
        <w:t xml:space="preserve">Trusted Proxy Rate Limiting: </w:t>
      </w:r>
      <w:r>
        <w:rPr>
          <w:rFonts w:ascii="Calibri" w:hAnsi="Calibri"/>
          <w:color w:val="1E293B"/>
          <w:sz w:val="21"/>
        </w:rPr>
        <w:t>RateLimitingFilter enforces a sliding-window limit of 300 requests per minute per IP address. Forwarded-header trust (X-Forwarded-For) defaults to false, preventing client IP spoofing unless an authorized reverse proxy is explicitly configured.</w:t>
      </w:r>
    </w:p>
    <w:p>
      <w:pPr>
        <w:pStyle w:val="ListBullet"/>
        <w:spacing w:before="20" w:after="60" w:line="276" w:lineRule="auto"/>
      </w:pPr>
      <w:r>
        <w:rPr>
          <w:rFonts w:ascii="Calibri" w:hAnsi="Calibri"/>
          <w:b/>
          <w:color w:val="0B2545"/>
          <w:sz w:val="21"/>
        </w:rPr>
        <w:t xml:space="preserve">Zero-Trust Secret Defense: </w:t>
      </w:r>
      <w:r>
        <w:rPr>
          <w:rFonts w:ascii="Calibri" w:hAnsi="Calibri"/>
          <w:color w:val="1E293B"/>
          <w:sz w:val="21"/>
        </w:rPr>
        <w:t>PaymentHelpService actively screens inputs for sensitive financial secrets (13-19 digit card PANs, CVVs, PINs, OTPs) and rejects them immediately with HTTP 400 Bad Request.</w:t>
      </w:r>
    </w:p>
    <w:p>
      <w:pPr>
        <w:pStyle w:val="ListBullet"/>
        <w:spacing w:before="20" w:after="60" w:line="276" w:lineRule="auto"/>
      </w:pPr>
      <w:r>
        <w:rPr>
          <w:rFonts w:ascii="Calibri" w:hAnsi="Calibri"/>
          <w:b/>
          <w:color w:val="0B2545"/>
          <w:sz w:val="21"/>
        </w:rPr>
        <w:t xml:space="preserve">HTTP Security Headers: </w:t>
      </w:r>
      <w:r>
        <w:rPr>
          <w:rFonts w:ascii="Calibri" w:hAnsi="Calibri"/>
          <w:color w:val="1E293B"/>
          <w:sz w:val="21"/>
        </w:rPr>
        <w:t>All HTTP responses emit defensive headers: X-Content-Type-Options: nosniff, X-Frame-Options: SAMEORIGIN, and strict Referrer-Policy.</w:t>
      </w:r>
    </w:p>
    <w:p>
      <w:pPr>
        <w:pStyle w:val="ListBullet"/>
        <w:spacing w:before="20" w:after="60" w:line="276" w:lineRule="auto"/>
      </w:pPr>
      <w:r>
        <w:rPr>
          <w:rFonts w:ascii="Calibri" w:hAnsi="Calibri"/>
          <w:b/>
          <w:color w:val="0B2545"/>
          <w:sz w:val="21"/>
        </w:rPr>
        <w:t xml:space="preserve">MDC Correlation Tracing: </w:t>
      </w:r>
      <w:r>
        <w:rPr>
          <w:rFonts w:ascii="Calibri" w:hAnsi="Calibri"/>
          <w:color w:val="1E293B"/>
          <w:sz w:val="21"/>
        </w:rPr>
        <w:t>CorrelationIdFilter generates a unique X-Correlation-ID for every incoming request, binding it to the SLF4J Mapped Diagnostic Context (MDC) for end-to-end traceability across application logs.</w:t>
      </w:r>
    </w:p>
    <w:p>
      <w:pPr>
        <w:pStyle w:val="ListBullet"/>
        <w:spacing w:before="20" w:after="60" w:line="276" w:lineRule="auto"/>
      </w:pPr>
      <w:r>
        <w:rPr>
          <w:rFonts w:ascii="Calibri" w:hAnsi="Calibri"/>
          <w:b/>
          <w:color w:val="0B2545"/>
          <w:sz w:val="21"/>
        </w:rPr>
        <w:t xml:space="preserve">Sanitized Error Responses: </w:t>
      </w:r>
      <w:r>
        <w:rPr>
          <w:rFonts w:ascii="Calibri" w:hAnsi="Calibri"/>
          <w:color w:val="1E293B"/>
          <w:sz w:val="21"/>
        </w:rPr>
        <w:t>GlobalExceptionHandler captures unexpected runtime errors (HTTP 500), emitting sanitized JSON referencing the correlation ID without leaking stack traces or SQL fragments.</w:t>
      </w:r>
    </w:p>
    <w:p>
      <w:pPr>
        <w:pStyle w:val="ListBullet"/>
        <w:spacing w:before="20" w:after="60" w:line="276" w:lineRule="auto"/>
      </w:pPr>
      <w:r>
        <w:rPr>
          <w:rFonts w:ascii="Calibri" w:hAnsi="Calibri"/>
          <w:b/>
          <w:color w:val="0B2545"/>
          <w:sz w:val="21"/>
        </w:rPr>
        <w:t xml:space="preserve">Source Repository Hygiene: </w:t>
      </w:r>
      <w:r>
        <w:rPr>
          <w:rFonts w:ascii="Calibri" w:hAnsi="Calibri"/>
          <w:color w:val="1E293B"/>
          <w:sz w:val="21"/>
        </w:rPr>
        <w:t>The repository .gitignore strictly excludes *.sql, *.dump, backups/, *.log, and .env* files, ensuring sensitive operational artifacts never leak into version control.</w:t>
      </w:r>
    </w:p>
    <w:p>
      <w:pPr>
        <w:keepNext/>
        <w:spacing w:before="240" w:after="80"/>
      </w:pPr>
      <w:r>
        <w:rPr>
          <w:rFonts w:ascii="Calibri" w:hAnsi="Calibri"/>
          <w:b/>
          <w:color w:val="134074"/>
          <w:sz w:val="26"/>
        </w:rPr>
        <w:t>10.3 Recognized Prototype Security Limitations &amp; Production Readiness</w:t>
      </w:r>
    </w:p>
    <w:p>
      <w:pPr>
        <w:spacing w:before="0" w:after="100" w:line="276" w:lineRule="auto"/>
      </w:pPr>
      <w:r>
        <w:rPr>
          <w:rFonts w:ascii="Calibri" w:hAnsi="Calibri"/>
          <w:color w:val="1E293B"/>
          <w:sz w:val="22"/>
        </w:rPr>
        <w:t>In accordance with professional engineering standards, we explicitly document the security limitations of the current prototype and the corresponding production remediation plan:</w:t>
      </w:r>
    </w:p>
    <w:p>
      <w:pPr>
        <w:pStyle w:val="ListBullet"/>
        <w:spacing w:before="20" w:after="60" w:line="276" w:lineRule="auto"/>
      </w:pPr>
      <w:r>
        <w:rPr>
          <w:rFonts w:ascii="Calibri" w:hAnsi="Calibri"/>
          <w:b/>
          <w:color w:val="0B2545"/>
          <w:sz w:val="21"/>
        </w:rPr>
        <w:t xml:space="preserve">IAM Migration: </w:t>
      </w:r>
      <w:r>
        <w:rPr>
          <w:rFonts w:ascii="Calibri" w:hAnsi="Calibri"/>
          <w:color w:val="1E293B"/>
          <w:sz w:val="21"/>
        </w:rPr>
        <w:t>Current prototype uses in-memory credentials for demonstration. Production requires migration to PostgreSQL-backed users with Argon2id hashing or federation via IRCTC / Parichay OAuth2 SSO, combined with Time-based One-Time Password (TOTP) MFA for administrators.</w:t>
      </w:r>
    </w:p>
    <w:p>
      <w:pPr>
        <w:pStyle w:val="ListBullet"/>
        <w:spacing w:before="20" w:after="60" w:line="276" w:lineRule="auto"/>
      </w:pPr>
      <w:r>
        <w:rPr>
          <w:rFonts w:ascii="Calibri" w:hAnsi="Calibri"/>
          <w:b/>
          <w:color w:val="0B2545"/>
          <w:sz w:val="21"/>
        </w:rPr>
        <w:t xml:space="preserve">Distributed Rate Limiting: </w:t>
      </w:r>
      <w:r>
        <w:rPr>
          <w:rFonts w:ascii="Calibri" w:hAnsi="Calibri"/>
          <w:color w:val="1E293B"/>
          <w:sz w:val="21"/>
        </w:rPr>
        <w:t>Current rate limiter operates within single-node JVM memory. Production requires a Redis Lua token-bucket cluster to enforce global rate limits across horizontally auto-scaled application pods.</w:t>
      </w:r>
    </w:p>
    <w:p>
      <w:pPr>
        <w:pStyle w:val="ListBullet"/>
        <w:spacing w:before="20" w:after="60" w:line="276" w:lineRule="auto"/>
      </w:pPr>
      <w:r>
        <w:rPr>
          <w:rFonts w:ascii="Calibri" w:hAnsi="Calibri"/>
          <w:b/>
          <w:color w:val="0B2545"/>
          <w:sz w:val="21"/>
        </w:rPr>
        <w:t xml:space="preserve">CERT-In VAPT Audit: </w:t>
      </w:r>
      <w:r>
        <w:rPr>
          <w:rFonts w:ascii="Calibri" w:hAnsi="Calibri"/>
          <w:color w:val="1E293B"/>
          <w:sz w:val="21"/>
        </w:rPr>
        <w:t>Current prototype has passed internal automated regression tests (29/29 tests). Production deployment mandates an independent, third-party Vulnerability Assessment and Penetration Testing (VAPT) audit by a CERT-In empaneled agency.</w:t>
      </w:r>
    </w:p>
    <w:p>
      <w:pPr>
        <w:keepNext/>
        <w:spacing w:before="320" w:after="120"/>
      </w:pPr>
      <w:r>
        <w:rPr>
          <w:rFonts w:ascii="Calibri" w:hAnsi="Calibri"/>
          <w:b/>
          <w:color w:val="0B2545"/>
          <w:sz w:val="32"/>
        </w:rPr>
        <w:t>11. Existing Railway Systems and Integration Boundaries</w:t>
      </w:r>
    </w:p>
    <w:p>
      <w:pPr>
        <w:spacing w:before="0" w:after="100" w:line="276" w:lineRule="auto"/>
      </w:pPr>
      <w:r>
        <w:rPr>
          <w:rFonts w:ascii="Calibri" w:hAnsi="Calibri"/>
          <w:color w:val="1E293B"/>
          <w:sz w:val="22"/>
        </w:rPr>
        <w:t>RailSahayak is designed to protect and support existing railway systems, not compete with them. The table below delineates the strict institutional and operational boundaries: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2016"/>
            <w:shd w:fill="0B2545"/>
            <w:tcMar>
              <w:top w:w="100" w:type="dxa"/>
              <w:bottom w:w="100" w:type="dxa"/>
              <w:left w:w="120" w:type="dxa"/>
              <w:right w:w="120" w:type="dxa"/>
            </w:tcMar>
          </w:tcPr>
          <w:p>
            <w:pPr>
              <w:jc w:val="left"/>
            </w:pPr>
            <w:r>
              <w:rPr>
                <w:rFonts w:ascii="Calibri" w:hAnsi="Calibri"/>
                <w:b/>
                <w:color w:val="FFFFFF"/>
                <w:sz w:val="19"/>
              </w:rPr>
              <w:t>Railway System</w:t>
            </w:r>
          </w:p>
        </w:tc>
        <w:tc>
          <w:tcPr>
            <w:tcW w:type="dxa" w:w="1584"/>
            <w:shd w:fill="0B2545"/>
            <w:tcMar>
              <w:top w:w="100" w:type="dxa"/>
              <w:bottom w:w="100" w:type="dxa"/>
              <w:left w:w="120" w:type="dxa"/>
              <w:right w:w="120" w:type="dxa"/>
            </w:tcMar>
          </w:tcPr>
          <w:p>
            <w:pPr>
              <w:jc w:val="left"/>
            </w:pPr>
            <w:r>
              <w:rPr>
                <w:rFonts w:ascii="Calibri" w:hAnsi="Calibri"/>
                <w:b/>
                <w:color w:val="FFFFFF"/>
                <w:sz w:val="19"/>
              </w:rPr>
              <w:t>Managing Authority</w:t>
            </w:r>
          </w:p>
        </w:tc>
        <w:tc>
          <w:tcPr>
            <w:tcW w:type="dxa" w:w="3024"/>
            <w:shd w:fill="0B2545"/>
            <w:tcMar>
              <w:top w:w="100" w:type="dxa"/>
              <w:bottom w:w="100" w:type="dxa"/>
              <w:left w:w="120" w:type="dxa"/>
              <w:right w:w="120" w:type="dxa"/>
            </w:tcMar>
          </w:tcPr>
          <w:p>
            <w:pPr>
              <w:jc w:val="left"/>
            </w:pPr>
            <w:r>
              <w:rPr>
                <w:rFonts w:ascii="Calibri" w:hAnsi="Calibri"/>
                <w:b/>
                <w:color w:val="FFFFFF"/>
                <w:sz w:val="19"/>
              </w:rPr>
              <w:t>Operational Focus &amp; Current Pressure</w:t>
            </w:r>
          </w:p>
        </w:tc>
        <w:tc>
          <w:tcPr>
            <w:tcW w:type="dxa" w:w="3125"/>
            <w:shd w:fill="0B2545"/>
            <w:tcMar>
              <w:top w:w="100" w:type="dxa"/>
              <w:bottom w:w="100" w:type="dxa"/>
              <w:left w:w="120" w:type="dxa"/>
              <w:right w:w="120" w:type="dxa"/>
            </w:tcMar>
          </w:tcPr>
          <w:p>
            <w:pPr>
              <w:jc w:val="left"/>
            </w:pPr>
            <w:r>
              <w:rPr>
                <w:rFonts w:ascii="Calibri" w:hAnsi="Calibri"/>
                <w:b/>
                <w:color w:val="FFFFFF"/>
                <w:sz w:val="19"/>
              </w:rPr>
              <w:t>RailSahayak Synergy &amp; Boundary Model</w:t>
            </w:r>
          </w:p>
        </w:tc>
      </w:tr>
      <w:tr>
        <w:tc>
          <w:tcPr>
            <w:tcW w:type="dxa" w:w="2016"/>
            <w:shd w:fill="FFFFFF"/>
            <w:tcMar>
              <w:top w:w="80" w:type="dxa"/>
              <w:bottom w:w="80" w:type="dxa"/>
              <w:left w:w="120" w:type="dxa"/>
              <w:right w:w="120" w:type="dxa"/>
            </w:tcMar>
          </w:tcPr>
          <w:p>
            <w:r>
              <w:rPr>
                <w:rFonts w:ascii="Calibri" w:hAnsi="Calibri"/>
                <w:color w:val="1E293B"/>
                <w:sz w:val="18"/>
              </w:rPr>
              <w:t>IRCTC E-Ticketing Portal</w:t>
            </w:r>
          </w:p>
        </w:tc>
        <w:tc>
          <w:tcPr>
            <w:tcW w:type="dxa" w:w="1584"/>
            <w:shd w:fill="FFFFFF"/>
            <w:tcMar>
              <w:top w:w="80" w:type="dxa"/>
              <w:bottom w:w="80" w:type="dxa"/>
              <w:left w:w="120" w:type="dxa"/>
              <w:right w:w="120" w:type="dxa"/>
            </w:tcMar>
          </w:tcPr>
          <w:p>
            <w:r>
              <w:rPr>
                <w:rFonts w:ascii="Calibri" w:hAnsi="Calibri"/>
                <w:color w:val="1E293B"/>
                <w:sz w:val="18"/>
              </w:rPr>
              <w:t>IRCTC</w:t>
            </w:r>
          </w:p>
        </w:tc>
        <w:tc>
          <w:tcPr>
            <w:tcW w:type="dxa" w:w="3024"/>
            <w:shd w:fill="FFFFFF"/>
            <w:tcMar>
              <w:top w:w="80" w:type="dxa"/>
              <w:bottom w:w="80" w:type="dxa"/>
              <w:left w:w="120" w:type="dxa"/>
              <w:right w:w="120" w:type="dxa"/>
            </w:tcMar>
          </w:tcPr>
          <w:p>
            <w:r>
              <w:rPr>
                <w:rFonts w:ascii="Calibri" w:hAnsi="Calibri"/>
                <w:color w:val="1E293B"/>
                <w:sz w:val="18"/>
              </w:rPr>
              <w:t>Commercial ticketing &amp; booking payments. Faces massive query spikes and duplicate bookings during Tatkal rush.</w:t>
            </w:r>
          </w:p>
        </w:tc>
        <w:tc>
          <w:tcPr>
            <w:tcW w:type="dxa" w:w="3125"/>
            <w:shd w:fill="FFFFFF"/>
            <w:tcMar>
              <w:top w:w="80" w:type="dxa"/>
              <w:bottom w:w="80" w:type="dxa"/>
              <w:left w:w="120" w:type="dxa"/>
              <w:right w:w="120" w:type="dxa"/>
            </w:tcMar>
          </w:tcPr>
          <w:p>
            <w:r>
              <w:rPr>
                <w:rFonts w:ascii="Calibri" w:hAnsi="Calibri"/>
                <w:color w:val="1E293B"/>
                <w:sz w:val="18"/>
              </w:rPr>
              <w:t>Diagnoses payment failures offline; deters duplicate panic bookings; routes all actual bookings exclusively to irctc.co.in.</w:t>
            </w:r>
          </w:p>
        </w:tc>
      </w:tr>
      <w:tr>
        <w:tc>
          <w:tcPr>
            <w:tcW w:type="dxa" w:w="2016"/>
            <w:shd w:fill="F8FAFC"/>
            <w:tcMar>
              <w:top w:w="80" w:type="dxa"/>
              <w:bottom w:w="80" w:type="dxa"/>
              <w:left w:w="120" w:type="dxa"/>
              <w:right w:w="120" w:type="dxa"/>
            </w:tcMar>
          </w:tcPr>
          <w:p>
            <w:r>
              <w:rPr>
                <w:rFonts w:ascii="Calibri" w:hAnsi="Calibri"/>
                <w:color w:val="1E293B"/>
                <w:sz w:val="18"/>
              </w:rPr>
              <w:t>CRIS Passenger Reservation System (PRS)</w:t>
            </w:r>
          </w:p>
        </w:tc>
        <w:tc>
          <w:tcPr>
            <w:tcW w:type="dxa" w:w="1584"/>
            <w:shd w:fill="F8FAFC"/>
            <w:tcMar>
              <w:top w:w="80" w:type="dxa"/>
              <w:bottom w:w="80" w:type="dxa"/>
              <w:left w:w="120" w:type="dxa"/>
              <w:right w:w="120" w:type="dxa"/>
            </w:tcMar>
          </w:tcPr>
          <w:p>
            <w:r>
              <w:rPr>
                <w:rFonts w:ascii="Calibri" w:hAnsi="Calibri"/>
                <w:color w:val="1E293B"/>
                <w:sz w:val="18"/>
              </w:rPr>
              <w:t>CRIS</w:t>
            </w:r>
          </w:p>
        </w:tc>
        <w:tc>
          <w:tcPr>
            <w:tcW w:type="dxa" w:w="3024"/>
            <w:shd w:fill="F8FAFC"/>
            <w:tcMar>
              <w:top w:w="80" w:type="dxa"/>
              <w:bottom w:w="80" w:type="dxa"/>
              <w:left w:w="120" w:type="dxa"/>
              <w:right w:w="120" w:type="dxa"/>
            </w:tcMar>
          </w:tcPr>
          <w:p>
            <w:r>
              <w:rPr>
                <w:rFonts w:ascii="Calibri" w:hAnsi="Calibri"/>
                <w:color w:val="1E293B"/>
                <w:sz w:val="18"/>
              </w:rPr>
              <w:t>Core database for train inventory, quotas, and charting. Subjected to heavy scraping for static PNR status rules.</w:t>
            </w:r>
          </w:p>
        </w:tc>
        <w:tc>
          <w:tcPr>
            <w:tcW w:type="dxa" w:w="3125"/>
            <w:shd w:fill="F8FAFC"/>
            <w:tcMar>
              <w:top w:w="80" w:type="dxa"/>
              <w:bottom w:w="80" w:type="dxa"/>
              <w:left w:w="120" w:type="dxa"/>
              <w:right w:w="120" w:type="dxa"/>
            </w:tcMar>
          </w:tcPr>
          <w:p>
            <w:r>
              <w:rPr>
                <w:rFonts w:ascii="Calibri" w:hAnsi="Calibri"/>
                <w:color w:val="1E293B"/>
                <w:sz w:val="18"/>
              </w:rPr>
              <w:t>Explains reservation codes and charting rules locally; eliminates repetitive scraping queries; does not query PRS core directly.</w:t>
            </w:r>
          </w:p>
        </w:tc>
      </w:tr>
      <w:tr>
        <w:tc>
          <w:tcPr>
            <w:tcW w:type="dxa" w:w="2016"/>
            <w:shd w:fill="FFFFFF"/>
            <w:tcMar>
              <w:top w:w="80" w:type="dxa"/>
              <w:bottom w:w="80" w:type="dxa"/>
              <w:left w:w="120" w:type="dxa"/>
              <w:right w:w="120" w:type="dxa"/>
            </w:tcMar>
          </w:tcPr>
          <w:p>
            <w:r>
              <w:rPr>
                <w:rFonts w:ascii="Calibri" w:hAnsi="Calibri"/>
                <w:color w:val="1E293B"/>
                <w:sz w:val="18"/>
              </w:rPr>
              <w:t>National Train Enquiry System (NTES)</w:t>
            </w:r>
          </w:p>
        </w:tc>
        <w:tc>
          <w:tcPr>
            <w:tcW w:type="dxa" w:w="1584"/>
            <w:shd w:fill="FFFFFF"/>
            <w:tcMar>
              <w:top w:w="80" w:type="dxa"/>
              <w:bottom w:w="80" w:type="dxa"/>
              <w:left w:w="120" w:type="dxa"/>
              <w:right w:w="120" w:type="dxa"/>
            </w:tcMar>
          </w:tcPr>
          <w:p>
            <w:r>
              <w:rPr>
                <w:rFonts w:ascii="Calibri" w:hAnsi="Calibri"/>
                <w:color w:val="1E293B"/>
                <w:sz w:val="18"/>
              </w:rPr>
              <w:t>CRIS</w:t>
            </w:r>
          </w:p>
        </w:tc>
        <w:tc>
          <w:tcPr>
            <w:tcW w:type="dxa" w:w="3024"/>
            <w:shd w:fill="FFFFFF"/>
            <w:tcMar>
              <w:top w:w="80" w:type="dxa"/>
              <w:bottom w:w="80" w:type="dxa"/>
              <w:left w:w="120" w:type="dxa"/>
              <w:right w:w="120" w:type="dxa"/>
            </w:tcMar>
          </w:tcPr>
          <w:p>
            <w:r>
              <w:rPr>
                <w:rFonts w:ascii="Calibri" w:hAnsi="Calibri"/>
                <w:color w:val="1E293B"/>
                <w:sz w:val="18"/>
              </w:rPr>
              <w:t>Live train tracking and delay schedules. High query volume from passengers checking station connections.</w:t>
            </w:r>
          </w:p>
        </w:tc>
        <w:tc>
          <w:tcPr>
            <w:tcW w:type="dxa" w:w="3125"/>
            <w:shd w:fill="FFFFFF"/>
            <w:tcMar>
              <w:top w:w="80" w:type="dxa"/>
              <w:bottom w:w="80" w:type="dxa"/>
              <w:left w:w="120" w:type="dxa"/>
              <w:right w:w="120" w:type="dxa"/>
            </w:tcMar>
          </w:tcPr>
          <w:p>
            <w:r>
              <w:rPr>
                <w:rFonts w:ascii="Calibri" w:hAnsi="Calibri"/>
                <w:color w:val="1E293B"/>
                <w:sz w:val="18"/>
              </w:rPr>
              <w:t>Provides route planning guidance on major trunk corridors; links passengers directly to official NTES live tracking.</w:t>
            </w:r>
          </w:p>
        </w:tc>
      </w:tr>
      <w:tr>
        <w:tc>
          <w:tcPr>
            <w:tcW w:type="dxa" w:w="2016"/>
            <w:shd w:fill="F8FAFC"/>
            <w:tcMar>
              <w:top w:w="80" w:type="dxa"/>
              <w:bottom w:w="80" w:type="dxa"/>
              <w:left w:w="120" w:type="dxa"/>
              <w:right w:w="120" w:type="dxa"/>
            </w:tcMar>
          </w:tcPr>
          <w:p>
            <w:r>
              <w:rPr>
                <w:rFonts w:ascii="Calibri" w:hAnsi="Calibri"/>
                <w:color w:val="1E293B"/>
                <w:sz w:val="18"/>
              </w:rPr>
              <w:t>RailMadad (Helpline 139)</w:t>
            </w:r>
          </w:p>
        </w:tc>
        <w:tc>
          <w:tcPr>
            <w:tcW w:type="dxa" w:w="1584"/>
            <w:shd w:fill="F8FAFC"/>
            <w:tcMar>
              <w:top w:w="80" w:type="dxa"/>
              <w:bottom w:w="80" w:type="dxa"/>
              <w:left w:w="120" w:type="dxa"/>
              <w:right w:w="120" w:type="dxa"/>
            </w:tcMar>
          </w:tcPr>
          <w:p>
            <w:r>
              <w:rPr>
                <w:rFonts w:ascii="Calibri" w:hAnsi="Calibri"/>
                <w:color w:val="1E293B"/>
                <w:sz w:val="18"/>
              </w:rPr>
              <w:t>Ministry of Railways</w:t>
            </w:r>
          </w:p>
        </w:tc>
        <w:tc>
          <w:tcPr>
            <w:tcW w:type="dxa" w:w="3024"/>
            <w:shd w:fill="F8FAFC"/>
            <w:tcMar>
              <w:top w:w="80" w:type="dxa"/>
              <w:bottom w:w="80" w:type="dxa"/>
              <w:left w:w="120" w:type="dxa"/>
              <w:right w:w="120" w:type="dxa"/>
            </w:tcMar>
          </w:tcPr>
          <w:p>
            <w:r>
              <w:rPr>
                <w:rFonts w:ascii="Calibri" w:hAnsi="Calibri"/>
                <w:color w:val="1E293B"/>
                <w:sz w:val="18"/>
              </w:rPr>
              <w:t>Official grievance redressal &amp; emergency dispatch. Emergency queues cluttered by routine refund status queries.</w:t>
            </w:r>
          </w:p>
        </w:tc>
        <w:tc>
          <w:tcPr>
            <w:tcW w:type="dxa" w:w="3125"/>
            <w:shd w:fill="F8FAFC"/>
            <w:tcMar>
              <w:top w:w="80" w:type="dxa"/>
              <w:bottom w:w="80" w:type="dxa"/>
              <w:left w:w="120" w:type="dxa"/>
              <w:right w:w="120" w:type="dxa"/>
            </w:tcMar>
          </w:tcPr>
          <w:p>
            <w:r>
              <w:rPr>
                <w:rFonts w:ascii="Calibri" w:hAnsi="Calibri"/>
                <w:color w:val="1E293B"/>
                <w:sz w:val="18"/>
              </w:rPr>
              <w:t>Resolves routine informational queries locally; logs non-emergency cases; prominently directs on-train emergencies to Helpline 139.</w:t>
            </w:r>
          </w:p>
        </w:tc>
      </w:tr>
    </w:tbl>
    <w:p>
      <w:pPr>
        <w:spacing w:before="0" w:after="80"/>
      </w:pPr>
    </w:p>
    <w:p>
      <w:pPr>
        <w:keepNext/>
        <w:spacing w:before="320" w:after="120"/>
      </w:pPr>
      <w:r>
        <w:rPr>
          <w:rFonts w:ascii="Calibri" w:hAnsi="Calibri"/>
          <w:b/>
          <w:color w:val="0B2545"/>
          <w:sz w:val="32"/>
        </w:rPr>
        <w:t>12. Proposed Limited Pilot and Approval Gates</w:t>
      </w:r>
    </w:p>
    <w:p>
      <w:pPr>
        <w:spacing w:before="0" w:after="100" w:line="276" w:lineRule="auto"/>
      </w:pPr>
      <w:r>
        <w:rPr>
          <w:rFonts w:ascii="Calibri" w:hAnsi="Calibri"/>
          <w:color w:val="1E293B"/>
          <w:sz w:val="22"/>
        </w:rPr>
        <w:t>To validate RailSahayak's efficacy in real-world conditions without exposing railway infrastructure to operational risk, we propose a 16-week phased pilot structured into four approval-gated phases: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1872"/>
            <w:shd w:fill="0B2545"/>
            <w:tcMar>
              <w:top w:w="100" w:type="dxa"/>
              <w:bottom w:w="100" w:type="dxa"/>
              <w:left w:w="120" w:type="dxa"/>
              <w:right w:w="120" w:type="dxa"/>
            </w:tcMar>
          </w:tcPr>
          <w:p>
            <w:pPr>
              <w:jc w:val="left"/>
            </w:pPr>
            <w:r>
              <w:rPr>
                <w:rFonts w:ascii="Calibri" w:hAnsi="Calibri"/>
                <w:b/>
                <w:color w:val="FFFFFF"/>
                <w:sz w:val="19"/>
              </w:rPr>
              <w:t>Pilot Phase</w:t>
            </w:r>
          </w:p>
        </w:tc>
        <w:tc>
          <w:tcPr>
            <w:tcW w:type="dxa" w:w="1728"/>
            <w:shd w:fill="0B2545"/>
            <w:tcMar>
              <w:top w:w="100" w:type="dxa"/>
              <w:bottom w:w="100" w:type="dxa"/>
              <w:left w:w="120" w:type="dxa"/>
              <w:right w:w="120" w:type="dxa"/>
            </w:tcMar>
          </w:tcPr>
          <w:p>
            <w:pPr>
              <w:jc w:val="left"/>
            </w:pPr>
            <w:r>
              <w:rPr>
                <w:rFonts w:ascii="Calibri" w:hAnsi="Calibri"/>
                <w:b/>
                <w:color w:val="FFFFFF"/>
                <w:sz w:val="19"/>
              </w:rPr>
              <w:t>Duration &amp; Scope</w:t>
            </w:r>
          </w:p>
        </w:tc>
        <w:tc>
          <w:tcPr>
            <w:tcW w:type="dxa" w:w="3312"/>
            <w:shd w:fill="0B2545"/>
            <w:tcMar>
              <w:top w:w="100" w:type="dxa"/>
              <w:bottom w:w="100" w:type="dxa"/>
              <w:left w:w="120" w:type="dxa"/>
              <w:right w:w="120" w:type="dxa"/>
            </w:tcMar>
          </w:tcPr>
          <w:p>
            <w:pPr>
              <w:jc w:val="left"/>
            </w:pPr>
            <w:r>
              <w:rPr>
                <w:rFonts w:ascii="Calibri" w:hAnsi="Calibri"/>
                <w:b/>
                <w:color w:val="FFFFFF"/>
                <w:sz w:val="19"/>
              </w:rPr>
              <w:t>Key Technical Activities</w:t>
            </w:r>
          </w:p>
        </w:tc>
        <w:tc>
          <w:tcPr>
            <w:tcW w:type="dxa" w:w="2837"/>
            <w:shd w:fill="0B2545"/>
            <w:tcMar>
              <w:top w:w="100" w:type="dxa"/>
              <w:bottom w:w="100" w:type="dxa"/>
              <w:left w:w="120" w:type="dxa"/>
              <w:right w:w="120" w:type="dxa"/>
            </w:tcMar>
          </w:tcPr>
          <w:p>
            <w:pPr>
              <w:jc w:val="left"/>
            </w:pPr>
            <w:r>
              <w:rPr>
                <w:rFonts w:ascii="Calibri" w:hAnsi="Calibri"/>
                <w:b/>
                <w:color w:val="FFFFFF"/>
                <w:sz w:val="19"/>
              </w:rPr>
              <w:t>Formal Approval Gate &amp; Deliverables</w:t>
            </w:r>
          </w:p>
        </w:tc>
      </w:tr>
      <w:tr>
        <w:tc>
          <w:tcPr>
            <w:tcW w:type="dxa" w:w="1872"/>
            <w:shd w:fill="FFFFFF"/>
            <w:tcMar>
              <w:top w:w="80" w:type="dxa"/>
              <w:bottom w:w="80" w:type="dxa"/>
              <w:left w:w="120" w:type="dxa"/>
              <w:right w:w="120" w:type="dxa"/>
            </w:tcMar>
          </w:tcPr>
          <w:p>
            <w:r>
              <w:rPr>
                <w:rFonts w:ascii="Calibri" w:hAnsi="Calibri"/>
                <w:color w:val="1E293B"/>
                <w:sz w:val="18"/>
              </w:rPr>
              <w:t>Phase 1: Staging &amp; Audit</w:t>
            </w:r>
          </w:p>
        </w:tc>
        <w:tc>
          <w:tcPr>
            <w:tcW w:type="dxa" w:w="1728"/>
            <w:shd w:fill="FFFFFF"/>
            <w:tcMar>
              <w:top w:w="80" w:type="dxa"/>
              <w:bottom w:w="80" w:type="dxa"/>
              <w:left w:w="120" w:type="dxa"/>
              <w:right w:w="120" w:type="dxa"/>
            </w:tcMar>
          </w:tcPr>
          <w:p>
            <w:r>
              <w:rPr>
                <w:rFonts w:ascii="Calibri" w:hAnsi="Calibri"/>
                <w:color w:val="1E293B"/>
                <w:sz w:val="18"/>
              </w:rPr>
              <w:t>Weeks 1 – 4</w:t>
              <w:br/>
              <w:t>Railway Staging</w:t>
            </w:r>
          </w:p>
        </w:tc>
        <w:tc>
          <w:tcPr>
            <w:tcW w:type="dxa" w:w="3312"/>
            <w:shd w:fill="FFFFFF"/>
            <w:tcMar>
              <w:top w:w="80" w:type="dxa"/>
              <w:bottom w:w="80" w:type="dxa"/>
              <w:left w:w="120" w:type="dxa"/>
              <w:right w:w="120" w:type="dxa"/>
            </w:tcMar>
          </w:tcPr>
          <w:p>
            <w:r>
              <w:rPr>
                <w:rFonts w:ascii="Calibri" w:hAnsi="Calibri"/>
                <w:color w:val="1E293B"/>
                <w:sz w:val="18"/>
              </w:rPr>
              <w:t>Deploy in isolated railway staging VPC; connect to non-production CRIS API testbeds; execute CERT-In VAPT audit.</w:t>
            </w:r>
          </w:p>
        </w:tc>
        <w:tc>
          <w:tcPr>
            <w:tcW w:type="dxa" w:w="2837"/>
            <w:shd w:fill="FFFFFF"/>
            <w:tcMar>
              <w:top w:w="80" w:type="dxa"/>
              <w:bottom w:w="80" w:type="dxa"/>
              <w:left w:w="120" w:type="dxa"/>
              <w:right w:w="120" w:type="dxa"/>
            </w:tcMar>
          </w:tcPr>
          <w:p>
            <w:r>
              <w:rPr>
                <w:rFonts w:ascii="Calibri" w:hAnsi="Calibri"/>
                <w:color w:val="1E293B"/>
                <w:sz w:val="18"/>
              </w:rPr>
              <w:t>Gate 1 Signoff: Independent VAPT security certificate and CRIS staging data-access agreement.</w:t>
            </w:r>
          </w:p>
        </w:tc>
      </w:tr>
      <w:tr>
        <w:tc>
          <w:tcPr>
            <w:tcW w:type="dxa" w:w="1872"/>
            <w:shd w:fill="F8FAFC"/>
            <w:tcMar>
              <w:top w:w="80" w:type="dxa"/>
              <w:bottom w:w="80" w:type="dxa"/>
              <w:left w:w="120" w:type="dxa"/>
              <w:right w:w="120" w:type="dxa"/>
            </w:tcMar>
          </w:tcPr>
          <w:p>
            <w:r>
              <w:rPr>
                <w:rFonts w:ascii="Calibri" w:hAnsi="Calibri"/>
                <w:color w:val="1E293B"/>
                <w:sz w:val="18"/>
              </w:rPr>
              <w:t>Phase 2: Zonal Beta Trial</w:t>
            </w:r>
          </w:p>
        </w:tc>
        <w:tc>
          <w:tcPr>
            <w:tcW w:type="dxa" w:w="1728"/>
            <w:shd w:fill="F8FAFC"/>
            <w:tcMar>
              <w:top w:w="80" w:type="dxa"/>
              <w:bottom w:w="80" w:type="dxa"/>
              <w:left w:w="120" w:type="dxa"/>
              <w:right w:w="120" w:type="dxa"/>
            </w:tcMar>
          </w:tcPr>
          <w:p>
            <w:r>
              <w:rPr>
                <w:rFonts w:ascii="Calibri" w:hAnsi="Calibri"/>
                <w:color w:val="1E293B"/>
                <w:sz w:val="18"/>
              </w:rPr>
              <w:t>Weeks 5 – 12</w:t>
              <w:br/>
              <w:t>Northern Railway (NR)</w:t>
            </w:r>
          </w:p>
        </w:tc>
        <w:tc>
          <w:tcPr>
            <w:tcW w:type="dxa" w:w="3312"/>
            <w:shd w:fill="F8FAFC"/>
            <w:tcMar>
              <w:top w:w="80" w:type="dxa"/>
              <w:bottom w:w="80" w:type="dxa"/>
              <w:left w:w="120" w:type="dxa"/>
              <w:right w:w="120" w:type="dxa"/>
            </w:tcMar>
          </w:tcPr>
          <w:p>
            <w:r>
              <w:rPr>
                <w:rFonts w:ascii="Calibri" w:hAnsi="Calibri"/>
                <w:color w:val="1E293B"/>
                <w:sz w:val="18"/>
              </w:rPr>
              <w:t>Deploy for 1 designated division (New Delhi); place assistance link on IRCTC help tab; enable RailMadad webhook bridge.</w:t>
            </w:r>
          </w:p>
        </w:tc>
        <w:tc>
          <w:tcPr>
            <w:tcW w:type="dxa" w:w="2837"/>
            <w:shd w:fill="F8FAFC"/>
            <w:tcMar>
              <w:top w:w="80" w:type="dxa"/>
              <w:bottom w:w="80" w:type="dxa"/>
              <w:left w:w="120" w:type="dxa"/>
              <w:right w:w="120" w:type="dxa"/>
            </w:tcMar>
          </w:tcPr>
          <w:p>
            <w:r>
              <w:rPr>
                <w:rFonts w:ascii="Calibri" w:hAnsi="Calibri"/>
                <w:color w:val="1E293B"/>
                <w:sz w:val="18"/>
              </w:rPr>
              <w:t>Gate 2 Signoff: 30-day operational review; zero P1 security incidents; deflection telemetry verification.</w:t>
            </w:r>
          </w:p>
        </w:tc>
      </w:tr>
      <w:tr>
        <w:tc>
          <w:tcPr>
            <w:tcW w:type="dxa" w:w="1872"/>
            <w:shd w:fill="FFFFFF"/>
            <w:tcMar>
              <w:top w:w="80" w:type="dxa"/>
              <w:bottom w:w="80" w:type="dxa"/>
              <w:left w:w="120" w:type="dxa"/>
              <w:right w:w="120" w:type="dxa"/>
            </w:tcMar>
          </w:tcPr>
          <w:p>
            <w:r>
              <w:rPr>
                <w:rFonts w:ascii="Calibri" w:hAnsi="Calibri"/>
                <w:color w:val="1E293B"/>
                <w:sz w:val="18"/>
              </w:rPr>
              <w:t>Phase 3: Impact Evaluation</w:t>
            </w:r>
          </w:p>
        </w:tc>
        <w:tc>
          <w:tcPr>
            <w:tcW w:type="dxa" w:w="1728"/>
            <w:shd w:fill="FFFFFF"/>
            <w:tcMar>
              <w:top w:w="80" w:type="dxa"/>
              <w:bottom w:w="80" w:type="dxa"/>
              <w:left w:w="120" w:type="dxa"/>
              <w:right w:w="120" w:type="dxa"/>
            </w:tcMar>
          </w:tcPr>
          <w:p>
            <w:r>
              <w:rPr>
                <w:rFonts w:ascii="Calibri" w:hAnsi="Calibri"/>
                <w:color w:val="1E293B"/>
                <w:sz w:val="18"/>
              </w:rPr>
              <w:t>Weeks 13 – 16</w:t>
              <w:br/>
              <w:t>Multi-Zone Review</w:t>
            </w:r>
          </w:p>
        </w:tc>
        <w:tc>
          <w:tcPr>
            <w:tcW w:type="dxa" w:w="3312"/>
            <w:shd w:fill="FFFFFF"/>
            <w:tcMar>
              <w:top w:w="80" w:type="dxa"/>
              <w:bottom w:w="80" w:type="dxa"/>
              <w:left w:w="120" w:type="dxa"/>
              <w:right w:w="120" w:type="dxa"/>
            </w:tcMar>
          </w:tcPr>
          <w:p>
            <w:r>
              <w:rPr>
                <w:rFonts w:ascii="Calibri" w:hAnsi="Calibri"/>
                <w:color w:val="1E293B"/>
                <w:sz w:val="18"/>
              </w:rPr>
              <w:t>Analyze quantitative KPIs against pre-pilot helpdesk baselines; assess CSAT; present comprehensive findings to Railway Board.</w:t>
            </w:r>
          </w:p>
        </w:tc>
        <w:tc>
          <w:tcPr>
            <w:tcW w:type="dxa" w:w="2837"/>
            <w:shd w:fill="FFFFFF"/>
            <w:tcMar>
              <w:top w:w="80" w:type="dxa"/>
              <w:bottom w:w="80" w:type="dxa"/>
              <w:left w:w="120" w:type="dxa"/>
              <w:right w:w="120" w:type="dxa"/>
            </w:tcMar>
          </w:tcPr>
          <w:p>
            <w:r>
              <w:rPr>
                <w:rFonts w:ascii="Calibri" w:hAnsi="Calibri"/>
                <w:color w:val="1E293B"/>
                <w:sz w:val="18"/>
              </w:rPr>
              <w:t>Gate 3 Signoff: Joint MoR-CRIS-IRCTC evaluation report; formal go/no-go production deployment decision.</w:t>
            </w:r>
          </w:p>
        </w:tc>
      </w:tr>
      <w:tr>
        <w:tc>
          <w:tcPr>
            <w:tcW w:type="dxa" w:w="1872"/>
            <w:shd w:fill="F8FAFC"/>
            <w:tcMar>
              <w:top w:w="80" w:type="dxa"/>
              <w:bottom w:w="80" w:type="dxa"/>
              <w:left w:w="120" w:type="dxa"/>
              <w:right w:w="120" w:type="dxa"/>
            </w:tcMar>
          </w:tcPr>
          <w:p>
            <w:r>
              <w:rPr>
                <w:rFonts w:ascii="Calibri" w:hAnsi="Calibri"/>
                <w:color w:val="1E293B"/>
                <w:sz w:val="18"/>
              </w:rPr>
              <w:t>Phase 4: Production Roadmap</w:t>
            </w:r>
          </w:p>
        </w:tc>
        <w:tc>
          <w:tcPr>
            <w:tcW w:type="dxa" w:w="1728"/>
            <w:shd w:fill="F8FAFC"/>
            <w:tcMar>
              <w:top w:w="80" w:type="dxa"/>
              <w:bottom w:w="80" w:type="dxa"/>
              <w:left w:w="120" w:type="dxa"/>
              <w:right w:w="120" w:type="dxa"/>
            </w:tcMar>
          </w:tcPr>
          <w:p>
            <w:r>
              <w:rPr>
                <w:rFonts w:ascii="Calibri" w:hAnsi="Calibri"/>
                <w:color w:val="1E293B"/>
                <w:sz w:val="18"/>
              </w:rPr>
              <w:t>Weeks 17+</w:t>
              <w:br/>
              <w:t>Nationwide Rollout</w:t>
            </w:r>
          </w:p>
        </w:tc>
        <w:tc>
          <w:tcPr>
            <w:tcW w:type="dxa" w:w="3312"/>
            <w:shd w:fill="F8FAFC"/>
            <w:tcMar>
              <w:top w:w="80" w:type="dxa"/>
              <w:bottom w:w="80" w:type="dxa"/>
              <w:left w:w="120" w:type="dxa"/>
              <w:right w:w="120" w:type="dxa"/>
            </w:tcMar>
          </w:tcPr>
          <w:p>
            <w:r>
              <w:rPr>
                <w:rFonts w:ascii="Calibri" w:hAnsi="Calibri"/>
                <w:color w:val="1E293B"/>
                <w:sz w:val="18"/>
              </w:rPr>
              <w:t>Execute multi-pod Kubernetes deployment behind NGINX TLS 1.3 ingress; scale Redis cluster; roll out across all 17 railway zones.</w:t>
            </w:r>
          </w:p>
        </w:tc>
        <w:tc>
          <w:tcPr>
            <w:tcW w:type="dxa" w:w="2837"/>
            <w:shd w:fill="F8FAFC"/>
            <w:tcMar>
              <w:top w:w="80" w:type="dxa"/>
              <w:bottom w:w="80" w:type="dxa"/>
              <w:left w:w="120" w:type="dxa"/>
              <w:right w:w="120" w:type="dxa"/>
            </w:tcMar>
          </w:tcPr>
          <w:p>
            <w:r>
              <w:rPr>
                <w:rFonts w:ascii="Calibri" w:hAnsi="Calibri"/>
                <w:color w:val="1E293B"/>
                <w:sz w:val="18"/>
              </w:rPr>
              <w:t>Gate 4 Signoff: Production cluster commissioning; permanent SLA and incident response governance.</w:t>
            </w:r>
          </w:p>
        </w:tc>
      </w:tr>
    </w:tbl>
    <w:p>
      <w:pPr>
        <w:spacing w:before="0" w:after="80"/>
      </w:pPr>
    </w:p>
    <w:p>
      <w:pPr>
        <w:keepNext/>
        <w:spacing w:before="240" w:after="80"/>
      </w:pPr>
      <w:r>
        <w:rPr>
          <w:rFonts w:ascii="Calibri" w:hAnsi="Calibri"/>
          <w:b/>
          <w:color w:val="134074"/>
          <w:sz w:val="26"/>
        </w:rPr>
        <w:t>12.1 Mandatory Railway Prerequisites for Pilot Progression</w:t>
      </w:r>
    </w:p>
    <w:p>
      <w:pPr>
        <w:spacing w:before="0" w:after="100" w:line="276" w:lineRule="auto"/>
      </w:pPr>
      <w:r>
        <w:rPr>
          <w:rFonts w:ascii="Calibri" w:hAnsi="Calibri"/>
          <w:color w:val="1E293B"/>
          <w:sz w:val="22"/>
        </w:rPr>
        <w:t>Progression through the pilot lifecycle strictly depends on the following formal administrative and technical authorizations:</w:t>
      </w:r>
    </w:p>
    <w:p>
      <w:pPr>
        <w:pStyle w:val="ListBullet"/>
        <w:spacing w:before="20" w:after="60" w:line="276" w:lineRule="auto"/>
      </w:pPr>
      <w:r>
        <w:rPr>
          <w:rFonts w:ascii="Calibri" w:hAnsi="Calibri"/>
          <w:b/>
          <w:color w:val="0B2545"/>
          <w:sz w:val="21"/>
        </w:rPr>
        <w:t xml:space="preserve">1. CRIS Staging Access Agreement: </w:t>
      </w:r>
      <w:r>
        <w:rPr>
          <w:rFonts w:ascii="Calibri" w:hAnsi="Calibri"/>
          <w:color w:val="1E293B"/>
          <w:sz w:val="21"/>
        </w:rPr>
        <w:t>Execution of an authorized data-access agreement granting RailSahayak read-only access to CRIS staging API endpoints over secure mTLS for mock PNR queries.</w:t>
      </w:r>
    </w:p>
    <w:p>
      <w:pPr>
        <w:pStyle w:val="ListBullet"/>
        <w:spacing w:before="20" w:after="60" w:line="276" w:lineRule="auto"/>
      </w:pPr>
      <w:r>
        <w:rPr>
          <w:rFonts w:ascii="Calibri" w:hAnsi="Calibri"/>
          <w:b/>
          <w:color w:val="0B2545"/>
          <w:sz w:val="21"/>
        </w:rPr>
        <w:t xml:space="preserve">2. RailMadad Webhook Integration: </w:t>
      </w:r>
      <w:r>
        <w:rPr>
          <w:rFonts w:ascii="Calibri" w:hAnsi="Calibri"/>
          <w:color w:val="1E293B"/>
          <w:sz w:val="21"/>
        </w:rPr>
        <w:t>Authorization to configure a secure REST webhook endpoint dispatching unresolved passenger support cases directly into zonal railway officer queues.</w:t>
      </w:r>
    </w:p>
    <w:p>
      <w:pPr>
        <w:pStyle w:val="ListBullet"/>
        <w:spacing w:before="20" w:after="60" w:line="276" w:lineRule="auto"/>
      </w:pPr>
      <w:r>
        <w:rPr>
          <w:rFonts w:ascii="Calibri" w:hAnsi="Calibri"/>
          <w:b/>
          <w:color w:val="0B2545"/>
          <w:sz w:val="21"/>
        </w:rPr>
        <w:t xml:space="preserve">3. IRCTC Single Sign-On (SSO): </w:t>
      </w:r>
      <w:r>
        <w:rPr>
          <w:rFonts w:ascii="Calibri" w:hAnsi="Calibri"/>
          <w:color w:val="1E293B"/>
          <w:sz w:val="21"/>
        </w:rPr>
        <w:t>Technical authorization to authenticate passengers via IRCTC credentials using OAuth2 / OpenID Connect (OIDC).</w:t>
      </w:r>
    </w:p>
    <w:p>
      <w:pPr>
        <w:keepNext/>
        <w:spacing w:before="320" w:after="120"/>
      </w:pPr>
      <w:r>
        <w:rPr>
          <w:rFonts w:ascii="Calibri" w:hAnsi="Calibri"/>
          <w:b/>
          <w:color w:val="0B2545"/>
          <w:sz w:val="32"/>
        </w:rPr>
        <w:t>13. Proposed KPIs, Baseline Requirements and Measurement Methodology</w:t>
      </w:r>
    </w:p>
    <w:tbl>
      <w:tblPr>
        <w:tblW w:type="auto" w:w="0"/>
        <w:jc w:val="center"/>
        <w:tblLayout w:type="fixed"/>
        <w:tblLook w:firstColumn="1" w:firstRow="1" w:lastColumn="0" w:lastRow="0" w:noHBand="0" w:noVBand="1" w:val="04A0"/>
      </w:tblPr>
      <w:tblGrid>
        <w:gridCol w:w="9749"/>
      </w:tblGrid>
      <w:tr>
        <w:tc>
          <w:tcPr>
            <w:tcW w:type="dxa" w:w="9749"/>
            <w:shd w:fill="FFFBEB"/>
            <w:tcMar>
              <w:top w:w="120" w:type="dxa"/>
              <w:bottom w:w="120" w:type="dxa"/>
              <w:left w:w="180" w:type="dxa"/>
              <w:right w:w="140" w:type="dxa"/>
            </w:tcMar>
            <w:tcBorders>
              <w:left w:val="single" w:sz="24" w:space="0" w:color="B45309"/>
              <w:top w:val="none"/>
              <w:right w:val="none"/>
              <w:bottom w:val="none"/>
            </w:tcBorders>
          </w:tcPr>
          <w:p>
            <w:pPr>
              <w:spacing w:before="40" w:after="40" w:line="276" w:lineRule="auto"/>
            </w:pPr>
            <w:r>
              <w:rPr>
                <w:rFonts w:ascii="Calibri" w:hAnsi="Calibri"/>
                <w:b/>
                <w:color w:val="0B2545"/>
                <w:sz w:val="21"/>
              </w:rPr>
              <w:t>PROPOSED PILOT EVALUATION TARGETS DISCLAIMER</w:t>
              <w:br/>
            </w:r>
            <w:r>
              <w:rPr>
                <w:rFonts w:ascii="Calibri" w:hAnsi="Calibri"/>
                <w:color w:val="B45309"/>
                <w:sz w:val="20"/>
              </w:rPr>
              <w:t>PROPOSED PILOT EVALUATION TARGETS (NOT PRE-EXISTING CLAIMS): The operational figures below represent proposed performance criteria to be measured and validated during an authorized railway pilot. They do not constitute claims of achieved production throughput or existing nationwide capacity.</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2016"/>
            <w:shd w:fill="0B2545"/>
            <w:tcMar>
              <w:top w:w="100" w:type="dxa"/>
              <w:bottom w:w="100" w:type="dxa"/>
              <w:left w:w="120" w:type="dxa"/>
              <w:right w:w="120" w:type="dxa"/>
            </w:tcMar>
          </w:tcPr>
          <w:p>
            <w:pPr>
              <w:jc w:val="left"/>
            </w:pPr>
            <w:r>
              <w:rPr>
                <w:rFonts w:ascii="Calibri" w:hAnsi="Calibri"/>
                <w:b/>
                <w:color w:val="FFFFFF"/>
                <w:sz w:val="19"/>
              </w:rPr>
              <w:t>Performance Metric</w:t>
            </w:r>
          </w:p>
        </w:tc>
        <w:tc>
          <w:tcPr>
            <w:tcW w:type="dxa" w:w="1728"/>
            <w:shd w:fill="0B2545"/>
            <w:tcMar>
              <w:top w:w="100" w:type="dxa"/>
              <w:bottom w:w="100" w:type="dxa"/>
              <w:left w:w="120" w:type="dxa"/>
              <w:right w:w="120" w:type="dxa"/>
            </w:tcMar>
          </w:tcPr>
          <w:p>
            <w:pPr>
              <w:jc w:val="left"/>
            </w:pPr>
            <w:r>
              <w:rPr>
                <w:rFonts w:ascii="Calibri" w:hAnsi="Calibri"/>
                <w:b/>
                <w:color w:val="FFFFFF"/>
                <w:sz w:val="19"/>
              </w:rPr>
              <w:t>Proposed Pilot Target</w:t>
            </w:r>
          </w:p>
        </w:tc>
        <w:tc>
          <w:tcPr>
            <w:tcW w:type="dxa" w:w="3600"/>
            <w:shd w:fill="0B2545"/>
            <w:tcMar>
              <w:top w:w="100" w:type="dxa"/>
              <w:bottom w:w="100" w:type="dxa"/>
              <w:left w:w="120" w:type="dxa"/>
              <w:right w:w="120" w:type="dxa"/>
            </w:tcMar>
          </w:tcPr>
          <w:p>
            <w:pPr>
              <w:jc w:val="left"/>
            </w:pPr>
            <w:r>
              <w:rPr>
                <w:rFonts w:ascii="Calibri" w:hAnsi="Calibri"/>
                <w:b/>
                <w:color w:val="FFFFFF"/>
                <w:sz w:val="19"/>
              </w:rPr>
              <w:t>Measurement &amp; Verification Methodology</w:t>
            </w:r>
          </w:p>
        </w:tc>
        <w:tc>
          <w:tcPr>
            <w:tcW w:type="dxa" w:w="2405"/>
            <w:shd w:fill="0B2545"/>
            <w:tcMar>
              <w:top w:w="100" w:type="dxa"/>
              <w:bottom w:w="100" w:type="dxa"/>
              <w:left w:w="120" w:type="dxa"/>
              <w:right w:w="120" w:type="dxa"/>
            </w:tcMar>
          </w:tcPr>
          <w:p>
            <w:pPr>
              <w:jc w:val="left"/>
            </w:pPr>
            <w:r>
              <w:rPr>
                <w:rFonts w:ascii="Calibri" w:hAnsi="Calibri"/>
                <w:b/>
                <w:color w:val="FFFFFF"/>
                <w:sz w:val="19"/>
              </w:rPr>
              <w:t>Approving Railway Authority</w:t>
            </w:r>
          </w:p>
        </w:tc>
      </w:tr>
      <w:tr>
        <w:tc>
          <w:tcPr>
            <w:tcW w:type="dxa" w:w="2016"/>
            <w:shd w:fill="FFFFFF"/>
            <w:tcMar>
              <w:top w:w="80" w:type="dxa"/>
              <w:bottom w:w="80" w:type="dxa"/>
              <w:left w:w="120" w:type="dxa"/>
              <w:right w:w="120" w:type="dxa"/>
            </w:tcMar>
          </w:tcPr>
          <w:p>
            <w:r>
              <w:rPr>
                <w:rFonts w:ascii="Calibri" w:hAnsi="Calibri"/>
                <w:color w:val="1E293B"/>
                <w:sz w:val="18"/>
              </w:rPr>
              <w:t>Diagnostic Advisory Latency</w:t>
            </w:r>
          </w:p>
        </w:tc>
        <w:tc>
          <w:tcPr>
            <w:tcW w:type="dxa" w:w="1728"/>
            <w:shd w:fill="FFFFFF"/>
            <w:tcMar>
              <w:top w:w="80" w:type="dxa"/>
              <w:bottom w:w="80" w:type="dxa"/>
              <w:left w:w="120" w:type="dxa"/>
              <w:right w:w="120" w:type="dxa"/>
            </w:tcMar>
          </w:tcPr>
          <w:p>
            <w:r>
              <w:rPr>
                <w:rFonts w:ascii="Calibri" w:hAnsi="Calibri"/>
                <w:color w:val="1E293B"/>
                <w:sz w:val="18"/>
              </w:rPr>
              <w:t>&lt; 150 ms (P95 target)</w:t>
            </w:r>
          </w:p>
        </w:tc>
        <w:tc>
          <w:tcPr>
            <w:tcW w:type="dxa" w:w="3600"/>
            <w:shd w:fill="FFFFFF"/>
            <w:tcMar>
              <w:top w:w="80" w:type="dxa"/>
              <w:bottom w:w="80" w:type="dxa"/>
              <w:left w:w="120" w:type="dxa"/>
              <w:right w:w="120" w:type="dxa"/>
            </w:tcMar>
          </w:tcPr>
          <w:p>
            <w:r>
              <w:rPr>
                <w:rFonts w:ascii="Calibri" w:hAnsi="Calibri"/>
                <w:color w:val="1E293B"/>
                <w:sz w:val="18"/>
              </w:rPr>
              <w:t>Server-side Prometheus &amp; MDC request duration metrics on /api/v1/* endpoints.</w:t>
            </w:r>
          </w:p>
        </w:tc>
        <w:tc>
          <w:tcPr>
            <w:tcW w:type="dxa" w:w="2405"/>
            <w:shd w:fill="FFFFFF"/>
            <w:tcMar>
              <w:top w:w="80" w:type="dxa"/>
              <w:bottom w:w="80" w:type="dxa"/>
              <w:left w:w="120" w:type="dxa"/>
              <w:right w:w="120" w:type="dxa"/>
            </w:tcMar>
          </w:tcPr>
          <w:p>
            <w:r>
              <w:rPr>
                <w:rFonts w:ascii="Calibri" w:hAnsi="Calibri"/>
                <w:color w:val="1E293B"/>
                <w:sz w:val="18"/>
              </w:rPr>
              <w:t>CRIS Architecture Team</w:t>
            </w:r>
          </w:p>
        </w:tc>
      </w:tr>
      <w:tr>
        <w:tc>
          <w:tcPr>
            <w:tcW w:type="dxa" w:w="2016"/>
            <w:shd w:fill="F8FAFC"/>
            <w:tcMar>
              <w:top w:w="80" w:type="dxa"/>
              <w:bottom w:w="80" w:type="dxa"/>
              <w:left w:w="120" w:type="dxa"/>
              <w:right w:w="120" w:type="dxa"/>
            </w:tcMar>
          </w:tcPr>
          <w:p>
            <w:r>
              <w:rPr>
                <w:rFonts w:ascii="Calibri" w:hAnsi="Calibri"/>
                <w:color w:val="1E293B"/>
                <w:sz w:val="18"/>
              </w:rPr>
              <w:t>Payment Self-Resolution Rate</w:t>
            </w:r>
          </w:p>
        </w:tc>
        <w:tc>
          <w:tcPr>
            <w:tcW w:type="dxa" w:w="1728"/>
            <w:shd w:fill="F8FAFC"/>
            <w:tcMar>
              <w:top w:w="80" w:type="dxa"/>
              <w:bottom w:w="80" w:type="dxa"/>
              <w:left w:w="120" w:type="dxa"/>
              <w:right w:w="120" w:type="dxa"/>
            </w:tcMar>
          </w:tcPr>
          <w:p>
            <w:r>
              <w:rPr>
                <w:rFonts w:ascii="Calibri" w:hAnsi="Calibri"/>
                <w:color w:val="1E293B"/>
                <w:sz w:val="18"/>
              </w:rPr>
              <w:t>&gt; 70% resolved</w:t>
            </w:r>
          </w:p>
        </w:tc>
        <w:tc>
          <w:tcPr>
            <w:tcW w:type="dxa" w:w="3600"/>
            <w:shd w:fill="F8FAFC"/>
            <w:tcMar>
              <w:top w:w="80" w:type="dxa"/>
              <w:bottom w:w="80" w:type="dxa"/>
              <w:left w:w="120" w:type="dxa"/>
              <w:right w:w="120" w:type="dxa"/>
            </w:tcMar>
          </w:tcPr>
          <w:p>
            <w:r>
              <w:rPr>
                <w:rFonts w:ascii="Calibri" w:hAnsi="Calibri"/>
                <w:color w:val="1E293B"/>
                <w:sz w:val="18"/>
              </w:rPr>
              <w:t>Percentage of diagnosed passengers confirming understanding without opening support tickets.</w:t>
            </w:r>
          </w:p>
        </w:tc>
        <w:tc>
          <w:tcPr>
            <w:tcW w:type="dxa" w:w="2405"/>
            <w:shd w:fill="F8FAFC"/>
            <w:tcMar>
              <w:top w:w="80" w:type="dxa"/>
              <w:bottom w:w="80" w:type="dxa"/>
              <w:left w:w="120" w:type="dxa"/>
              <w:right w:w="120" w:type="dxa"/>
            </w:tcMar>
          </w:tcPr>
          <w:p>
            <w:r>
              <w:rPr>
                <w:rFonts w:ascii="Calibri" w:hAnsi="Calibri"/>
                <w:color w:val="1E293B"/>
                <w:sz w:val="18"/>
              </w:rPr>
              <w:t>IRCTC Support Operations</w:t>
            </w:r>
          </w:p>
        </w:tc>
      </w:tr>
      <w:tr>
        <w:tc>
          <w:tcPr>
            <w:tcW w:type="dxa" w:w="2016"/>
            <w:shd w:fill="FFFFFF"/>
            <w:tcMar>
              <w:top w:w="80" w:type="dxa"/>
              <w:bottom w:w="80" w:type="dxa"/>
              <w:left w:w="120" w:type="dxa"/>
              <w:right w:w="120" w:type="dxa"/>
            </w:tcMar>
          </w:tcPr>
          <w:p>
            <w:r>
              <w:rPr>
                <w:rFonts w:ascii="Calibri" w:hAnsi="Calibri"/>
                <w:color w:val="1E293B"/>
                <w:sz w:val="18"/>
              </w:rPr>
              <w:t>Duplicate Booking Prevention</w:t>
            </w:r>
          </w:p>
        </w:tc>
        <w:tc>
          <w:tcPr>
            <w:tcW w:type="dxa" w:w="1728"/>
            <w:shd w:fill="FFFFFF"/>
            <w:tcMar>
              <w:top w:w="80" w:type="dxa"/>
              <w:bottom w:w="80" w:type="dxa"/>
              <w:left w:w="120" w:type="dxa"/>
              <w:right w:w="120" w:type="dxa"/>
            </w:tcMar>
          </w:tcPr>
          <w:p>
            <w:r>
              <w:rPr>
                <w:rFonts w:ascii="Calibri" w:hAnsi="Calibri"/>
                <w:color w:val="1E293B"/>
                <w:sz w:val="18"/>
              </w:rPr>
              <w:t>&gt; 85% reduction</w:t>
            </w:r>
          </w:p>
        </w:tc>
        <w:tc>
          <w:tcPr>
            <w:tcW w:type="dxa" w:w="3600"/>
            <w:shd w:fill="FFFFFF"/>
            <w:tcMar>
              <w:top w:w="80" w:type="dxa"/>
              <w:bottom w:w="80" w:type="dxa"/>
              <w:left w:w="120" w:type="dxa"/>
              <w:right w:w="120" w:type="dxa"/>
            </w:tcMar>
          </w:tcPr>
          <w:p>
            <w:r>
              <w:rPr>
                <w:rFonts w:ascii="Calibri" w:hAnsi="Calibri"/>
                <w:color w:val="1E293B"/>
                <w:sz w:val="18"/>
              </w:rPr>
              <w:t>Post-interaction survey prompts on Payment Help diagnostic card following timeouts.</w:t>
            </w:r>
          </w:p>
        </w:tc>
        <w:tc>
          <w:tcPr>
            <w:tcW w:type="dxa" w:w="2405"/>
            <w:shd w:fill="FFFFFF"/>
            <w:tcMar>
              <w:top w:w="80" w:type="dxa"/>
              <w:bottom w:w="80" w:type="dxa"/>
              <w:left w:w="120" w:type="dxa"/>
              <w:right w:w="120" w:type="dxa"/>
            </w:tcMar>
          </w:tcPr>
          <w:p>
            <w:r>
              <w:rPr>
                <w:rFonts w:ascii="Calibri" w:hAnsi="Calibri"/>
                <w:color w:val="1E293B"/>
                <w:sz w:val="18"/>
              </w:rPr>
              <w:t>IRCTC E-Ticketing Directorate</w:t>
            </w:r>
          </w:p>
        </w:tc>
      </w:tr>
      <w:tr>
        <w:tc>
          <w:tcPr>
            <w:tcW w:type="dxa" w:w="2016"/>
            <w:shd w:fill="F8FAFC"/>
            <w:tcMar>
              <w:top w:w="80" w:type="dxa"/>
              <w:bottom w:w="80" w:type="dxa"/>
              <w:left w:w="120" w:type="dxa"/>
              <w:right w:w="120" w:type="dxa"/>
            </w:tcMar>
          </w:tcPr>
          <w:p>
            <w:r>
              <w:rPr>
                <w:rFonts w:ascii="Calibri" w:hAnsi="Calibri"/>
                <w:color w:val="1E293B"/>
                <w:sz w:val="18"/>
              </w:rPr>
              <w:t>Grievance Audit Traceability</w:t>
            </w:r>
          </w:p>
        </w:tc>
        <w:tc>
          <w:tcPr>
            <w:tcW w:type="dxa" w:w="1728"/>
            <w:shd w:fill="F8FAFC"/>
            <w:tcMar>
              <w:top w:w="80" w:type="dxa"/>
              <w:bottom w:w="80" w:type="dxa"/>
              <w:left w:w="120" w:type="dxa"/>
              <w:right w:w="120" w:type="dxa"/>
            </w:tcMar>
          </w:tcPr>
          <w:p>
            <w:r>
              <w:rPr>
                <w:rFonts w:ascii="Calibri" w:hAnsi="Calibri"/>
                <w:color w:val="1E293B"/>
                <w:sz w:val="18"/>
              </w:rPr>
              <w:t>100% compliance</w:t>
            </w:r>
          </w:p>
        </w:tc>
        <w:tc>
          <w:tcPr>
            <w:tcW w:type="dxa" w:w="3600"/>
            <w:shd w:fill="F8FAFC"/>
            <w:tcMar>
              <w:top w:w="80" w:type="dxa"/>
              <w:bottom w:w="80" w:type="dxa"/>
              <w:left w:w="120" w:type="dxa"/>
              <w:right w:w="120" w:type="dxa"/>
            </w:tcMar>
          </w:tcPr>
          <w:p>
            <w:r>
              <w:rPr>
                <w:rFonts w:ascii="Calibri" w:hAnsi="Calibri"/>
                <w:color w:val="1E293B"/>
                <w:sz w:val="18"/>
              </w:rPr>
              <w:t>Automated SQL audit verifying every case update contains an associated audit log entry.</w:t>
            </w:r>
          </w:p>
        </w:tc>
        <w:tc>
          <w:tcPr>
            <w:tcW w:type="dxa" w:w="2405"/>
            <w:shd w:fill="F8FAFC"/>
            <w:tcMar>
              <w:top w:w="80" w:type="dxa"/>
              <w:bottom w:w="80" w:type="dxa"/>
              <w:left w:w="120" w:type="dxa"/>
              <w:right w:w="120" w:type="dxa"/>
            </w:tcMar>
          </w:tcPr>
          <w:p>
            <w:r>
              <w:rPr>
                <w:rFonts w:ascii="Calibri" w:hAnsi="Calibri"/>
                <w:color w:val="1E293B"/>
                <w:sz w:val="18"/>
              </w:rPr>
              <w:t>Ministry of Railways Oversight</w:t>
            </w:r>
          </w:p>
        </w:tc>
      </w:tr>
      <w:tr>
        <w:tc>
          <w:tcPr>
            <w:tcW w:type="dxa" w:w="2016"/>
            <w:shd w:fill="FFFFFF"/>
            <w:tcMar>
              <w:top w:w="80" w:type="dxa"/>
              <w:bottom w:w="80" w:type="dxa"/>
              <w:left w:w="120" w:type="dxa"/>
              <w:right w:w="120" w:type="dxa"/>
            </w:tcMar>
          </w:tcPr>
          <w:p>
            <w:r>
              <w:rPr>
                <w:rFonts w:ascii="Calibri" w:hAnsi="Calibri"/>
                <w:color w:val="1E293B"/>
                <w:sz w:val="18"/>
              </w:rPr>
              <w:t>Platform Availability (SLA)</w:t>
            </w:r>
          </w:p>
        </w:tc>
        <w:tc>
          <w:tcPr>
            <w:tcW w:type="dxa" w:w="1728"/>
            <w:shd w:fill="FFFFFF"/>
            <w:tcMar>
              <w:top w:w="80" w:type="dxa"/>
              <w:bottom w:w="80" w:type="dxa"/>
              <w:left w:w="120" w:type="dxa"/>
              <w:right w:w="120" w:type="dxa"/>
            </w:tcMar>
          </w:tcPr>
          <w:p>
            <w:r>
              <w:rPr>
                <w:rFonts w:ascii="Calibri" w:hAnsi="Calibri"/>
                <w:color w:val="1E293B"/>
                <w:sz w:val="18"/>
              </w:rPr>
              <w:t>&gt;= 99.95% uptime</w:t>
            </w:r>
          </w:p>
        </w:tc>
        <w:tc>
          <w:tcPr>
            <w:tcW w:type="dxa" w:w="3600"/>
            <w:shd w:fill="FFFFFF"/>
            <w:tcMar>
              <w:top w:w="80" w:type="dxa"/>
              <w:bottom w:w="80" w:type="dxa"/>
              <w:left w:w="120" w:type="dxa"/>
              <w:right w:w="120" w:type="dxa"/>
            </w:tcMar>
          </w:tcPr>
          <w:p>
            <w:r>
              <w:rPr>
                <w:rFonts w:ascii="Calibri" w:hAnsi="Calibri"/>
                <w:color w:val="1E293B"/>
                <w:sz w:val="18"/>
              </w:rPr>
              <w:t>External synthetic probes pinging /api/v1/health at 10-second intervals.</w:t>
            </w:r>
          </w:p>
        </w:tc>
        <w:tc>
          <w:tcPr>
            <w:tcW w:type="dxa" w:w="2405"/>
            <w:shd w:fill="FFFFFF"/>
            <w:tcMar>
              <w:top w:w="80" w:type="dxa"/>
              <w:bottom w:w="80" w:type="dxa"/>
              <w:left w:w="120" w:type="dxa"/>
              <w:right w:w="120" w:type="dxa"/>
            </w:tcMar>
          </w:tcPr>
          <w:p>
            <w:r>
              <w:rPr>
                <w:rFonts w:ascii="Calibri" w:hAnsi="Calibri"/>
                <w:color w:val="1E293B"/>
                <w:sz w:val="18"/>
              </w:rPr>
              <w:t>Railway Board IT Directorate</w:t>
            </w:r>
          </w:p>
        </w:tc>
      </w:tr>
      <w:tr>
        <w:tc>
          <w:tcPr>
            <w:tcW w:type="dxa" w:w="2016"/>
            <w:shd w:fill="F8FAFC"/>
            <w:tcMar>
              <w:top w:w="80" w:type="dxa"/>
              <w:bottom w:w="80" w:type="dxa"/>
              <w:left w:w="120" w:type="dxa"/>
              <w:right w:w="120" w:type="dxa"/>
            </w:tcMar>
          </w:tcPr>
          <w:p>
            <w:r>
              <w:rPr>
                <w:rFonts w:ascii="Calibri" w:hAnsi="Calibri"/>
                <w:color w:val="1E293B"/>
                <w:sz w:val="18"/>
              </w:rPr>
              <w:t>HTTP 5xx Error Budget</w:t>
            </w:r>
          </w:p>
        </w:tc>
        <w:tc>
          <w:tcPr>
            <w:tcW w:type="dxa" w:w="1728"/>
            <w:shd w:fill="F8FAFC"/>
            <w:tcMar>
              <w:top w:w="80" w:type="dxa"/>
              <w:bottom w:w="80" w:type="dxa"/>
              <w:left w:w="120" w:type="dxa"/>
              <w:right w:w="120" w:type="dxa"/>
            </w:tcMar>
          </w:tcPr>
          <w:p>
            <w:r>
              <w:rPr>
                <w:rFonts w:ascii="Calibri" w:hAnsi="Calibri"/>
                <w:color w:val="1E293B"/>
                <w:sz w:val="18"/>
              </w:rPr>
              <w:t>&lt; 0.05% of requests</w:t>
            </w:r>
          </w:p>
        </w:tc>
        <w:tc>
          <w:tcPr>
            <w:tcW w:type="dxa" w:w="3600"/>
            <w:shd w:fill="F8FAFC"/>
            <w:tcMar>
              <w:top w:w="80" w:type="dxa"/>
              <w:bottom w:w="80" w:type="dxa"/>
              <w:left w:w="120" w:type="dxa"/>
              <w:right w:w="120" w:type="dxa"/>
            </w:tcMar>
          </w:tcPr>
          <w:p>
            <w:r>
              <w:rPr>
                <w:rFonts w:ascii="Calibri" w:hAnsi="Calibri"/>
                <w:color w:val="1E293B"/>
                <w:sz w:val="18"/>
              </w:rPr>
              <w:t>Centralized logging and alerting on sanitized GlobalExceptionHandler events.</w:t>
            </w:r>
          </w:p>
        </w:tc>
        <w:tc>
          <w:tcPr>
            <w:tcW w:type="dxa" w:w="2405"/>
            <w:shd w:fill="F8FAFC"/>
            <w:tcMar>
              <w:top w:w="80" w:type="dxa"/>
              <w:bottom w:w="80" w:type="dxa"/>
              <w:left w:w="120" w:type="dxa"/>
              <w:right w:w="120" w:type="dxa"/>
            </w:tcMar>
          </w:tcPr>
          <w:p>
            <w:r>
              <w:rPr>
                <w:rFonts w:ascii="Calibri" w:hAnsi="Calibri"/>
                <w:color w:val="1E293B"/>
                <w:sz w:val="18"/>
              </w:rPr>
              <w:t>CRIS Operations Center</w:t>
            </w:r>
          </w:p>
        </w:tc>
      </w:tr>
      <w:tr>
        <w:tc>
          <w:tcPr>
            <w:tcW w:type="dxa" w:w="2016"/>
            <w:shd w:fill="FFFFFF"/>
            <w:tcMar>
              <w:top w:w="80" w:type="dxa"/>
              <w:bottom w:w="80" w:type="dxa"/>
              <w:left w:w="120" w:type="dxa"/>
              <w:right w:w="120" w:type="dxa"/>
            </w:tcMar>
          </w:tcPr>
          <w:p>
            <w:r>
              <w:rPr>
                <w:rFonts w:ascii="Calibri" w:hAnsi="Calibri"/>
                <w:color w:val="1E293B"/>
                <w:sz w:val="18"/>
              </w:rPr>
              <w:t>Passenger CSAT Rating</w:t>
            </w:r>
          </w:p>
        </w:tc>
        <w:tc>
          <w:tcPr>
            <w:tcW w:type="dxa" w:w="1728"/>
            <w:shd w:fill="FFFFFF"/>
            <w:tcMar>
              <w:top w:w="80" w:type="dxa"/>
              <w:bottom w:w="80" w:type="dxa"/>
              <w:left w:w="120" w:type="dxa"/>
              <w:right w:w="120" w:type="dxa"/>
            </w:tcMar>
          </w:tcPr>
          <w:p>
            <w:r>
              <w:rPr>
                <w:rFonts w:ascii="Calibri" w:hAnsi="Calibri"/>
                <w:color w:val="1E293B"/>
                <w:sz w:val="18"/>
              </w:rPr>
              <w:t>&gt; 4.2 / 5.0 rating</w:t>
            </w:r>
          </w:p>
        </w:tc>
        <w:tc>
          <w:tcPr>
            <w:tcW w:type="dxa" w:w="3600"/>
            <w:shd w:fill="FFFFFF"/>
            <w:tcMar>
              <w:top w:w="80" w:type="dxa"/>
              <w:bottom w:w="80" w:type="dxa"/>
              <w:left w:w="120" w:type="dxa"/>
              <w:right w:w="120" w:type="dxa"/>
            </w:tcMar>
          </w:tcPr>
          <w:p>
            <w:r>
              <w:rPr>
                <w:rFonts w:ascii="Calibri" w:hAnsi="Calibri"/>
                <w:color w:val="1E293B"/>
                <w:sz w:val="18"/>
              </w:rPr>
              <w:t>Voluntary single-click post-resolution rating in the web interface.</w:t>
            </w:r>
          </w:p>
        </w:tc>
        <w:tc>
          <w:tcPr>
            <w:tcW w:type="dxa" w:w="2405"/>
            <w:shd w:fill="FFFFFF"/>
            <w:tcMar>
              <w:top w:w="80" w:type="dxa"/>
              <w:bottom w:w="80" w:type="dxa"/>
              <w:left w:w="120" w:type="dxa"/>
              <w:right w:w="120" w:type="dxa"/>
            </w:tcMar>
          </w:tcPr>
          <w:p>
            <w:r>
              <w:rPr>
                <w:rFonts w:ascii="Calibri" w:hAnsi="Calibri"/>
                <w:color w:val="1E293B"/>
                <w:sz w:val="18"/>
              </w:rPr>
              <w:t>Joint Review Committee</w:t>
            </w:r>
          </w:p>
        </w:tc>
      </w:tr>
    </w:tbl>
    <w:p>
      <w:pPr>
        <w:spacing w:before="0" w:after="80"/>
      </w:pPr>
    </w:p>
    <w:p>
      <w:pPr>
        <w:keepNext/>
        <w:spacing w:before="240" w:after="80"/>
      </w:pPr>
      <w:r>
        <w:rPr>
          <w:rFonts w:ascii="Calibri" w:hAnsi="Calibri"/>
          <w:b/>
          <w:color w:val="134074"/>
          <w:sz w:val="26"/>
        </w:rPr>
        <w:t>13.1 Baseline Measurement Methodology</w:t>
      </w:r>
    </w:p>
    <w:p>
      <w:pPr>
        <w:spacing w:before="0" w:after="100" w:line="276" w:lineRule="auto"/>
      </w:pPr>
      <w:r>
        <w:rPr>
          <w:rFonts w:ascii="Calibri" w:hAnsi="Calibri"/>
          <w:color w:val="1E293B"/>
          <w:sz w:val="22"/>
        </w:rPr>
        <w:t>To guarantee rigorous scientific measurement, the pilot protocol requires establishing a 30-day historical baseline of helpdesk ticket volumes, payment inquiry frequencies, and average case resolution times in the designated pilot division prior to enabling RailSahayak. Deflection rates and satisfaction metrics will be benchmarked directly against this empirical baseline.</w:t>
      </w:r>
    </w:p>
    <w:p>
      <w:pPr>
        <w:keepNext/>
        <w:spacing w:before="320" w:after="120"/>
      </w:pPr>
      <w:r>
        <w:rPr>
          <w:rFonts w:ascii="Calibri" w:hAnsi="Calibri"/>
          <w:b/>
          <w:color w:val="0B2545"/>
          <w:sz w:val="32"/>
        </w:rPr>
        <w:t>14. Risk Register</w:t>
      </w:r>
    </w:p>
    <w:p>
      <w:pPr>
        <w:spacing w:before="0" w:after="100" w:line="276" w:lineRule="auto"/>
      </w:pPr>
      <w:r>
        <w:rPr>
          <w:rFonts w:ascii="Calibri" w:hAnsi="Calibri"/>
          <w:color w:val="1E293B"/>
          <w:sz w:val="22"/>
        </w:rPr>
        <w:t>A thorough risk assessment has been conducted across technical, operational, and institutional dimensions: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c>
          <w:tcPr>
            <w:tcW w:type="dxa" w:w="2016"/>
            <w:shd w:fill="0B2545"/>
            <w:tcMar>
              <w:top w:w="100" w:type="dxa"/>
              <w:bottom w:w="100" w:type="dxa"/>
              <w:left w:w="120" w:type="dxa"/>
              <w:right w:w="120" w:type="dxa"/>
            </w:tcMar>
          </w:tcPr>
          <w:p>
            <w:pPr>
              <w:jc w:val="left"/>
            </w:pPr>
            <w:r>
              <w:rPr>
                <w:rFonts w:ascii="Calibri" w:hAnsi="Calibri"/>
                <w:b/>
                <w:color w:val="FFFFFF"/>
                <w:sz w:val="19"/>
              </w:rPr>
              <w:t>Risk Item &amp; Description</w:t>
            </w:r>
          </w:p>
        </w:tc>
        <w:tc>
          <w:tcPr>
            <w:tcW w:type="dxa" w:w="1584"/>
            <w:shd w:fill="0B2545"/>
            <w:tcMar>
              <w:top w:w="100" w:type="dxa"/>
              <w:bottom w:w="100" w:type="dxa"/>
              <w:left w:w="120" w:type="dxa"/>
              <w:right w:w="120" w:type="dxa"/>
            </w:tcMar>
          </w:tcPr>
          <w:p>
            <w:pPr>
              <w:jc w:val="left"/>
            </w:pPr>
            <w:r>
              <w:rPr>
                <w:rFonts w:ascii="Calibri" w:hAnsi="Calibri"/>
                <w:b/>
                <w:color w:val="FFFFFF"/>
                <w:sz w:val="19"/>
              </w:rPr>
              <w:t>Severity / Likelihood</w:t>
            </w:r>
          </w:p>
        </w:tc>
        <w:tc>
          <w:tcPr>
            <w:tcW w:type="dxa" w:w="3168"/>
            <w:shd w:fill="0B2545"/>
            <w:tcMar>
              <w:top w:w="100" w:type="dxa"/>
              <w:bottom w:w="100" w:type="dxa"/>
              <w:left w:w="120" w:type="dxa"/>
              <w:right w:w="120" w:type="dxa"/>
            </w:tcMar>
          </w:tcPr>
          <w:p>
            <w:pPr>
              <w:jc w:val="left"/>
            </w:pPr>
            <w:r>
              <w:rPr>
                <w:rFonts w:ascii="Calibri" w:hAnsi="Calibri"/>
                <w:b/>
                <w:color w:val="FFFFFF"/>
                <w:sz w:val="19"/>
              </w:rPr>
              <w:t>Mitigation Strategy</w:t>
            </w:r>
          </w:p>
        </w:tc>
        <w:tc>
          <w:tcPr>
            <w:tcW w:type="dxa" w:w="1440"/>
            <w:shd w:fill="0B2545"/>
            <w:tcMar>
              <w:top w:w="100" w:type="dxa"/>
              <w:bottom w:w="100" w:type="dxa"/>
              <w:left w:w="120" w:type="dxa"/>
              <w:right w:w="120" w:type="dxa"/>
            </w:tcMar>
          </w:tcPr>
          <w:p>
            <w:pPr>
              <w:jc w:val="left"/>
            </w:pPr>
            <w:r>
              <w:rPr>
                <w:rFonts w:ascii="Calibri" w:hAnsi="Calibri"/>
                <w:b/>
                <w:color w:val="FFFFFF"/>
                <w:sz w:val="19"/>
              </w:rPr>
              <w:t>Responsible Owner</w:t>
            </w:r>
          </w:p>
        </w:tc>
        <w:tc>
          <w:tcPr>
            <w:tcW w:type="dxa" w:w="1541"/>
            <w:shd w:fill="0B2545"/>
            <w:tcMar>
              <w:top w:w="100" w:type="dxa"/>
              <w:bottom w:w="100" w:type="dxa"/>
              <w:left w:w="120" w:type="dxa"/>
              <w:right w:w="120" w:type="dxa"/>
            </w:tcMar>
          </w:tcPr>
          <w:p>
            <w:pPr>
              <w:jc w:val="left"/>
            </w:pPr>
            <w:r>
              <w:rPr>
                <w:rFonts w:ascii="Calibri" w:hAnsi="Calibri"/>
                <w:b/>
                <w:color w:val="FFFFFF"/>
                <w:sz w:val="19"/>
              </w:rPr>
              <w:t>Institutional Dependency</w:t>
            </w:r>
          </w:p>
        </w:tc>
      </w:tr>
      <w:tr>
        <w:tc>
          <w:tcPr>
            <w:tcW w:type="dxa" w:w="2016"/>
            <w:shd w:fill="FFFFFF"/>
            <w:tcMar>
              <w:top w:w="80" w:type="dxa"/>
              <w:bottom w:w="80" w:type="dxa"/>
              <w:left w:w="120" w:type="dxa"/>
              <w:right w:w="120" w:type="dxa"/>
            </w:tcMar>
          </w:tcPr>
          <w:p>
            <w:r>
              <w:rPr>
                <w:rFonts w:ascii="Calibri" w:hAnsi="Calibri"/>
                <w:color w:val="1E293B"/>
                <w:sz w:val="18"/>
              </w:rPr>
              <w:t>Sample Data Misinterpretation</w:t>
              <w:br/>
              <w:t>Passengers mistake sample train schedules for live PRS availability.</w:t>
            </w:r>
          </w:p>
        </w:tc>
        <w:tc>
          <w:tcPr>
            <w:tcW w:type="dxa" w:w="1584"/>
            <w:shd w:fill="FFFFFF"/>
            <w:tcMar>
              <w:top w:w="80" w:type="dxa"/>
              <w:bottom w:w="80" w:type="dxa"/>
              <w:left w:w="120" w:type="dxa"/>
              <w:right w:w="120" w:type="dxa"/>
            </w:tcMar>
          </w:tcPr>
          <w:p>
            <w:r>
              <w:rPr>
                <w:rFonts w:ascii="Calibri" w:hAnsi="Calibri"/>
                <w:color w:val="1E293B"/>
                <w:sz w:val="18"/>
              </w:rPr>
              <w:t>High Severity</w:t>
              <w:br/>
              <w:t>Low Likelihood</w:t>
            </w:r>
          </w:p>
        </w:tc>
        <w:tc>
          <w:tcPr>
            <w:tcW w:type="dxa" w:w="3168"/>
            <w:shd w:fill="FFFFFF"/>
            <w:tcMar>
              <w:top w:w="80" w:type="dxa"/>
              <w:bottom w:w="80" w:type="dxa"/>
              <w:left w:w="120" w:type="dxa"/>
              <w:right w:w="120" w:type="dxa"/>
            </w:tcMar>
          </w:tcPr>
          <w:p>
            <w:r>
              <w:rPr>
                <w:rFonts w:ascii="Calibri" w:hAnsi="Calibri"/>
                <w:color w:val="1E293B"/>
                <w:sz w:val="18"/>
              </w:rPr>
              <w:t>Prominent visual badges ('SAMPLE DEMO DATA') on all cards; direct links to IRCTC for live booking.</w:t>
            </w:r>
          </w:p>
        </w:tc>
        <w:tc>
          <w:tcPr>
            <w:tcW w:type="dxa" w:w="1440"/>
            <w:shd w:fill="FFFFFF"/>
            <w:tcMar>
              <w:top w:w="80" w:type="dxa"/>
              <w:bottom w:w="80" w:type="dxa"/>
              <w:left w:w="120" w:type="dxa"/>
              <w:right w:w="120" w:type="dxa"/>
            </w:tcMar>
          </w:tcPr>
          <w:p>
            <w:r>
              <w:rPr>
                <w:rFonts w:ascii="Calibri" w:hAnsi="Calibri"/>
                <w:color w:val="1E293B"/>
                <w:sz w:val="18"/>
              </w:rPr>
              <w:t>Frontend Lead</w:t>
            </w:r>
          </w:p>
        </w:tc>
        <w:tc>
          <w:tcPr>
            <w:tcW w:type="dxa" w:w="1541"/>
            <w:shd w:fill="FFFFFF"/>
            <w:tcMar>
              <w:top w:w="80" w:type="dxa"/>
              <w:bottom w:w="80" w:type="dxa"/>
              <w:left w:w="120" w:type="dxa"/>
              <w:right w:w="120" w:type="dxa"/>
            </w:tcMar>
          </w:tcPr>
          <w:p>
            <w:r>
              <w:rPr>
                <w:rFonts w:ascii="Calibri" w:hAnsi="Calibri"/>
                <w:color w:val="1E293B"/>
                <w:sz w:val="18"/>
              </w:rPr>
              <w:t>IRCTC Booking Portal</w:t>
            </w:r>
          </w:p>
        </w:tc>
      </w:tr>
      <w:tr>
        <w:tc>
          <w:tcPr>
            <w:tcW w:type="dxa" w:w="2016"/>
            <w:shd w:fill="F8FAFC"/>
            <w:tcMar>
              <w:top w:w="80" w:type="dxa"/>
              <w:bottom w:w="80" w:type="dxa"/>
              <w:left w:w="120" w:type="dxa"/>
              <w:right w:w="120" w:type="dxa"/>
            </w:tcMar>
          </w:tcPr>
          <w:p>
            <w:r>
              <w:rPr>
                <w:rFonts w:ascii="Calibri" w:hAnsi="Calibri"/>
                <w:color w:val="1E293B"/>
                <w:sz w:val="18"/>
              </w:rPr>
              <w:t>Gateway Timeout Volatility</w:t>
              <w:br/>
              <w:t>Extreme traffic during Tatkal windows causes upstream gateway timeouts.</w:t>
            </w:r>
          </w:p>
        </w:tc>
        <w:tc>
          <w:tcPr>
            <w:tcW w:type="dxa" w:w="1584"/>
            <w:shd w:fill="F8FAFC"/>
            <w:tcMar>
              <w:top w:w="80" w:type="dxa"/>
              <w:bottom w:w="80" w:type="dxa"/>
              <w:left w:w="120" w:type="dxa"/>
              <w:right w:w="120" w:type="dxa"/>
            </w:tcMar>
          </w:tcPr>
          <w:p>
            <w:r>
              <w:rPr>
                <w:rFonts w:ascii="Calibri" w:hAnsi="Calibri"/>
                <w:color w:val="1E293B"/>
                <w:sz w:val="18"/>
              </w:rPr>
              <w:t>Medium Severity</w:t>
              <w:br/>
              <w:t>Medium Likelihood</w:t>
            </w:r>
          </w:p>
        </w:tc>
        <w:tc>
          <w:tcPr>
            <w:tcW w:type="dxa" w:w="3168"/>
            <w:shd w:fill="F8FAFC"/>
            <w:tcMar>
              <w:top w:w="80" w:type="dxa"/>
              <w:bottom w:w="80" w:type="dxa"/>
              <w:left w:w="120" w:type="dxa"/>
              <w:right w:w="120" w:type="dxa"/>
            </w:tcMar>
          </w:tcPr>
          <w:p>
            <w:r>
              <w:rPr>
                <w:rFonts w:ascii="Calibri" w:hAnsi="Calibri"/>
                <w:color w:val="1E293B"/>
                <w:sz w:val="18"/>
              </w:rPr>
              <w:t>Circuit breaker pattern (Resilience4j); graceful fallback to offline regulatory guidance checklists.</w:t>
            </w:r>
          </w:p>
        </w:tc>
        <w:tc>
          <w:tcPr>
            <w:tcW w:type="dxa" w:w="1440"/>
            <w:shd w:fill="F8FAFC"/>
            <w:tcMar>
              <w:top w:w="80" w:type="dxa"/>
              <w:bottom w:w="80" w:type="dxa"/>
              <w:left w:w="120" w:type="dxa"/>
              <w:right w:w="120" w:type="dxa"/>
            </w:tcMar>
          </w:tcPr>
          <w:p>
            <w:r>
              <w:rPr>
                <w:rFonts w:ascii="Calibri" w:hAnsi="Calibri"/>
                <w:color w:val="1E293B"/>
                <w:sz w:val="18"/>
              </w:rPr>
              <w:t>Backend Lead</w:t>
            </w:r>
          </w:p>
        </w:tc>
        <w:tc>
          <w:tcPr>
            <w:tcW w:type="dxa" w:w="1541"/>
            <w:shd w:fill="F8FAFC"/>
            <w:tcMar>
              <w:top w:w="80" w:type="dxa"/>
              <w:bottom w:w="80" w:type="dxa"/>
              <w:left w:w="120" w:type="dxa"/>
              <w:right w:w="120" w:type="dxa"/>
            </w:tcMar>
          </w:tcPr>
          <w:p>
            <w:r>
              <w:rPr>
                <w:rFonts w:ascii="Calibri" w:hAnsi="Calibri"/>
                <w:color w:val="1E293B"/>
                <w:sz w:val="18"/>
              </w:rPr>
              <w:t>CRIS / Bank Gateways</w:t>
            </w:r>
          </w:p>
        </w:tc>
      </w:tr>
      <w:tr>
        <w:tc>
          <w:tcPr>
            <w:tcW w:type="dxa" w:w="2016"/>
            <w:shd w:fill="FFFFFF"/>
            <w:tcMar>
              <w:top w:w="80" w:type="dxa"/>
              <w:bottom w:w="80" w:type="dxa"/>
              <w:left w:w="120" w:type="dxa"/>
              <w:right w:w="120" w:type="dxa"/>
            </w:tcMar>
          </w:tcPr>
          <w:p>
            <w:r>
              <w:rPr>
                <w:rFonts w:ascii="Calibri" w:hAnsi="Calibri"/>
                <w:color w:val="1E293B"/>
                <w:sz w:val="18"/>
              </w:rPr>
              <w:t>Scraping / Distributed Denial of Service</w:t>
              <w:br/>
              <w:t>Malicious actors attempt to scrape PNR rules or flood support cases.</w:t>
            </w:r>
          </w:p>
        </w:tc>
        <w:tc>
          <w:tcPr>
            <w:tcW w:type="dxa" w:w="1584"/>
            <w:shd w:fill="FFFFFF"/>
            <w:tcMar>
              <w:top w:w="80" w:type="dxa"/>
              <w:bottom w:w="80" w:type="dxa"/>
              <w:left w:w="120" w:type="dxa"/>
              <w:right w:w="120" w:type="dxa"/>
            </w:tcMar>
          </w:tcPr>
          <w:p>
            <w:r>
              <w:rPr>
                <w:rFonts w:ascii="Calibri" w:hAnsi="Calibri"/>
                <w:color w:val="1E293B"/>
                <w:sz w:val="18"/>
              </w:rPr>
              <w:t>High Severity</w:t>
              <w:br/>
              <w:t>Low Likelihood</w:t>
            </w:r>
          </w:p>
        </w:tc>
        <w:tc>
          <w:tcPr>
            <w:tcW w:type="dxa" w:w="3168"/>
            <w:shd w:fill="FFFFFF"/>
            <w:tcMar>
              <w:top w:w="80" w:type="dxa"/>
              <w:bottom w:w="80" w:type="dxa"/>
              <w:left w:w="120" w:type="dxa"/>
              <w:right w:w="120" w:type="dxa"/>
            </w:tcMar>
          </w:tcPr>
          <w:p>
            <w:r>
              <w:rPr>
                <w:rFonts w:ascii="Calibri" w:hAnsi="Calibri"/>
                <w:color w:val="1E293B"/>
                <w:sz w:val="18"/>
              </w:rPr>
              <w:t>Sliding-window rate limiter (300 req/min/IP); CAPTCHA integration; Cloudflare WAF integration.</w:t>
            </w:r>
          </w:p>
        </w:tc>
        <w:tc>
          <w:tcPr>
            <w:tcW w:type="dxa" w:w="1440"/>
            <w:shd w:fill="FFFFFF"/>
            <w:tcMar>
              <w:top w:w="80" w:type="dxa"/>
              <w:bottom w:w="80" w:type="dxa"/>
              <w:left w:w="120" w:type="dxa"/>
              <w:right w:w="120" w:type="dxa"/>
            </w:tcMar>
          </w:tcPr>
          <w:p>
            <w:r>
              <w:rPr>
                <w:rFonts w:ascii="Calibri" w:hAnsi="Calibri"/>
                <w:color w:val="1E293B"/>
                <w:sz w:val="18"/>
              </w:rPr>
              <w:t>Security Lead</w:t>
            </w:r>
          </w:p>
        </w:tc>
        <w:tc>
          <w:tcPr>
            <w:tcW w:type="dxa" w:w="1541"/>
            <w:shd w:fill="FFFFFF"/>
            <w:tcMar>
              <w:top w:w="80" w:type="dxa"/>
              <w:bottom w:w="80" w:type="dxa"/>
              <w:left w:w="120" w:type="dxa"/>
              <w:right w:w="120" w:type="dxa"/>
            </w:tcMar>
          </w:tcPr>
          <w:p>
            <w:r>
              <w:rPr>
                <w:rFonts w:ascii="Calibri" w:hAnsi="Calibri"/>
                <w:color w:val="1E293B"/>
                <w:sz w:val="18"/>
              </w:rPr>
              <w:t>Cloudflare / CDN Ingress</w:t>
            </w:r>
          </w:p>
        </w:tc>
      </w:tr>
      <w:tr>
        <w:tc>
          <w:tcPr>
            <w:tcW w:type="dxa" w:w="2016"/>
            <w:shd w:fill="F8FAFC"/>
            <w:tcMar>
              <w:top w:w="80" w:type="dxa"/>
              <w:bottom w:w="80" w:type="dxa"/>
              <w:left w:w="120" w:type="dxa"/>
              <w:right w:w="120" w:type="dxa"/>
            </w:tcMar>
          </w:tcPr>
          <w:p>
            <w:r>
              <w:rPr>
                <w:rFonts w:ascii="Calibri" w:hAnsi="Calibri"/>
                <w:color w:val="1E293B"/>
                <w:sz w:val="18"/>
              </w:rPr>
              <w:t>Credential Stuffing on Admin Console</w:t>
              <w:br/>
              <w:t>Unauthorized attempts to access administrative case management.</w:t>
            </w:r>
          </w:p>
        </w:tc>
        <w:tc>
          <w:tcPr>
            <w:tcW w:type="dxa" w:w="1584"/>
            <w:shd w:fill="F8FAFC"/>
            <w:tcMar>
              <w:top w:w="80" w:type="dxa"/>
              <w:bottom w:w="80" w:type="dxa"/>
              <w:left w:w="120" w:type="dxa"/>
              <w:right w:w="120" w:type="dxa"/>
            </w:tcMar>
          </w:tcPr>
          <w:p>
            <w:r>
              <w:rPr>
                <w:rFonts w:ascii="Calibri" w:hAnsi="Calibri"/>
                <w:color w:val="1E293B"/>
                <w:sz w:val="18"/>
              </w:rPr>
              <w:t>Critical Severity</w:t>
              <w:br/>
              <w:t>Low Likelihood</w:t>
            </w:r>
          </w:p>
        </w:tc>
        <w:tc>
          <w:tcPr>
            <w:tcW w:type="dxa" w:w="3168"/>
            <w:shd w:fill="F8FAFC"/>
            <w:tcMar>
              <w:top w:w="80" w:type="dxa"/>
              <w:bottom w:w="80" w:type="dxa"/>
              <w:left w:w="120" w:type="dxa"/>
              <w:right w:w="120" w:type="dxa"/>
            </w:tcMar>
          </w:tcPr>
          <w:p>
            <w:r>
              <w:rPr>
                <w:rFonts w:ascii="Calibri" w:hAnsi="Calibri"/>
                <w:color w:val="1E293B"/>
                <w:sz w:val="18"/>
              </w:rPr>
              <w:t>Strict role validation; IP-whitelisting for admin portal; TOTP MFA; failed login throttling.</w:t>
            </w:r>
          </w:p>
        </w:tc>
        <w:tc>
          <w:tcPr>
            <w:tcW w:type="dxa" w:w="1440"/>
            <w:shd w:fill="F8FAFC"/>
            <w:tcMar>
              <w:top w:w="80" w:type="dxa"/>
              <w:bottom w:w="80" w:type="dxa"/>
              <w:left w:w="120" w:type="dxa"/>
              <w:right w:w="120" w:type="dxa"/>
            </w:tcMar>
          </w:tcPr>
          <w:p>
            <w:r>
              <w:rPr>
                <w:rFonts w:ascii="Calibri" w:hAnsi="Calibri"/>
                <w:color w:val="1E293B"/>
                <w:sz w:val="18"/>
              </w:rPr>
              <w:t>Security Lead</w:t>
            </w:r>
          </w:p>
        </w:tc>
        <w:tc>
          <w:tcPr>
            <w:tcW w:type="dxa" w:w="1541"/>
            <w:shd w:fill="F8FAFC"/>
            <w:tcMar>
              <w:top w:w="80" w:type="dxa"/>
              <w:bottom w:w="80" w:type="dxa"/>
              <w:left w:w="120" w:type="dxa"/>
              <w:right w:w="120" w:type="dxa"/>
            </w:tcMar>
          </w:tcPr>
          <w:p>
            <w:r>
              <w:rPr>
                <w:rFonts w:ascii="Calibri" w:hAnsi="Calibri"/>
                <w:color w:val="1E293B"/>
                <w:sz w:val="18"/>
              </w:rPr>
              <w:t>Enterprise IAM / SSO</w:t>
            </w:r>
          </w:p>
        </w:tc>
      </w:tr>
      <w:tr>
        <w:tc>
          <w:tcPr>
            <w:tcW w:type="dxa" w:w="2016"/>
            <w:shd w:fill="FFFFFF"/>
            <w:tcMar>
              <w:top w:w="80" w:type="dxa"/>
              <w:bottom w:w="80" w:type="dxa"/>
              <w:left w:w="120" w:type="dxa"/>
              <w:right w:w="120" w:type="dxa"/>
            </w:tcMar>
          </w:tcPr>
          <w:p>
            <w:r>
              <w:rPr>
                <w:rFonts w:ascii="Calibri" w:hAnsi="Calibri"/>
                <w:color w:val="1E293B"/>
                <w:sz w:val="18"/>
              </w:rPr>
              <w:t>Regulatory Misalignment</w:t>
              <w:br/>
              <w:t>Indian Railways updates commercial rules without platform synchronization.</w:t>
            </w:r>
          </w:p>
        </w:tc>
        <w:tc>
          <w:tcPr>
            <w:tcW w:type="dxa" w:w="1584"/>
            <w:shd w:fill="FFFFFF"/>
            <w:tcMar>
              <w:top w:w="80" w:type="dxa"/>
              <w:bottom w:w="80" w:type="dxa"/>
              <w:left w:w="120" w:type="dxa"/>
              <w:right w:w="120" w:type="dxa"/>
            </w:tcMar>
          </w:tcPr>
          <w:p>
            <w:r>
              <w:rPr>
                <w:rFonts w:ascii="Calibri" w:hAnsi="Calibri"/>
                <w:color w:val="1E293B"/>
                <w:sz w:val="18"/>
              </w:rPr>
              <w:t>Medium Severity</w:t>
              <w:br/>
              <w:t>Low Likelihood</w:t>
            </w:r>
          </w:p>
        </w:tc>
        <w:tc>
          <w:tcPr>
            <w:tcW w:type="dxa" w:w="3168"/>
            <w:shd w:fill="FFFFFF"/>
            <w:tcMar>
              <w:top w:w="80" w:type="dxa"/>
              <w:bottom w:w="80" w:type="dxa"/>
              <w:left w:w="120" w:type="dxa"/>
              <w:right w:w="120" w:type="dxa"/>
            </w:tcMar>
          </w:tcPr>
          <w:p>
            <w:r>
              <w:rPr>
                <w:rFonts w:ascii="Calibri" w:hAnsi="Calibri"/>
                <w:color w:val="1E293B"/>
                <w:sz w:val="18"/>
              </w:rPr>
              <w:t>Regulatory rule engine externalized to versioned configuration; quarterly audit by railway liaison.</w:t>
            </w:r>
          </w:p>
        </w:tc>
        <w:tc>
          <w:tcPr>
            <w:tcW w:type="dxa" w:w="1440"/>
            <w:shd w:fill="FFFFFF"/>
            <w:tcMar>
              <w:top w:w="80" w:type="dxa"/>
              <w:bottom w:w="80" w:type="dxa"/>
              <w:left w:w="120" w:type="dxa"/>
              <w:right w:w="120" w:type="dxa"/>
            </w:tcMar>
          </w:tcPr>
          <w:p>
            <w:r>
              <w:rPr>
                <w:rFonts w:ascii="Calibri" w:hAnsi="Calibri"/>
                <w:color w:val="1E293B"/>
                <w:sz w:val="18"/>
              </w:rPr>
              <w:t>Liaison Officer</w:t>
            </w:r>
          </w:p>
        </w:tc>
        <w:tc>
          <w:tcPr>
            <w:tcW w:type="dxa" w:w="1541"/>
            <w:shd w:fill="FFFFFF"/>
            <w:tcMar>
              <w:top w:w="80" w:type="dxa"/>
              <w:bottom w:w="80" w:type="dxa"/>
              <w:left w:w="120" w:type="dxa"/>
              <w:right w:w="120" w:type="dxa"/>
            </w:tcMar>
          </w:tcPr>
          <w:p>
            <w:r>
              <w:rPr>
                <w:rFonts w:ascii="Calibri" w:hAnsi="Calibri"/>
                <w:color w:val="1E293B"/>
                <w:sz w:val="18"/>
              </w:rPr>
              <w:t>Ministry of Railways Circulars</w:t>
            </w:r>
          </w:p>
        </w:tc>
      </w:tr>
      <w:tr>
        <w:tc>
          <w:tcPr>
            <w:tcW w:type="dxa" w:w="2016"/>
            <w:shd w:fill="F8FAFC"/>
            <w:tcMar>
              <w:top w:w="80" w:type="dxa"/>
              <w:bottom w:w="80" w:type="dxa"/>
              <w:left w:w="120" w:type="dxa"/>
              <w:right w:w="120" w:type="dxa"/>
            </w:tcMar>
          </w:tcPr>
          <w:p>
            <w:r>
              <w:rPr>
                <w:rFonts w:ascii="Calibri" w:hAnsi="Calibri"/>
                <w:color w:val="1E293B"/>
                <w:sz w:val="18"/>
              </w:rPr>
              <w:t>Premature Bank Disputes</w:t>
              <w:br/>
              <w:t>Passengers file chargebacks before standard T+5 settlement window expires.</w:t>
            </w:r>
          </w:p>
        </w:tc>
        <w:tc>
          <w:tcPr>
            <w:tcW w:type="dxa" w:w="1584"/>
            <w:shd w:fill="F8FAFC"/>
            <w:tcMar>
              <w:top w:w="80" w:type="dxa"/>
              <w:bottom w:w="80" w:type="dxa"/>
              <w:left w:w="120" w:type="dxa"/>
              <w:right w:w="120" w:type="dxa"/>
            </w:tcMar>
          </w:tcPr>
          <w:p>
            <w:r>
              <w:rPr>
                <w:rFonts w:ascii="Calibri" w:hAnsi="Calibri"/>
                <w:color w:val="1E293B"/>
                <w:sz w:val="18"/>
              </w:rPr>
              <w:t>Medium Severity</w:t>
              <w:br/>
              <w:t>Medium Likelihood</w:t>
            </w:r>
          </w:p>
        </w:tc>
        <w:tc>
          <w:tcPr>
            <w:tcW w:type="dxa" w:w="3168"/>
            <w:shd w:fill="F8FAFC"/>
            <w:tcMar>
              <w:top w:w="80" w:type="dxa"/>
              <w:bottom w:w="80" w:type="dxa"/>
              <w:left w:w="120" w:type="dxa"/>
              <w:right w:w="120" w:type="dxa"/>
            </w:tcMar>
          </w:tcPr>
          <w:p>
            <w:r>
              <w:rPr>
                <w:rFonts w:ascii="Calibri" w:hAnsi="Calibri"/>
                <w:color w:val="1E293B"/>
                <w:sz w:val="18"/>
              </w:rPr>
              <w:t>Clear explanation of RBI TAT framework; countdown timer showing expected auto-reversal window.</w:t>
            </w:r>
          </w:p>
        </w:tc>
        <w:tc>
          <w:tcPr>
            <w:tcW w:type="dxa" w:w="1440"/>
            <w:shd w:fill="F8FAFC"/>
            <w:tcMar>
              <w:top w:w="80" w:type="dxa"/>
              <w:bottom w:w="80" w:type="dxa"/>
              <w:left w:w="120" w:type="dxa"/>
              <w:right w:w="120" w:type="dxa"/>
            </w:tcMar>
          </w:tcPr>
          <w:p>
            <w:r>
              <w:rPr>
                <w:rFonts w:ascii="Calibri" w:hAnsi="Calibri"/>
                <w:color w:val="1E293B"/>
                <w:sz w:val="18"/>
              </w:rPr>
              <w:t>UX Lead</w:t>
            </w:r>
          </w:p>
        </w:tc>
        <w:tc>
          <w:tcPr>
            <w:tcW w:type="dxa" w:w="1541"/>
            <w:shd w:fill="F8FAFC"/>
            <w:tcMar>
              <w:top w:w="80" w:type="dxa"/>
              <w:bottom w:w="80" w:type="dxa"/>
              <w:left w:w="120" w:type="dxa"/>
              <w:right w:w="120" w:type="dxa"/>
            </w:tcMar>
          </w:tcPr>
          <w:p>
            <w:r>
              <w:rPr>
                <w:rFonts w:ascii="Calibri" w:hAnsi="Calibri"/>
                <w:color w:val="1E293B"/>
                <w:sz w:val="18"/>
              </w:rPr>
              <w:t>RBI Banking Guidelines</w:t>
            </w:r>
          </w:p>
        </w:tc>
      </w:tr>
    </w:tbl>
    <w:p>
      <w:pPr>
        <w:spacing w:before="0" w:after="80"/>
      </w:pPr>
    </w:p>
    <w:p>
      <w:pPr>
        <w:keepNext/>
        <w:spacing w:before="320" w:after="120"/>
      </w:pPr>
      <w:r>
        <w:rPr>
          <w:rFonts w:ascii="Calibri" w:hAnsi="Calibri"/>
          <w:b/>
          <w:color w:val="0B2545"/>
          <w:sz w:val="32"/>
        </w:rPr>
        <w:t>15. Implementation Roadmap and Estimated Workstreams</w:t>
      </w:r>
    </w:p>
    <w:p>
      <w:pPr>
        <w:spacing w:before="0" w:after="100" w:line="276" w:lineRule="auto"/>
      </w:pPr>
      <w:r>
        <w:rPr>
          <w:rFonts w:ascii="Calibri" w:hAnsi="Calibri"/>
          <w:color w:val="1E293B"/>
          <w:sz w:val="22"/>
        </w:rPr>
        <w:t>The transition from the current verified prototype to a nationwide enterprise service is organized across five parallel workstreams over a 24-week timeline: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1872"/>
            <w:shd w:fill="0B2545"/>
            <w:tcMar>
              <w:top w:w="100" w:type="dxa"/>
              <w:bottom w:w="100" w:type="dxa"/>
              <w:left w:w="120" w:type="dxa"/>
              <w:right w:w="120" w:type="dxa"/>
            </w:tcMar>
          </w:tcPr>
          <w:p>
            <w:pPr>
              <w:jc w:val="left"/>
            </w:pPr>
            <w:r>
              <w:rPr>
                <w:rFonts w:ascii="Calibri" w:hAnsi="Calibri"/>
                <w:b/>
                <w:color w:val="FFFFFF"/>
                <w:sz w:val="19"/>
              </w:rPr>
              <w:t>Workstream</w:t>
            </w:r>
          </w:p>
        </w:tc>
        <w:tc>
          <w:tcPr>
            <w:tcW w:type="dxa" w:w="3600"/>
            <w:shd w:fill="0B2545"/>
            <w:tcMar>
              <w:top w:w="100" w:type="dxa"/>
              <w:bottom w:w="100" w:type="dxa"/>
              <w:left w:w="120" w:type="dxa"/>
              <w:right w:w="120" w:type="dxa"/>
            </w:tcMar>
          </w:tcPr>
          <w:p>
            <w:pPr>
              <w:jc w:val="left"/>
            </w:pPr>
            <w:r>
              <w:rPr>
                <w:rFonts w:ascii="Calibri" w:hAnsi="Calibri"/>
                <w:b/>
                <w:color w:val="FFFFFF"/>
                <w:sz w:val="19"/>
              </w:rPr>
              <w:t>Scope &amp; Technical Objectives</w:t>
            </w:r>
          </w:p>
        </w:tc>
        <w:tc>
          <w:tcPr>
            <w:tcW w:type="dxa" w:w="1584"/>
            <w:shd w:fill="0B2545"/>
            <w:tcMar>
              <w:top w:w="100" w:type="dxa"/>
              <w:bottom w:w="100" w:type="dxa"/>
              <w:left w:w="120" w:type="dxa"/>
              <w:right w:w="120" w:type="dxa"/>
            </w:tcMar>
          </w:tcPr>
          <w:p>
            <w:pPr>
              <w:jc w:val="left"/>
            </w:pPr>
            <w:r>
              <w:rPr>
                <w:rFonts w:ascii="Calibri" w:hAnsi="Calibri"/>
                <w:b/>
                <w:color w:val="FFFFFF"/>
                <w:sz w:val="19"/>
              </w:rPr>
              <w:t>Target Timeline</w:t>
            </w:r>
          </w:p>
        </w:tc>
        <w:tc>
          <w:tcPr>
            <w:tcW w:type="dxa" w:w="2693"/>
            <w:shd w:fill="0B2545"/>
            <w:tcMar>
              <w:top w:w="100" w:type="dxa"/>
              <w:bottom w:w="100" w:type="dxa"/>
              <w:left w:w="120" w:type="dxa"/>
              <w:right w:w="120" w:type="dxa"/>
            </w:tcMar>
          </w:tcPr>
          <w:p>
            <w:pPr>
              <w:jc w:val="left"/>
            </w:pPr>
            <w:r>
              <w:rPr>
                <w:rFonts w:ascii="Calibri" w:hAnsi="Calibri"/>
                <w:b/>
                <w:color w:val="FFFFFF"/>
                <w:sz w:val="19"/>
              </w:rPr>
              <w:t>Key Deliverables</w:t>
            </w:r>
          </w:p>
        </w:tc>
      </w:tr>
      <w:tr>
        <w:tc>
          <w:tcPr>
            <w:tcW w:type="dxa" w:w="1872"/>
            <w:shd w:fill="FFFFFF"/>
            <w:tcMar>
              <w:top w:w="80" w:type="dxa"/>
              <w:bottom w:w="80" w:type="dxa"/>
              <w:left w:w="120" w:type="dxa"/>
              <w:right w:w="120" w:type="dxa"/>
            </w:tcMar>
          </w:tcPr>
          <w:p>
            <w:r>
              <w:rPr>
                <w:rFonts w:ascii="Calibri" w:hAnsi="Calibri"/>
                <w:color w:val="1E293B"/>
                <w:sz w:val="18"/>
              </w:rPr>
              <w:t>Workstream A:</w:t>
              <w:br/>
              <w:t>Security &amp; Infrastructure</w:t>
            </w:r>
          </w:p>
        </w:tc>
        <w:tc>
          <w:tcPr>
            <w:tcW w:type="dxa" w:w="3600"/>
            <w:shd w:fill="FFFFFF"/>
            <w:tcMar>
              <w:top w:w="80" w:type="dxa"/>
              <w:bottom w:w="80" w:type="dxa"/>
              <w:left w:w="120" w:type="dxa"/>
              <w:right w:w="120" w:type="dxa"/>
            </w:tcMar>
          </w:tcPr>
          <w:p>
            <w:r>
              <w:rPr>
                <w:rFonts w:ascii="Calibri" w:hAnsi="Calibri"/>
                <w:color w:val="1E293B"/>
                <w:sz w:val="18"/>
              </w:rPr>
              <w:t>Migrate to distributed Redis rate limiting; deploy NGINX TLS 1.3 ingress; complete CERT-In VAPT audit.</w:t>
            </w:r>
          </w:p>
        </w:tc>
        <w:tc>
          <w:tcPr>
            <w:tcW w:type="dxa" w:w="1584"/>
            <w:shd w:fill="FFFFFF"/>
            <w:tcMar>
              <w:top w:w="80" w:type="dxa"/>
              <w:bottom w:w="80" w:type="dxa"/>
              <w:left w:w="120" w:type="dxa"/>
              <w:right w:w="120" w:type="dxa"/>
            </w:tcMar>
          </w:tcPr>
          <w:p>
            <w:r>
              <w:rPr>
                <w:rFonts w:ascii="Calibri" w:hAnsi="Calibri"/>
                <w:color w:val="1E293B"/>
                <w:sz w:val="18"/>
              </w:rPr>
              <w:t>Weeks 1 – 6</w:t>
            </w:r>
          </w:p>
        </w:tc>
        <w:tc>
          <w:tcPr>
            <w:tcW w:type="dxa" w:w="2693"/>
            <w:shd w:fill="FFFFFF"/>
            <w:tcMar>
              <w:top w:w="80" w:type="dxa"/>
              <w:bottom w:w="80" w:type="dxa"/>
              <w:left w:w="120" w:type="dxa"/>
              <w:right w:w="120" w:type="dxa"/>
            </w:tcMar>
          </w:tcPr>
          <w:p>
            <w:r>
              <w:rPr>
                <w:rFonts w:ascii="Calibri" w:hAnsi="Calibri"/>
                <w:color w:val="1E293B"/>
                <w:sz w:val="18"/>
              </w:rPr>
              <w:t>VAPT Compliance Certificate;</w:t>
              <w:br/>
              <w:t>High-Availability Cluster Configuration.</w:t>
            </w:r>
          </w:p>
        </w:tc>
      </w:tr>
      <w:tr>
        <w:tc>
          <w:tcPr>
            <w:tcW w:type="dxa" w:w="1872"/>
            <w:shd w:fill="F8FAFC"/>
            <w:tcMar>
              <w:top w:w="80" w:type="dxa"/>
              <w:bottom w:w="80" w:type="dxa"/>
              <w:left w:w="120" w:type="dxa"/>
              <w:right w:w="120" w:type="dxa"/>
            </w:tcMar>
          </w:tcPr>
          <w:p>
            <w:r>
              <w:rPr>
                <w:rFonts w:ascii="Calibri" w:hAnsi="Calibri"/>
                <w:color w:val="1E293B"/>
                <w:sz w:val="18"/>
              </w:rPr>
              <w:t>Workstream B:</w:t>
              <w:br/>
              <w:t>Railway Gateways</w:t>
            </w:r>
          </w:p>
        </w:tc>
        <w:tc>
          <w:tcPr>
            <w:tcW w:type="dxa" w:w="3600"/>
            <w:shd w:fill="F8FAFC"/>
            <w:tcMar>
              <w:top w:w="80" w:type="dxa"/>
              <w:bottom w:w="80" w:type="dxa"/>
              <w:left w:w="120" w:type="dxa"/>
              <w:right w:w="120" w:type="dxa"/>
            </w:tcMar>
          </w:tcPr>
          <w:p>
            <w:r>
              <w:rPr>
                <w:rFonts w:ascii="Calibri" w:hAnsi="Calibri"/>
                <w:color w:val="1E293B"/>
                <w:sz w:val="18"/>
              </w:rPr>
              <w:t>Implement mTLS client adapters for CRIS staging testbeds; configure RailMadad webhook bridge.</w:t>
            </w:r>
          </w:p>
        </w:tc>
        <w:tc>
          <w:tcPr>
            <w:tcW w:type="dxa" w:w="1584"/>
            <w:shd w:fill="F8FAFC"/>
            <w:tcMar>
              <w:top w:w="80" w:type="dxa"/>
              <w:bottom w:w="80" w:type="dxa"/>
              <w:left w:w="120" w:type="dxa"/>
              <w:right w:w="120" w:type="dxa"/>
            </w:tcMar>
          </w:tcPr>
          <w:p>
            <w:r>
              <w:rPr>
                <w:rFonts w:ascii="Calibri" w:hAnsi="Calibri"/>
                <w:color w:val="1E293B"/>
                <w:sz w:val="18"/>
              </w:rPr>
              <w:t>Weeks 3 – 10</w:t>
            </w:r>
          </w:p>
        </w:tc>
        <w:tc>
          <w:tcPr>
            <w:tcW w:type="dxa" w:w="2693"/>
            <w:shd w:fill="F8FAFC"/>
            <w:tcMar>
              <w:top w:w="80" w:type="dxa"/>
              <w:bottom w:w="80" w:type="dxa"/>
              <w:left w:w="120" w:type="dxa"/>
              <w:right w:w="120" w:type="dxa"/>
            </w:tcMar>
          </w:tcPr>
          <w:p>
            <w:r>
              <w:rPr>
                <w:rFonts w:ascii="Calibri" w:hAnsi="Calibri"/>
                <w:color w:val="1E293B"/>
                <w:sz w:val="18"/>
              </w:rPr>
              <w:t>Tested CRIS PRS Adapter;</w:t>
              <w:br/>
              <w:t>Bidirectional RailMadad Webhook.</w:t>
            </w:r>
          </w:p>
        </w:tc>
      </w:tr>
      <w:tr>
        <w:tc>
          <w:tcPr>
            <w:tcW w:type="dxa" w:w="1872"/>
            <w:shd w:fill="FFFFFF"/>
            <w:tcMar>
              <w:top w:w="80" w:type="dxa"/>
              <w:bottom w:w="80" w:type="dxa"/>
              <w:left w:w="120" w:type="dxa"/>
              <w:right w:w="120" w:type="dxa"/>
            </w:tcMar>
          </w:tcPr>
          <w:p>
            <w:r>
              <w:rPr>
                <w:rFonts w:ascii="Calibri" w:hAnsi="Calibri"/>
                <w:color w:val="1E293B"/>
                <w:sz w:val="18"/>
              </w:rPr>
              <w:t>Workstream C:</w:t>
              <w:br/>
              <w:t>UX &amp; Multilingual</w:t>
            </w:r>
          </w:p>
        </w:tc>
        <w:tc>
          <w:tcPr>
            <w:tcW w:type="dxa" w:w="3600"/>
            <w:shd w:fill="FFFFFF"/>
            <w:tcMar>
              <w:top w:w="80" w:type="dxa"/>
              <w:bottom w:w="80" w:type="dxa"/>
              <w:left w:w="120" w:type="dxa"/>
              <w:right w:w="120" w:type="dxa"/>
            </w:tcMar>
          </w:tcPr>
          <w:p>
            <w:r>
              <w:rPr>
                <w:rFonts w:ascii="Calibri" w:hAnsi="Calibri"/>
                <w:color w:val="1E293B"/>
                <w:sz w:val="18"/>
              </w:rPr>
              <w:t>Expand bilingual interface to 10 Indian languages (Tamil, Telugu, Bengali, Marathi, etc.); WCAG 2.1 AA a11y.</w:t>
            </w:r>
          </w:p>
        </w:tc>
        <w:tc>
          <w:tcPr>
            <w:tcW w:type="dxa" w:w="1584"/>
            <w:shd w:fill="FFFFFF"/>
            <w:tcMar>
              <w:top w:w="80" w:type="dxa"/>
              <w:bottom w:w="80" w:type="dxa"/>
              <w:left w:w="120" w:type="dxa"/>
              <w:right w:w="120" w:type="dxa"/>
            </w:tcMar>
          </w:tcPr>
          <w:p>
            <w:r>
              <w:rPr>
                <w:rFonts w:ascii="Calibri" w:hAnsi="Calibri"/>
                <w:color w:val="1E293B"/>
                <w:sz w:val="18"/>
              </w:rPr>
              <w:t>Weeks 6 – 14</w:t>
            </w:r>
          </w:p>
        </w:tc>
        <w:tc>
          <w:tcPr>
            <w:tcW w:type="dxa" w:w="2693"/>
            <w:shd w:fill="FFFFFF"/>
            <w:tcMar>
              <w:top w:w="80" w:type="dxa"/>
              <w:bottom w:w="80" w:type="dxa"/>
              <w:left w:w="120" w:type="dxa"/>
              <w:right w:w="120" w:type="dxa"/>
            </w:tcMar>
          </w:tcPr>
          <w:p>
            <w:r>
              <w:rPr>
                <w:rFonts w:ascii="Calibri" w:hAnsi="Calibri"/>
                <w:color w:val="1E293B"/>
                <w:sz w:val="18"/>
              </w:rPr>
              <w:t>10-Language Localization Pack;</w:t>
              <w:br/>
              <w:t>A11y Compliance Report.</w:t>
            </w:r>
          </w:p>
        </w:tc>
      </w:tr>
      <w:tr>
        <w:tc>
          <w:tcPr>
            <w:tcW w:type="dxa" w:w="1872"/>
            <w:shd w:fill="F8FAFC"/>
            <w:tcMar>
              <w:top w:w="80" w:type="dxa"/>
              <w:bottom w:w="80" w:type="dxa"/>
              <w:left w:w="120" w:type="dxa"/>
              <w:right w:w="120" w:type="dxa"/>
            </w:tcMar>
          </w:tcPr>
          <w:p>
            <w:r>
              <w:rPr>
                <w:rFonts w:ascii="Calibri" w:hAnsi="Calibri"/>
                <w:color w:val="1E293B"/>
                <w:sz w:val="18"/>
              </w:rPr>
              <w:t>Workstream D:</w:t>
              <w:br/>
              <w:t>Observability &amp; DR</w:t>
            </w:r>
          </w:p>
        </w:tc>
        <w:tc>
          <w:tcPr>
            <w:tcW w:type="dxa" w:w="3600"/>
            <w:shd w:fill="F8FAFC"/>
            <w:tcMar>
              <w:top w:w="80" w:type="dxa"/>
              <w:bottom w:w="80" w:type="dxa"/>
              <w:left w:w="120" w:type="dxa"/>
              <w:right w:w="120" w:type="dxa"/>
            </w:tcMar>
          </w:tcPr>
          <w:p>
            <w:r>
              <w:rPr>
                <w:rFonts w:ascii="Calibri" w:hAnsi="Calibri"/>
                <w:color w:val="1E293B"/>
                <w:sz w:val="18"/>
              </w:rPr>
              <w:t>Deploy Prometheus/Grafana dashboards; automate PostgreSQL Patroni failover; test 60s rollback.</w:t>
            </w:r>
          </w:p>
        </w:tc>
        <w:tc>
          <w:tcPr>
            <w:tcW w:type="dxa" w:w="1584"/>
            <w:shd w:fill="F8FAFC"/>
            <w:tcMar>
              <w:top w:w="80" w:type="dxa"/>
              <w:bottom w:w="80" w:type="dxa"/>
              <w:left w:w="120" w:type="dxa"/>
              <w:right w:w="120" w:type="dxa"/>
            </w:tcMar>
          </w:tcPr>
          <w:p>
            <w:r>
              <w:rPr>
                <w:rFonts w:ascii="Calibri" w:hAnsi="Calibri"/>
                <w:color w:val="1E293B"/>
                <w:sz w:val="18"/>
              </w:rPr>
              <w:t>Weeks 8 – 16</w:t>
            </w:r>
          </w:p>
        </w:tc>
        <w:tc>
          <w:tcPr>
            <w:tcW w:type="dxa" w:w="2693"/>
            <w:shd w:fill="F8FAFC"/>
            <w:tcMar>
              <w:top w:w="80" w:type="dxa"/>
              <w:bottom w:w="80" w:type="dxa"/>
              <w:left w:w="120" w:type="dxa"/>
              <w:right w:w="120" w:type="dxa"/>
            </w:tcMar>
          </w:tcPr>
          <w:p>
            <w:r>
              <w:rPr>
                <w:rFonts w:ascii="Calibri" w:hAnsi="Calibri"/>
                <w:color w:val="1E293B"/>
                <w:sz w:val="18"/>
              </w:rPr>
              <w:t>Enterprise Monitoring Dashboard;</w:t>
              <w:br/>
              <w:t>Validated Disaster Recovery Runbooks.</w:t>
            </w:r>
          </w:p>
        </w:tc>
      </w:tr>
      <w:tr>
        <w:tc>
          <w:tcPr>
            <w:tcW w:type="dxa" w:w="1872"/>
            <w:shd w:fill="FFFFFF"/>
            <w:tcMar>
              <w:top w:w="80" w:type="dxa"/>
              <w:bottom w:w="80" w:type="dxa"/>
              <w:left w:w="120" w:type="dxa"/>
              <w:right w:w="120" w:type="dxa"/>
            </w:tcMar>
          </w:tcPr>
          <w:p>
            <w:r>
              <w:rPr>
                <w:rFonts w:ascii="Calibri" w:hAnsi="Calibri"/>
                <w:color w:val="1E293B"/>
                <w:sz w:val="18"/>
              </w:rPr>
              <w:t>Workstream E:</w:t>
              <w:br/>
              <w:t>Governance &amp; Review</w:t>
            </w:r>
          </w:p>
        </w:tc>
        <w:tc>
          <w:tcPr>
            <w:tcW w:type="dxa" w:w="3600"/>
            <w:shd w:fill="FFFFFF"/>
            <w:tcMar>
              <w:top w:w="80" w:type="dxa"/>
              <w:bottom w:w="80" w:type="dxa"/>
              <w:left w:w="120" w:type="dxa"/>
              <w:right w:w="120" w:type="dxa"/>
            </w:tcMar>
          </w:tcPr>
          <w:p>
            <w:r>
              <w:rPr>
                <w:rFonts w:ascii="Calibri" w:hAnsi="Calibri"/>
                <w:color w:val="1E293B"/>
                <w:sz w:val="18"/>
              </w:rPr>
              <w:t>Establish baseline metrics; conduct weekly stakeholder reviews; draft final Railway Board evaluation pack.</w:t>
            </w:r>
          </w:p>
        </w:tc>
        <w:tc>
          <w:tcPr>
            <w:tcW w:type="dxa" w:w="1584"/>
            <w:shd w:fill="FFFFFF"/>
            <w:tcMar>
              <w:top w:w="80" w:type="dxa"/>
              <w:bottom w:w="80" w:type="dxa"/>
              <w:left w:w="120" w:type="dxa"/>
              <w:right w:w="120" w:type="dxa"/>
            </w:tcMar>
          </w:tcPr>
          <w:p>
            <w:r>
              <w:rPr>
                <w:rFonts w:ascii="Calibri" w:hAnsi="Calibri"/>
                <w:color w:val="1E293B"/>
                <w:sz w:val="18"/>
              </w:rPr>
              <w:t>Weeks 12 – 24</w:t>
            </w:r>
          </w:p>
        </w:tc>
        <w:tc>
          <w:tcPr>
            <w:tcW w:type="dxa" w:w="2693"/>
            <w:shd w:fill="FFFFFF"/>
            <w:tcMar>
              <w:top w:w="80" w:type="dxa"/>
              <w:bottom w:w="80" w:type="dxa"/>
              <w:left w:w="120" w:type="dxa"/>
              <w:right w:w="120" w:type="dxa"/>
            </w:tcMar>
          </w:tcPr>
          <w:p>
            <w:r>
              <w:rPr>
                <w:rFonts w:ascii="Calibri" w:hAnsi="Calibri"/>
                <w:color w:val="1E293B"/>
                <w:sz w:val="18"/>
              </w:rPr>
              <w:t>Pilot KPI Evaluation Report;</w:t>
              <w:br/>
              <w:t>Nationwide Rollout Charter.</w:t>
            </w:r>
          </w:p>
        </w:tc>
      </w:tr>
    </w:tbl>
    <w:p>
      <w:pPr>
        <w:spacing w:before="0" w:after="80"/>
      </w:pPr>
    </w:p>
    <w:p>
      <w:pPr>
        <w:keepNext/>
        <w:spacing w:before="320" w:after="120"/>
      </w:pPr>
      <w:r>
        <w:rPr>
          <w:rFonts w:ascii="Calibri" w:hAnsi="Calibri"/>
          <w:b/>
          <w:color w:val="0B2545"/>
          <w:sz w:val="32"/>
        </w:rPr>
        <w:t>16. Operational Readiness, Incident Response, Backup and 60-Second Rollback</w:t>
      </w:r>
    </w:p>
    <w:p>
      <w:pPr>
        <w:spacing w:before="0" w:after="100" w:line="276" w:lineRule="auto"/>
      </w:pPr>
      <w:r>
        <w:rPr>
          <w:rFonts w:ascii="Calibri" w:hAnsi="Calibri"/>
          <w:color w:val="1E293B"/>
          <w:sz w:val="22"/>
        </w:rPr>
        <w:t>Enterprise reliability demands rigorous incident management, automated disaster recovery, and instantaneous rollback capability:</w:t>
      </w:r>
    </w:p>
    <w:p>
      <w:pPr>
        <w:keepNext/>
        <w:spacing w:before="240" w:after="80"/>
      </w:pPr>
      <w:r>
        <w:rPr>
          <w:rFonts w:ascii="Calibri" w:hAnsi="Calibri"/>
          <w:b/>
          <w:color w:val="134074"/>
          <w:sz w:val="26"/>
        </w:rPr>
        <w:t>16.1 Incident Response Protocol</w:t>
      </w:r>
    </w:p>
    <w:p>
      <w:pPr>
        <w:spacing w:before="0" w:after="100" w:line="276" w:lineRule="auto"/>
      </w:pPr>
      <w:r>
        <w:rPr>
          <w:rFonts w:ascii="Calibri" w:hAnsi="Calibri"/>
          <w:color w:val="1E293B"/>
          <w:sz w:val="22"/>
        </w:rPr>
        <w:t>Incidents are classified into three severity tiers: P1 (Critical - Service unavailable or rate limiter failure, target Mean Time to Detect &lt; 2 mins, Mean Time to Mitigate &lt; 15 mins); P2 (Major - Partial feature degradation, MTTD &lt; 5 mins, MTTM &lt; 30 mins); and P3 (Minor - Cosmetic or informational defect, resolved in regular sprint cycle). Alerts are triggered automatically via Prometheus metrics and routed to on-call engineers.</w:t>
      </w:r>
    </w:p>
    <w:p>
      <w:pPr>
        <w:keepNext/>
        <w:spacing w:before="240" w:after="80"/>
      </w:pPr>
      <w:r>
        <w:rPr>
          <w:rFonts w:ascii="Calibri" w:hAnsi="Calibri"/>
          <w:b/>
          <w:color w:val="134074"/>
          <w:sz w:val="26"/>
        </w:rPr>
        <w:t>16.2 Backup &amp; Disaster Recovery Automation</w:t>
      </w:r>
    </w:p>
    <w:p>
      <w:pPr>
        <w:spacing w:before="0" w:after="100" w:line="276" w:lineRule="auto"/>
      </w:pPr>
      <w:r>
        <w:rPr>
          <w:rFonts w:ascii="Calibri" w:hAnsi="Calibri"/>
          <w:color w:val="1E293B"/>
          <w:sz w:val="22"/>
        </w:rPr>
        <w:t>PostgreSQL disaster recovery is automated via PowerShell and Bash scripts in the repository: (1) scripts/backup-db.ps1 executes automated pg_dump with custom compression, generating MD5 checksums and enforcing a 30-day retention policy; (2) scripts/restore-db.ps1 provides an idempotent restoration mechanism verified in sandbox tests. The platform achieves a Recovery Point Objective (RPO) of &lt; 15 minutes and a Recovery Time Objective (RTO) of &lt; 5 minutes.</w:t>
      </w:r>
    </w:p>
    <w:p>
      <w:pPr>
        <w:keepNext/>
        <w:spacing w:before="240" w:after="80"/>
      </w:pPr>
      <w:r>
        <w:rPr>
          <w:rFonts w:ascii="Calibri" w:hAnsi="Calibri"/>
          <w:b/>
          <w:color w:val="134074"/>
          <w:sz w:val="26"/>
        </w:rPr>
        <w:t>16.3 The 60-Second Graceful Rollback Protocol</w:t>
      </w:r>
    </w:p>
    <w:tbl>
      <w:tblPr>
        <w:tblW w:type="auto" w:w="0"/>
        <w:jc w:val="center"/>
        <w:tblLayout w:type="fixed"/>
        <w:tblLook w:firstColumn="1" w:firstRow="1" w:lastColumn="0" w:lastRow="0" w:noHBand="0" w:noVBand="1" w:val="04A0"/>
      </w:tblPr>
      <w:tblGrid>
        <w:gridCol w:w="9749"/>
      </w:tblGrid>
      <w:tr>
        <w:tc>
          <w:tcPr>
            <w:tcW w:type="dxa" w:w="9749"/>
            <w:shd w:fill="FDF2F2"/>
            <w:tcMar>
              <w:top w:w="120" w:type="dxa"/>
              <w:bottom w:w="120" w:type="dxa"/>
              <w:left w:w="180" w:type="dxa"/>
              <w:right w:w="140" w:type="dxa"/>
            </w:tcMar>
            <w:tcBorders>
              <w:left w:val="single" w:sz="24" w:space="0" w:color="A31D1D"/>
              <w:top w:val="none"/>
              <w:right w:val="none"/>
              <w:bottom w:val="none"/>
            </w:tcBorders>
          </w:tcPr>
          <w:p>
            <w:pPr>
              <w:spacing w:before="40" w:after="40" w:line="276" w:lineRule="auto"/>
            </w:pPr>
            <w:r>
              <w:rPr>
                <w:rFonts w:ascii="Calibri" w:hAnsi="Calibri"/>
                <w:b/>
                <w:color w:val="0B2545"/>
                <w:sz w:val="21"/>
              </w:rPr>
              <w:t>ENTERPRISE GRACEFUL ROLLBACK GUARANTEE (&lt; 60 SECONDS)</w:t>
              <w:br/>
            </w:r>
            <w:r>
              <w:rPr>
                <w:rFonts w:ascii="Calibri" w:hAnsi="Calibri"/>
                <w:color w:val="A31D1D"/>
                <w:sz w:val="20"/>
              </w:rPr>
              <w:t>THE 60-SECOND ROLLBACK PROTOCOL: RailSahayak is architected as an autonomous edge service. In the event of an unforeseen system defect, security anomaly, or if the pilot HTTP 5xx error rate exceeds 0.5%, railway operators can execute a complete rollback within 60 seconds. Because RailSahayak sits behind a decoupled reverse proxy, shifting incoming passenger traffic back to standard static help pages requires only a single DNS or reverse proxy configuration switch. Zero data is lost: all existing support cases, audit logs, and diagnostic records remain securely persisted in PostgreSQL for forensic review.</w:t>
            </w:r>
          </w:p>
        </w:tc>
      </w:tr>
    </w:tbl>
    <w:p>
      <w:pPr>
        <w:spacing w:before="0" w:after="80"/>
      </w:pPr>
    </w:p>
    <w:p>
      <w:pPr>
        <w:keepNext/>
        <w:spacing w:before="320" w:after="120"/>
      </w:pPr>
      <w:r>
        <w:rPr>
          <w:rFonts w:ascii="Calibri" w:hAnsi="Calibri"/>
          <w:b/>
          <w:color w:val="0B2545"/>
          <w:sz w:val="32"/>
        </w:rPr>
        <w:t>17. Assumptions, Dependencies and Limitations</w:t>
      </w:r>
    </w:p>
    <w:p>
      <w:pPr>
        <w:spacing w:before="0" w:after="100" w:line="276" w:lineRule="auto"/>
      </w:pPr>
      <w:r>
        <w:rPr>
          <w:rFonts w:ascii="Calibri" w:hAnsi="Calibri"/>
          <w:color w:val="1E293B"/>
          <w:sz w:val="22"/>
        </w:rPr>
        <w:t>To establish clear institutional expectations, all operational assumptions and dependencies are documented:</w:t>
      </w:r>
    </w:p>
    <w:p>
      <w:pPr>
        <w:pStyle w:val="ListBullet"/>
        <w:spacing w:before="20" w:after="60" w:line="276" w:lineRule="auto"/>
      </w:pPr>
      <w:r>
        <w:rPr>
          <w:rFonts w:ascii="Calibri" w:hAnsi="Calibri"/>
          <w:b/>
          <w:color w:val="0B2545"/>
          <w:sz w:val="21"/>
        </w:rPr>
        <w:t xml:space="preserve">Key Operational Assumptions: </w:t>
      </w:r>
      <w:r>
        <w:rPr>
          <w:rFonts w:ascii="Calibri" w:hAnsi="Calibri"/>
          <w:color w:val="1E293B"/>
          <w:sz w:val="21"/>
        </w:rPr>
        <w:t>Assumes passengers possess web-enabled smartphones or workstations with standard modern browsers (Chrome, Edge, Firefox, Safari); assumes railway authority willingness to designate a single division for sandboxed testing.</w:t>
      </w:r>
    </w:p>
    <w:p>
      <w:pPr>
        <w:pStyle w:val="ListBullet"/>
        <w:spacing w:before="20" w:after="60" w:line="276" w:lineRule="auto"/>
      </w:pPr>
      <w:r>
        <w:rPr>
          <w:rFonts w:ascii="Calibri" w:hAnsi="Calibri"/>
          <w:b/>
          <w:color w:val="0B2545"/>
          <w:sz w:val="21"/>
        </w:rPr>
        <w:t xml:space="preserve">External Dependencies: </w:t>
      </w:r>
      <w:r>
        <w:rPr>
          <w:rFonts w:ascii="Calibri" w:hAnsi="Calibri"/>
          <w:color w:val="1E293B"/>
          <w:sz w:val="21"/>
        </w:rPr>
        <w:t>Technical progression is contingent upon CRIS granting read-only staging API credentials and IRCTC granting permission to display advisory links on select help tabs.</w:t>
      </w:r>
    </w:p>
    <w:p>
      <w:pPr>
        <w:pStyle w:val="ListBullet"/>
        <w:spacing w:before="20" w:after="60" w:line="276" w:lineRule="auto"/>
      </w:pPr>
      <w:r>
        <w:rPr>
          <w:rFonts w:ascii="Calibri" w:hAnsi="Calibri"/>
          <w:b/>
          <w:color w:val="0B2545"/>
          <w:sz w:val="21"/>
        </w:rPr>
        <w:t xml:space="preserve">Current Prototype Limitations: </w:t>
      </w:r>
      <w:r>
        <w:rPr>
          <w:rFonts w:ascii="Calibri" w:hAnsi="Calibri"/>
          <w:color w:val="1E293B"/>
          <w:sz w:val="21"/>
        </w:rPr>
        <w:t>Current prototype uses in-memory demo credentials (requiring migration to Argon2id/SSO) and a single-node in-memory rate limiter (requiring migration to Redis cluster). Operates with offline curated schedules and heuristic PNR zone mapping pending official API integration.</w:t>
      </w:r>
    </w:p>
    <w:p>
      <w:pPr>
        <w:keepNext/>
        <w:spacing w:before="320" w:after="120"/>
      </w:pPr>
      <w:r>
        <w:rPr>
          <w:rFonts w:ascii="Calibri" w:hAnsi="Calibri"/>
          <w:b/>
          <w:color w:val="0B2545"/>
          <w:sz w:val="32"/>
        </w:rPr>
        <w:t>18. Specific Stakeholder Requests and Next Steps</w:t>
      </w:r>
    </w:p>
    <w:p>
      <w:pPr>
        <w:spacing w:before="0" w:after="100" w:line="276" w:lineRule="auto"/>
      </w:pPr>
      <w:r>
        <w:rPr>
          <w:rFonts w:ascii="Calibri" w:hAnsi="Calibri"/>
          <w:color w:val="1E293B"/>
          <w:sz w:val="22"/>
        </w:rPr>
        <w:t>The RailSahayak engineering team respectfully submits the following specific, actionable requests to railway leadership:</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50"/>
        <w:gridCol w:w="3250"/>
        <w:gridCol w:w="3250"/>
      </w:tblGrid>
      <w:tr>
        <w:tc>
          <w:tcPr>
            <w:tcW w:type="dxa" w:w="2160"/>
            <w:shd w:fill="0B2545"/>
            <w:tcMar>
              <w:top w:w="100" w:type="dxa"/>
              <w:bottom w:w="100" w:type="dxa"/>
              <w:left w:w="120" w:type="dxa"/>
              <w:right w:w="120" w:type="dxa"/>
            </w:tcMar>
          </w:tcPr>
          <w:p>
            <w:pPr>
              <w:jc w:val="left"/>
            </w:pPr>
            <w:r>
              <w:rPr>
                <w:rFonts w:ascii="Calibri" w:hAnsi="Calibri"/>
                <w:b/>
                <w:color w:val="FFFFFF"/>
                <w:sz w:val="19"/>
              </w:rPr>
              <w:t>Request Area</w:t>
            </w:r>
          </w:p>
        </w:tc>
        <w:tc>
          <w:tcPr>
            <w:tcW w:type="dxa" w:w="5184"/>
            <w:shd w:fill="0B2545"/>
            <w:tcMar>
              <w:top w:w="100" w:type="dxa"/>
              <w:bottom w:w="100" w:type="dxa"/>
              <w:left w:w="120" w:type="dxa"/>
              <w:right w:w="120" w:type="dxa"/>
            </w:tcMar>
          </w:tcPr>
          <w:p>
            <w:pPr>
              <w:jc w:val="left"/>
            </w:pPr>
            <w:r>
              <w:rPr>
                <w:rFonts w:ascii="Calibri" w:hAnsi="Calibri"/>
                <w:b/>
                <w:color w:val="FFFFFF"/>
                <w:sz w:val="19"/>
              </w:rPr>
              <w:t>Action Requested from Railway Stakeholders</w:t>
            </w:r>
          </w:p>
        </w:tc>
        <w:tc>
          <w:tcPr>
            <w:tcW w:type="dxa" w:w="2405"/>
            <w:shd w:fill="0B2545"/>
            <w:tcMar>
              <w:top w:w="100" w:type="dxa"/>
              <w:bottom w:w="100" w:type="dxa"/>
              <w:left w:w="120" w:type="dxa"/>
              <w:right w:w="120" w:type="dxa"/>
            </w:tcMar>
          </w:tcPr>
          <w:p>
            <w:pPr>
              <w:jc w:val="left"/>
            </w:pPr>
            <w:r>
              <w:rPr>
                <w:rFonts w:ascii="Calibri" w:hAnsi="Calibri"/>
                <w:b/>
                <w:color w:val="FFFFFF"/>
                <w:sz w:val="19"/>
              </w:rPr>
              <w:t>Collaborating Railway Body</w:t>
            </w:r>
          </w:p>
        </w:tc>
      </w:tr>
      <w:tr>
        <w:tc>
          <w:tcPr>
            <w:tcW w:type="dxa" w:w="2160"/>
            <w:shd w:fill="FFFFFF"/>
            <w:tcMar>
              <w:top w:w="80" w:type="dxa"/>
              <w:bottom w:w="80" w:type="dxa"/>
              <w:left w:w="120" w:type="dxa"/>
              <w:right w:w="120" w:type="dxa"/>
            </w:tcMar>
          </w:tcPr>
          <w:p>
            <w:r>
              <w:rPr>
                <w:rFonts w:ascii="Calibri" w:hAnsi="Calibri"/>
                <w:color w:val="1E293B"/>
                <w:sz w:val="18"/>
              </w:rPr>
              <w:t>1. Technical Architecture Review</w:t>
            </w:r>
          </w:p>
        </w:tc>
        <w:tc>
          <w:tcPr>
            <w:tcW w:type="dxa" w:w="5184"/>
            <w:shd w:fill="FFFFFF"/>
            <w:tcMar>
              <w:top w:w="80" w:type="dxa"/>
              <w:bottom w:w="80" w:type="dxa"/>
              <w:left w:w="120" w:type="dxa"/>
              <w:right w:w="120" w:type="dxa"/>
            </w:tcMar>
          </w:tcPr>
          <w:p>
            <w:r>
              <w:rPr>
                <w:rFonts w:ascii="Calibri" w:hAnsi="Calibri"/>
                <w:color w:val="1E293B"/>
                <w:sz w:val="18"/>
              </w:rPr>
              <w:t>Convene a joint technical session with CRIS and IRCTC software architects to review RailSahayak's security controls, rate limiting, and audit trail architecture.</w:t>
            </w:r>
          </w:p>
        </w:tc>
        <w:tc>
          <w:tcPr>
            <w:tcW w:type="dxa" w:w="2405"/>
            <w:shd w:fill="FFFFFF"/>
            <w:tcMar>
              <w:top w:w="80" w:type="dxa"/>
              <w:bottom w:w="80" w:type="dxa"/>
              <w:left w:w="120" w:type="dxa"/>
              <w:right w:w="120" w:type="dxa"/>
            </w:tcMar>
          </w:tcPr>
          <w:p>
            <w:r>
              <w:rPr>
                <w:rFonts w:ascii="Calibri" w:hAnsi="Calibri"/>
                <w:color w:val="1E293B"/>
                <w:sz w:val="18"/>
              </w:rPr>
              <w:t>CRIS Architecture Directorate / IRCTC IT Group</w:t>
            </w:r>
          </w:p>
        </w:tc>
      </w:tr>
      <w:tr>
        <w:tc>
          <w:tcPr>
            <w:tcW w:type="dxa" w:w="2160"/>
            <w:shd w:fill="F8FAFC"/>
            <w:tcMar>
              <w:top w:w="80" w:type="dxa"/>
              <w:bottom w:w="80" w:type="dxa"/>
              <w:left w:w="120" w:type="dxa"/>
              <w:right w:w="120" w:type="dxa"/>
            </w:tcMar>
          </w:tcPr>
          <w:p>
            <w:r>
              <w:rPr>
                <w:rFonts w:ascii="Calibri" w:hAnsi="Calibri"/>
                <w:color w:val="1E293B"/>
                <w:sz w:val="18"/>
              </w:rPr>
              <w:t>2. Railway Standards Mentorship</w:t>
            </w:r>
          </w:p>
        </w:tc>
        <w:tc>
          <w:tcPr>
            <w:tcW w:type="dxa" w:w="5184"/>
            <w:shd w:fill="F8FAFC"/>
            <w:tcMar>
              <w:top w:w="80" w:type="dxa"/>
              <w:bottom w:w="80" w:type="dxa"/>
              <w:left w:w="120" w:type="dxa"/>
              <w:right w:w="120" w:type="dxa"/>
            </w:tcMar>
          </w:tcPr>
          <w:p>
            <w:r>
              <w:rPr>
                <w:rFonts w:ascii="Calibri" w:hAnsi="Calibri"/>
                <w:color w:val="1E293B"/>
                <w:sz w:val="18"/>
              </w:rPr>
              <w:t>Assign a railway operational advisor to provide guidance on standard API schemas, terminology harmonization, and passenger communication guidelines.</w:t>
            </w:r>
          </w:p>
        </w:tc>
        <w:tc>
          <w:tcPr>
            <w:tcW w:type="dxa" w:w="2405"/>
            <w:shd w:fill="F8FAFC"/>
            <w:tcMar>
              <w:top w:w="80" w:type="dxa"/>
              <w:bottom w:w="80" w:type="dxa"/>
              <w:left w:w="120" w:type="dxa"/>
              <w:right w:w="120" w:type="dxa"/>
            </w:tcMar>
          </w:tcPr>
          <w:p>
            <w:r>
              <w:rPr>
                <w:rFonts w:ascii="Calibri" w:hAnsi="Calibri"/>
                <w:color w:val="1E293B"/>
                <w:sz w:val="18"/>
              </w:rPr>
              <w:t>Ministry of Railways Commercial Directorate</w:t>
            </w:r>
          </w:p>
        </w:tc>
      </w:tr>
      <w:tr>
        <w:tc>
          <w:tcPr>
            <w:tcW w:type="dxa" w:w="2160"/>
            <w:shd w:fill="FFFFFF"/>
            <w:tcMar>
              <w:top w:w="80" w:type="dxa"/>
              <w:bottom w:w="80" w:type="dxa"/>
              <w:left w:w="120" w:type="dxa"/>
              <w:right w:w="120" w:type="dxa"/>
            </w:tcMar>
          </w:tcPr>
          <w:p>
            <w:r>
              <w:rPr>
                <w:rFonts w:ascii="Calibri" w:hAnsi="Calibri"/>
                <w:color w:val="1E293B"/>
                <w:sz w:val="18"/>
              </w:rPr>
              <w:t>3. Staging Sandbox Testbed Access</w:t>
            </w:r>
          </w:p>
        </w:tc>
        <w:tc>
          <w:tcPr>
            <w:tcW w:type="dxa" w:w="5184"/>
            <w:shd w:fill="FFFFFF"/>
            <w:tcMar>
              <w:top w:w="80" w:type="dxa"/>
              <w:bottom w:w="80" w:type="dxa"/>
              <w:left w:w="120" w:type="dxa"/>
              <w:right w:w="120" w:type="dxa"/>
            </w:tcMar>
          </w:tcPr>
          <w:p>
            <w:r>
              <w:rPr>
                <w:rFonts w:ascii="Calibri" w:hAnsi="Calibri"/>
                <w:color w:val="1E293B"/>
                <w:sz w:val="18"/>
              </w:rPr>
              <w:t>Grant eligibility and staging credentials to connect RailSahayak to non-production CRIS PRS and NTES testbeds for simulated integration testing.</w:t>
            </w:r>
          </w:p>
        </w:tc>
        <w:tc>
          <w:tcPr>
            <w:tcW w:type="dxa" w:w="2405"/>
            <w:shd w:fill="FFFFFF"/>
            <w:tcMar>
              <w:top w:w="80" w:type="dxa"/>
              <w:bottom w:w="80" w:type="dxa"/>
              <w:left w:w="120" w:type="dxa"/>
              <w:right w:w="120" w:type="dxa"/>
            </w:tcMar>
          </w:tcPr>
          <w:p>
            <w:r>
              <w:rPr>
                <w:rFonts w:ascii="Calibri" w:hAnsi="Calibri"/>
                <w:color w:val="1E293B"/>
                <w:sz w:val="18"/>
              </w:rPr>
              <w:t>CRIS Software Development Center</w:t>
            </w:r>
          </w:p>
        </w:tc>
      </w:tr>
      <w:tr>
        <w:tc>
          <w:tcPr>
            <w:tcW w:type="dxa" w:w="2160"/>
            <w:shd w:fill="F8FAFC"/>
            <w:tcMar>
              <w:top w:w="80" w:type="dxa"/>
              <w:bottom w:w="80" w:type="dxa"/>
              <w:left w:w="120" w:type="dxa"/>
              <w:right w:w="120" w:type="dxa"/>
            </w:tcMar>
          </w:tcPr>
          <w:p>
            <w:r>
              <w:rPr>
                <w:rFonts w:ascii="Calibri" w:hAnsi="Calibri"/>
                <w:color w:val="1E293B"/>
                <w:sz w:val="18"/>
              </w:rPr>
              <w:t>4. Controlled Pilot Feasibility</w:t>
            </w:r>
          </w:p>
        </w:tc>
        <w:tc>
          <w:tcPr>
            <w:tcW w:type="dxa" w:w="5184"/>
            <w:shd w:fill="F8FAFC"/>
            <w:tcMar>
              <w:top w:w="80" w:type="dxa"/>
              <w:bottom w:w="80" w:type="dxa"/>
              <w:left w:w="120" w:type="dxa"/>
              <w:right w:w="120" w:type="dxa"/>
            </w:tcMar>
          </w:tcPr>
          <w:p>
            <w:r>
              <w:rPr>
                <w:rFonts w:ascii="Calibri" w:hAnsi="Calibri"/>
                <w:color w:val="1E293B"/>
                <w:sz w:val="18"/>
              </w:rPr>
              <w:t>Initiate formal exploratory discussions to establish compliance criteria and governance parameters for a limited 16-week sandboxed zonal pilot.</w:t>
            </w:r>
          </w:p>
        </w:tc>
        <w:tc>
          <w:tcPr>
            <w:tcW w:type="dxa" w:w="2405"/>
            <w:shd w:fill="F8FAFC"/>
            <w:tcMar>
              <w:top w:w="80" w:type="dxa"/>
              <w:bottom w:w="80" w:type="dxa"/>
              <w:left w:w="120" w:type="dxa"/>
              <w:right w:w="120" w:type="dxa"/>
            </w:tcMar>
          </w:tcPr>
          <w:p>
            <w:r>
              <w:rPr>
                <w:rFonts w:ascii="Calibri" w:hAnsi="Calibri"/>
                <w:color w:val="1E293B"/>
                <w:sz w:val="18"/>
              </w:rPr>
              <w:t>Railway Board Innovation &amp; Technology Wing</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EEF4FB"/>
            <w:tcMar>
              <w:top w:w="120" w:type="dxa"/>
              <w:bottom w:w="120" w:type="dxa"/>
              <w:left w:w="180" w:type="dxa"/>
              <w:right w:w="140" w:type="dxa"/>
            </w:tcMar>
            <w:tcBorders>
              <w:left w:val="single" w:sz="24" w:space="0" w:color="1E5591"/>
              <w:top w:val="none"/>
              <w:right w:val="none"/>
              <w:bottom w:val="none"/>
            </w:tcBorders>
          </w:tcPr>
          <w:p>
            <w:pPr>
              <w:spacing w:before="40" w:after="40" w:line="276" w:lineRule="auto"/>
            </w:pPr>
            <w:r>
              <w:rPr>
                <w:rFonts w:ascii="Calibri" w:hAnsi="Calibri"/>
                <w:b/>
                <w:color w:val="0B2545"/>
                <w:sz w:val="21"/>
              </w:rPr>
              <w:t>EXPLORATORY COLLABORATION &amp; INDEPENDENT VALUE PROPOSITION</w:t>
              <w:br/>
            </w:r>
            <w:r>
              <w:rPr>
                <w:rFonts w:ascii="Calibri" w:hAnsi="Calibri"/>
                <w:color w:val="0B2545"/>
                <w:sz w:val="20"/>
              </w:rPr>
              <w:t>MANDATORY FALLBACK PROPOSAL CLAUSE:</w:t>
              <w:br/>
              <w:t>"If Indian Railways or IRCTC does not wish to replace or change its existing system, RailSahayak could still be evaluated as a complementary independent tool, subject to technical, legal and institutional review. Stakeholders may also advise on technical mentorship, skill-development opportunities, further development, or a possible handover arrangement."</w:t>
              <w:br/>
              <w:br/>
              <w:t>Note: Financial or employment support is presented solely as an open discussion possibility, not an entitlement or expected outcome.</w:t>
            </w:r>
          </w:p>
        </w:tc>
      </w:tr>
    </w:tbl>
    <w:p>
      <w:pPr>
        <w:spacing w:before="0" w:after="80"/>
      </w:pPr>
    </w:p>
    <w:p>
      <w:pPr>
        <w:spacing w:before="0" w:after="100" w:line="276" w:lineRule="auto"/>
      </w:pPr>
      <w:r>
        <w:rPr>
          <w:rFonts w:ascii="Calibri" w:hAnsi="Calibri"/>
          <w:color w:val="1E293B"/>
          <w:sz w:val="22"/>
        </w:rPr>
        <w:t>Immediate Next Steps: Upon receipt of stakeholder feedback, the engineering team is prepared to deliver a live technical demonstration of the running software on localhost:8081, inspect audit logs, and provide complete source code and test suite artifacts for inspection.</w:t>
      </w:r>
    </w:p>
    <w:p>
      <w:pPr>
        <w:keepNext/>
        <w:spacing w:before="320" w:after="120"/>
      </w:pPr>
      <w:r>
        <w:rPr>
          <w:rFonts w:ascii="Calibri" w:hAnsi="Calibri"/>
          <w:b/>
          <w:color w:val="0B2545"/>
          <w:sz w:val="32"/>
        </w:rPr>
        <w:t>19. Official Source Register</w:t>
      </w:r>
    </w:p>
    <w:p>
      <w:pPr>
        <w:spacing w:before="0" w:after="100" w:line="276" w:lineRule="auto"/>
      </w:pPr>
      <w:r>
        <w:rPr>
          <w:rFonts w:ascii="Calibri" w:hAnsi="Calibri"/>
          <w:color w:val="1E293B"/>
          <w:sz w:val="22"/>
        </w:rPr>
        <w:t>All regulatory statements, legal notices, and operational rules in RailSahayak are grounded in authoritative government and regulatory documentation: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2160"/>
            <w:shd w:fill="0B2545"/>
            <w:tcMar>
              <w:top w:w="100" w:type="dxa"/>
              <w:bottom w:w="100" w:type="dxa"/>
              <w:left w:w="120" w:type="dxa"/>
              <w:right w:w="120" w:type="dxa"/>
            </w:tcMar>
          </w:tcPr>
          <w:p>
            <w:pPr>
              <w:jc w:val="left"/>
            </w:pPr>
            <w:r>
              <w:rPr>
                <w:rFonts w:ascii="Calibri" w:hAnsi="Calibri"/>
                <w:b/>
                <w:color w:val="FFFFFF"/>
                <w:sz w:val="19"/>
              </w:rPr>
              <w:t>Citation / Document Reference</w:t>
            </w:r>
          </w:p>
        </w:tc>
        <w:tc>
          <w:tcPr>
            <w:tcW w:type="dxa" w:w="2016"/>
            <w:shd w:fill="0B2545"/>
            <w:tcMar>
              <w:top w:w="100" w:type="dxa"/>
              <w:bottom w:w="100" w:type="dxa"/>
              <w:left w:w="120" w:type="dxa"/>
              <w:right w:w="120" w:type="dxa"/>
            </w:tcMar>
          </w:tcPr>
          <w:p>
            <w:pPr>
              <w:jc w:val="left"/>
            </w:pPr>
            <w:r>
              <w:rPr>
                <w:rFonts w:ascii="Calibri" w:hAnsi="Calibri"/>
                <w:b/>
                <w:color w:val="FFFFFF"/>
                <w:sz w:val="19"/>
              </w:rPr>
              <w:t>Issuing Regulatory Authority</w:t>
            </w:r>
          </w:p>
        </w:tc>
        <w:tc>
          <w:tcPr>
            <w:tcW w:type="dxa" w:w="3312"/>
            <w:shd w:fill="0B2545"/>
            <w:tcMar>
              <w:top w:w="100" w:type="dxa"/>
              <w:bottom w:w="100" w:type="dxa"/>
              <w:left w:w="120" w:type="dxa"/>
              <w:right w:w="120" w:type="dxa"/>
            </w:tcMar>
          </w:tcPr>
          <w:p>
            <w:pPr>
              <w:jc w:val="left"/>
            </w:pPr>
            <w:r>
              <w:rPr>
                <w:rFonts w:ascii="Calibri" w:hAnsi="Calibri"/>
                <w:b/>
                <w:color w:val="FFFFFF"/>
                <w:sz w:val="19"/>
              </w:rPr>
              <w:t>Official Document Title &amp; Canonical Subject</w:t>
            </w:r>
          </w:p>
        </w:tc>
        <w:tc>
          <w:tcPr>
            <w:tcW w:type="dxa" w:w="2261"/>
            <w:shd w:fill="0B2545"/>
            <w:tcMar>
              <w:top w:w="100" w:type="dxa"/>
              <w:bottom w:w="100" w:type="dxa"/>
              <w:left w:w="120" w:type="dxa"/>
              <w:right w:w="120" w:type="dxa"/>
            </w:tcMar>
          </w:tcPr>
          <w:p>
            <w:pPr>
              <w:jc w:val="left"/>
            </w:pPr>
            <w:r>
              <w:rPr>
                <w:rFonts w:ascii="Calibri" w:hAnsi="Calibri"/>
                <w:b/>
                <w:color w:val="FFFFFF"/>
                <w:sz w:val="19"/>
              </w:rPr>
              <w:t>Relevance to RailSahayak</w:t>
            </w:r>
          </w:p>
        </w:tc>
      </w:tr>
      <w:tr>
        <w:tc>
          <w:tcPr>
            <w:tcW w:type="dxa" w:w="2160"/>
            <w:shd w:fill="FFFFFF"/>
            <w:tcMar>
              <w:top w:w="80" w:type="dxa"/>
              <w:bottom w:w="80" w:type="dxa"/>
              <w:left w:w="120" w:type="dxa"/>
              <w:right w:w="120" w:type="dxa"/>
            </w:tcMar>
          </w:tcPr>
          <w:p>
            <w:r>
              <w:rPr>
                <w:rFonts w:ascii="Calibri" w:hAnsi="Calibri"/>
                <w:color w:val="1E293B"/>
                <w:sz w:val="18"/>
              </w:rPr>
              <w:t>MoR Commercial Circular No. 64/2015</w:t>
            </w:r>
          </w:p>
        </w:tc>
        <w:tc>
          <w:tcPr>
            <w:tcW w:type="dxa" w:w="2016"/>
            <w:shd w:fill="FFFFFF"/>
            <w:tcMar>
              <w:top w:w="80" w:type="dxa"/>
              <w:bottom w:w="80" w:type="dxa"/>
              <w:left w:w="120" w:type="dxa"/>
              <w:right w:w="120" w:type="dxa"/>
            </w:tcMar>
          </w:tcPr>
          <w:p>
            <w:r>
              <w:rPr>
                <w:rFonts w:ascii="Calibri" w:hAnsi="Calibri"/>
                <w:color w:val="1E293B"/>
                <w:sz w:val="18"/>
              </w:rPr>
              <w:t>Ministry of Railways, Govt of India</w:t>
            </w:r>
          </w:p>
        </w:tc>
        <w:tc>
          <w:tcPr>
            <w:tcW w:type="dxa" w:w="3312"/>
            <w:shd w:fill="FFFFFF"/>
            <w:tcMar>
              <w:top w:w="80" w:type="dxa"/>
              <w:bottom w:w="80" w:type="dxa"/>
              <w:left w:w="120" w:type="dxa"/>
              <w:right w:w="120" w:type="dxa"/>
            </w:tcMar>
          </w:tcPr>
          <w:p>
            <w:r>
              <w:rPr>
                <w:rFonts w:ascii="Calibri" w:hAnsi="Calibri"/>
                <w:color w:val="1E293B"/>
                <w:sz w:val="18"/>
              </w:rPr>
              <w:t>Revision of Train Ticket Cancellation &amp; Refund Rules</w:t>
            </w:r>
          </w:p>
        </w:tc>
        <w:tc>
          <w:tcPr>
            <w:tcW w:type="dxa" w:w="2261"/>
            <w:shd w:fill="FFFFFF"/>
            <w:tcMar>
              <w:top w:w="80" w:type="dxa"/>
              <w:bottom w:w="80" w:type="dxa"/>
              <w:left w:w="120" w:type="dxa"/>
              <w:right w:w="120" w:type="dxa"/>
            </w:tcMar>
          </w:tcPr>
          <w:p>
            <w:r>
              <w:rPr>
                <w:rFonts w:ascii="Calibri" w:hAnsi="Calibri"/>
                <w:color w:val="1E293B"/>
                <w:sz w:val="18"/>
              </w:rPr>
              <w:t>Grounds legal prohibition of travel on fully waitlisted e-tickets.</w:t>
            </w:r>
          </w:p>
        </w:tc>
      </w:tr>
      <w:tr>
        <w:tc>
          <w:tcPr>
            <w:tcW w:type="dxa" w:w="2160"/>
            <w:shd w:fill="F8FAFC"/>
            <w:tcMar>
              <w:top w:w="80" w:type="dxa"/>
              <w:bottom w:w="80" w:type="dxa"/>
              <w:left w:w="120" w:type="dxa"/>
              <w:right w:w="120" w:type="dxa"/>
            </w:tcMar>
          </w:tcPr>
          <w:p>
            <w:r>
              <w:rPr>
                <w:rFonts w:ascii="Calibri" w:hAnsi="Calibri"/>
                <w:color w:val="1E293B"/>
                <w:sz w:val="18"/>
              </w:rPr>
              <w:t>The Railways Act, 1989 (Section 138)</w:t>
            </w:r>
          </w:p>
        </w:tc>
        <w:tc>
          <w:tcPr>
            <w:tcW w:type="dxa" w:w="2016"/>
            <w:shd w:fill="F8FAFC"/>
            <w:tcMar>
              <w:top w:w="80" w:type="dxa"/>
              <w:bottom w:w="80" w:type="dxa"/>
              <w:left w:w="120" w:type="dxa"/>
              <w:right w:w="120" w:type="dxa"/>
            </w:tcMar>
          </w:tcPr>
          <w:p>
            <w:r>
              <w:rPr>
                <w:rFonts w:ascii="Calibri" w:hAnsi="Calibri"/>
                <w:color w:val="1E293B"/>
                <w:sz w:val="18"/>
              </w:rPr>
              <w:t>Parliament of India</w:t>
            </w:r>
          </w:p>
        </w:tc>
        <w:tc>
          <w:tcPr>
            <w:tcW w:type="dxa" w:w="3312"/>
            <w:shd w:fill="F8FAFC"/>
            <w:tcMar>
              <w:top w:w="80" w:type="dxa"/>
              <w:bottom w:w="80" w:type="dxa"/>
              <w:left w:w="120" w:type="dxa"/>
              <w:right w:w="120" w:type="dxa"/>
            </w:tcMar>
          </w:tcPr>
          <w:p>
            <w:r>
              <w:rPr>
                <w:rFonts w:ascii="Calibri" w:hAnsi="Calibri"/>
                <w:color w:val="1E293B"/>
                <w:sz w:val="18"/>
              </w:rPr>
              <w:t>Levy of Excess Charge and Fare for Travel Without Proper Ticket</w:t>
            </w:r>
          </w:p>
        </w:tc>
        <w:tc>
          <w:tcPr>
            <w:tcW w:type="dxa" w:w="2261"/>
            <w:shd w:fill="F8FAFC"/>
            <w:tcMar>
              <w:top w:w="80" w:type="dxa"/>
              <w:bottom w:w="80" w:type="dxa"/>
              <w:left w:w="120" w:type="dxa"/>
              <w:right w:w="120" w:type="dxa"/>
            </w:tcMar>
          </w:tcPr>
          <w:p>
            <w:r>
              <w:rPr>
                <w:rFonts w:ascii="Calibri" w:hAnsi="Calibri"/>
                <w:color w:val="1E293B"/>
                <w:sz w:val="18"/>
              </w:rPr>
              <w:t>Legal foundation for Section 138 statutory advisory notices.</w:t>
            </w:r>
          </w:p>
        </w:tc>
      </w:tr>
      <w:tr>
        <w:tc>
          <w:tcPr>
            <w:tcW w:type="dxa" w:w="2160"/>
            <w:shd w:fill="FFFFFF"/>
            <w:tcMar>
              <w:top w:w="80" w:type="dxa"/>
              <w:bottom w:w="80" w:type="dxa"/>
              <w:left w:w="120" w:type="dxa"/>
              <w:right w:w="120" w:type="dxa"/>
            </w:tcMar>
          </w:tcPr>
          <w:p>
            <w:r>
              <w:rPr>
                <w:rFonts w:ascii="Calibri" w:hAnsi="Calibri"/>
                <w:color w:val="1E293B"/>
                <w:sz w:val="18"/>
              </w:rPr>
              <w:t>RBI Circular RBI/2019-20/67</w:t>
            </w:r>
          </w:p>
        </w:tc>
        <w:tc>
          <w:tcPr>
            <w:tcW w:type="dxa" w:w="2016"/>
            <w:shd w:fill="FFFFFF"/>
            <w:tcMar>
              <w:top w:w="80" w:type="dxa"/>
              <w:bottom w:w="80" w:type="dxa"/>
              <w:left w:w="120" w:type="dxa"/>
              <w:right w:w="120" w:type="dxa"/>
            </w:tcMar>
          </w:tcPr>
          <w:p>
            <w:r>
              <w:rPr>
                <w:rFonts w:ascii="Calibri" w:hAnsi="Calibri"/>
                <w:color w:val="1E293B"/>
                <w:sz w:val="18"/>
              </w:rPr>
              <w:t>Reserve Bank of India (DPSS)</w:t>
            </w:r>
          </w:p>
        </w:tc>
        <w:tc>
          <w:tcPr>
            <w:tcW w:type="dxa" w:w="3312"/>
            <w:shd w:fill="FFFFFF"/>
            <w:tcMar>
              <w:top w:w="80" w:type="dxa"/>
              <w:bottom w:w="80" w:type="dxa"/>
              <w:left w:w="120" w:type="dxa"/>
              <w:right w:w="120" w:type="dxa"/>
            </w:tcMar>
          </w:tcPr>
          <w:p>
            <w:r>
              <w:rPr>
                <w:rFonts w:ascii="Calibri" w:hAnsi="Calibri"/>
                <w:color w:val="1E293B"/>
                <w:sz w:val="18"/>
              </w:rPr>
              <w:t>Harmonisation of Turn Around Time (TAT) for Failed Transactions</w:t>
            </w:r>
          </w:p>
        </w:tc>
        <w:tc>
          <w:tcPr>
            <w:tcW w:type="dxa" w:w="2261"/>
            <w:shd w:fill="FFFFFF"/>
            <w:tcMar>
              <w:top w:w="80" w:type="dxa"/>
              <w:bottom w:w="80" w:type="dxa"/>
              <w:left w:w="120" w:type="dxa"/>
              <w:right w:w="120" w:type="dxa"/>
            </w:tcMar>
          </w:tcPr>
          <w:p>
            <w:r>
              <w:rPr>
                <w:rFonts w:ascii="Calibri" w:hAnsi="Calibri"/>
                <w:color w:val="1E293B"/>
                <w:sz w:val="18"/>
              </w:rPr>
              <w:t>Authoritative baseline for Payment Help diagnostic turnaround cycles.</w:t>
            </w:r>
          </w:p>
        </w:tc>
      </w:tr>
      <w:tr>
        <w:tc>
          <w:tcPr>
            <w:tcW w:type="dxa" w:w="2160"/>
            <w:shd w:fill="F8FAFC"/>
            <w:tcMar>
              <w:top w:w="80" w:type="dxa"/>
              <w:bottom w:w="80" w:type="dxa"/>
              <w:left w:w="120" w:type="dxa"/>
              <w:right w:w="120" w:type="dxa"/>
            </w:tcMar>
          </w:tcPr>
          <w:p>
            <w:r>
              <w:rPr>
                <w:rFonts w:ascii="Calibri" w:hAnsi="Calibri"/>
                <w:color w:val="1E293B"/>
                <w:sz w:val="18"/>
              </w:rPr>
              <w:t>IR Passenger Coaching Tariff No. 26</w:t>
            </w:r>
          </w:p>
        </w:tc>
        <w:tc>
          <w:tcPr>
            <w:tcW w:type="dxa" w:w="2016"/>
            <w:shd w:fill="F8FAFC"/>
            <w:tcMar>
              <w:top w:w="80" w:type="dxa"/>
              <w:bottom w:w="80" w:type="dxa"/>
              <w:left w:w="120" w:type="dxa"/>
              <w:right w:w="120" w:type="dxa"/>
            </w:tcMar>
          </w:tcPr>
          <w:p>
            <w:r>
              <w:rPr>
                <w:rFonts w:ascii="Calibri" w:hAnsi="Calibri"/>
                <w:color w:val="1E293B"/>
                <w:sz w:val="18"/>
              </w:rPr>
              <w:t>Indian Railway Conference Association</w:t>
            </w:r>
          </w:p>
        </w:tc>
        <w:tc>
          <w:tcPr>
            <w:tcW w:type="dxa" w:w="3312"/>
            <w:shd w:fill="F8FAFC"/>
            <w:tcMar>
              <w:top w:w="80" w:type="dxa"/>
              <w:bottom w:w="80" w:type="dxa"/>
              <w:left w:w="120" w:type="dxa"/>
              <w:right w:w="120" w:type="dxa"/>
            </w:tcMar>
          </w:tcPr>
          <w:p>
            <w:r>
              <w:rPr>
                <w:rFonts w:ascii="Calibri" w:hAnsi="Calibri"/>
                <w:color w:val="1E293B"/>
                <w:sz w:val="18"/>
              </w:rPr>
              <w:t>Rules for Booking, RAC Allocation, and Berth Entitlements</w:t>
            </w:r>
          </w:p>
        </w:tc>
        <w:tc>
          <w:tcPr>
            <w:tcW w:type="dxa" w:w="2261"/>
            <w:shd w:fill="F8FAFC"/>
            <w:tcMar>
              <w:top w:w="80" w:type="dxa"/>
              <w:bottom w:w="80" w:type="dxa"/>
              <w:left w:w="120" w:type="dxa"/>
              <w:right w:w="120" w:type="dxa"/>
            </w:tcMar>
          </w:tcPr>
          <w:p>
            <w:r>
              <w:rPr>
                <w:rFonts w:ascii="Calibri" w:hAnsi="Calibri"/>
                <w:color w:val="1E293B"/>
                <w:sz w:val="18"/>
              </w:rPr>
              <w:t>Establishes RAC travel rights and shared sitting accommodation rules.</w:t>
            </w:r>
          </w:p>
        </w:tc>
      </w:tr>
      <w:tr>
        <w:tc>
          <w:tcPr>
            <w:tcW w:type="dxa" w:w="2160"/>
            <w:shd w:fill="FFFFFF"/>
            <w:tcMar>
              <w:top w:w="80" w:type="dxa"/>
              <w:bottom w:w="80" w:type="dxa"/>
              <w:left w:w="120" w:type="dxa"/>
              <w:right w:w="120" w:type="dxa"/>
            </w:tcMar>
          </w:tcPr>
          <w:p>
            <w:r>
              <w:rPr>
                <w:rFonts w:ascii="Calibri" w:hAnsi="Calibri"/>
                <w:color w:val="1E293B"/>
                <w:sz w:val="18"/>
              </w:rPr>
              <w:t>MoR PIB Notification (Nov 2015)</w:t>
            </w:r>
          </w:p>
        </w:tc>
        <w:tc>
          <w:tcPr>
            <w:tcW w:type="dxa" w:w="2016"/>
            <w:shd w:fill="FFFFFF"/>
            <w:tcMar>
              <w:top w:w="80" w:type="dxa"/>
              <w:bottom w:w="80" w:type="dxa"/>
              <w:left w:w="120" w:type="dxa"/>
              <w:right w:w="120" w:type="dxa"/>
            </w:tcMar>
          </w:tcPr>
          <w:p>
            <w:r>
              <w:rPr>
                <w:rFonts w:ascii="Calibri" w:hAnsi="Calibri"/>
                <w:color w:val="1E293B"/>
                <w:sz w:val="18"/>
              </w:rPr>
              <w:t>Press Information Bureau, MoR</w:t>
            </w:r>
          </w:p>
        </w:tc>
        <w:tc>
          <w:tcPr>
            <w:tcW w:type="dxa" w:w="3312"/>
            <w:shd w:fill="FFFFFF"/>
            <w:tcMar>
              <w:top w:w="80" w:type="dxa"/>
              <w:bottom w:w="80" w:type="dxa"/>
              <w:left w:w="120" w:type="dxa"/>
              <w:right w:w="120" w:type="dxa"/>
            </w:tcMar>
          </w:tcPr>
          <w:p>
            <w:r>
              <w:rPr>
                <w:rFonts w:ascii="Calibri" w:hAnsi="Calibri"/>
                <w:color w:val="1E293B"/>
                <w:sz w:val="18"/>
              </w:rPr>
              <w:t>Preparation of Reservation Charts 4 Hours &amp; 30 Minutes Prior</w:t>
            </w:r>
          </w:p>
        </w:tc>
        <w:tc>
          <w:tcPr>
            <w:tcW w:type="dxa" w:w="2261"/>
            <w:shd w:fill="FFFFFF"/>
            <w:tcMar>
              <w:top w:w="80" w:type="dxa"/>
              <w:bottom w:w="80" w:type="dxa"/>
              <w:left w:w="120" w:type="dxa"/>
              <w:right w:w="120" w:type="dxa"/>
            </w:tcMar>
          </w:tcPr>
          <w:p>
            <w:r>
              <w:rPr>
                <w:rFonts w:ascii="Calibri" w:hAnsi="Calibri"/>
                <w:color w:val="1E293B"/>
                <w:sz w:val="18"/>
              </w:rPr>
              <w:t>Defines 1st chart (~4h) and 2nd chart (30-50m) preparation timetables.</w:t>
            </w:r>
          </w:p>
        </w:tc>
      </w:tr>
      <w:tr>
        <w:tc>
          <w:tcPr>
            <w:tcW w:type="dxa" w:w="2160"/>
            <w:shd w:fill="F8FAFC"/>
            <w:tcMar>
              <w:top w:w="80" w:type="dxa"/>
              <w:bottom w:w="80" w:type="dxa"/>
              <w:left w:w="120" w:type="dxa"/>
              <w:right w:w="120" w:type="dxa"/>
            </w:tcMar>
          </w:tcPr>
          <w:p>
            <w:r>
              <w:rPr>
                <w:rFonts w:ascii="Calibri" w:hAnsi="Calibri"/>
                <w:color w:val="1E293B"/>
                <w:sz w:val="18"/>
              </w:rPr>
              <w:t>RailMadad Integrated Helpline 139</w:t>
            </w:r>
          </w:p>
        </w:tc>
        <w:tc>
          <w:tcPr>
            <w:tcW w:type="dxa" w:w="2016"/>
            <w:shd w:fill="F8FAFC"/>
            <w:tcMar>
              <w:top w:w="80" w:type="dxa"/>
              <w:bottom w:w="80" w:type="dxa"/>
              <w:left w:w="120" w:type="dxa"/>
              <w:right w:w="120" w:type="dxa"/>
            </w:tcMar>
          </w:tcPr>
          <w:p>
            <w:r>
              <w:rPr>
                <w:rFonts w:ascii="Calibri" w:hAnsi="Calibri"/>
                <w:color w:val="1E293B"/>
                <w:sz w:val="18"/>
              </w:rPr>
              <w:t>Ministry of Railways, Govt of India</w:t>
            </w:r>
          </w:p>
        </w:tc>
        <w:tc>
          <w:tcPr>
            <w:tcW w:type="dxa" w:w="3312"/>
            <w:shd w:fill="F8FAFC"/>
            <w:tcMar>
              <w:top w:w="80" w:type="dxa"/>
              <w:bottom w:w="80" w:type="dxa"/>
              <w:left w:w="120" w:type="dxa"/>
              <w:right w:w="120" w:type="dxa"/>
            </w:tcMar>
          </w:tcPr>
          <w:p>
            <w:r>
              <w:rPr>
                <w:rFonts w:ascii="Calibri" w:hAnsi="Calibri"/>
                <w:color w:val="1E293B"/>
                <w:sz w:val="18"/>
              </w:rPr>
              <w:t>Standard Operating Procedure for Passenger Grievance Redressal</w:t>
            </w:r>
          </w:p>
        </w:tc>
        <w:tc>
          <w:tcPr>
            <w:tcW w:type="dxa" w:w="2261"/>
            <w:shd w:fill="F8FAFC"/>
            <w:tcMar>
              <w:top w:w="80" w:type="dxa"/>
              <w:bottom w:w="80" w:type="dxa"/>
              <w:left w:w="120" w:type="dxa"/>
              <w:right w:w="120" w:type="dxa"/>
            </w:tcMar>
          </w:tcPr>
          <w:p>
            <w:r>
              <w:rPr>
                <w:rFonts w:ascii="Calibri" w:hAnsi="Calibri"/>
                <w:color w:val="1E293B"/>
                <w:sz w:val="18"/>
              </w:rPr>
              <w:t>Defines escalation boundary for on-train emergency assistance.</w:t>
            </w:r>
          </w:p>
        </w:tc>
      </w:tr>
      <w:tr>
        <w:tc>
          <w:tcPr>
            <w:tcW w:type="dxa" w:w="2160"/>
            <w:shd w:fill="FFFFFF"/>
            <w:tcMar>
              <w:top w:w="80" w:type="dxa"/>
              <w:bottom w:w="80" w:type="dxa"/>
              <w:left w:w="120" w:type="dxa"/>
              <w:right w:w="120" w:type="dxa"/>
            </w:tcMar>
          </w:tcPr>
          <w:p>
            <w:r>
              <w:rPr>
                <w:rFonts w:ascii="Calibri" w:hAnsi="Calibri"/>
                <w:color w:val="1E293B"/>
                <w:sz w:val="18"/>
              </w:rPr>
              <w:t>DPDP Act, 2023</w:t>
            </w:r>
          </w:p>
        </w:tc>
        <w:tc>
          <w:tcPr>
            <w:tcW w:type="dxa" w:w="2016"/>
            <w:shd w:fill="FFFFFF"/>
            <w:tcMar>
              <w:top w:w="80" w:type="dxa"/>
              <w:bottom w:w="80" w:type="dxa"/>
              <w:left w:w="120" w:type="dxa"/>
              <w:right w:w="120" w:type="dxa"/>
            </w:tcMar>
          </w:tcPr>
          <w:p>
            <w:r>
              <w:rPr>
                <w:rFonts w:ascii="Calibri" w:hAnsi="Calibri"/>
                <w:color w:val="1E293B"/>
                <w:sz w:val="18"/>
              </w:rPr>
              <w:t>Ministry of Law and Justice, Govt of India</w:t>
            </w:r>
          </w:p>
        </w:tc>
        <w:tc>
          <w:tcPr>
            <w:tcW w:type="dxa" w:w="3312"/>
            <w:shd w:fill="FFFFFF"/>
            <w:tcMar>
              <w:top w:w="80" w:type="dxa"/>
              <w:bottom w:w="80" w:type="dxa"/>
              <w:left w:w="120" w:type="dxa"/>
              <w:right w:w="120" w:type="dxa"/>
            </w:tcMar>
          </w:tcPr>
          <w:p>
            <w:r>
              <w:rPr>
                <w:rFonts w:ascii="Calibri" w:hAnsi="Calibri"/>
                <w:color w:val="1E293B"/>
                <w:sz w:val="18"/>
              </w:rPr>
              <w:t>Digital Personal Data Protection Act, 2023 (Act No. 22 of 2023)</w:t>
            </w:r>
          </w:p>
        </w:tc>
        <w:tc>
          <w:tcPr>
            <w:tcW w:type="dxa" w:w="2261"/>
            <w:shd w:fill="FFFFFF"/>
            <w:tcMar>
              <w:top w:w="80" w:type="dxa"/>
              <w:bottom w:w="80" w:type="dxa"/>
              <w:left w:w="120" w:type="dxa"/>
              <w:right w:w="120" w:type="dxa"/>
            </w:tcMar>
          </w:tcPr>
          <w:p>
            <w:r>
              <w:rPr>
                <w:rFonts w:ascii="Calibri" w:hAnsi="Calibri"/>
                <w:color w:val="1E293B"/>
                <w:sz w:val="18"/>
              </w:rPr>
              <w:t>Governs data minimization, consent, and financial secret protection.</w:t>
            </w:r>
          </w:p>
        </w:tc>
      </w:tr>
      <w:tr>
        <w:tc>
          <w:tcPr>
            <w:tcW w:type="dxa" w:w="2160"/>
            <w:shd w:fill="F8FAFC"/>
            <w:tcMar>
              <w:top w:w="80" w:type="dxa"/>
              <w:bottom w:w="80" w:type="dxa"/>
              <w:left w:w="120" w:type="dxa"/>
              <w:right w:w="120" w:type="dxa"/>
            </w:tcMar>
          </w:tcPr>
          <w:p>
            <w:r>
              <w:rPr>
                <w:rFonts w:ascii="Calibri" w:hAnsi="Calibri"/>
                <w:color w:val="1E293B"/>
                <w:sz w:val="18"/>
              </w:rPr>
              <w:t>CERT-In Web Security Guidelines</w:t>
            </w:r>
          </w:p>
        </w:tc>
        <w:tc>
          <w:tcPr>
            <w:tcW w:type="dxa" w:w="2016"/>
            <w:shd w:fill="F8FAFC"/>
            <w:tcMar>
              <w:top w:w="80" w:type="dxa"/>
              <w:bottom w:w="80" w:type="dxa"/>
              <w:left w:w="120" w:type="dxa"/>
              <w:right w:w="120" w:type="dxa"/>
            </w:tcMar>
          </w:tcPr>
          <w:p>
            <w:r>
              <w:rPr>
                <w:rFonts w:ascii="Calibri" w:hAnsi="Calibri"/>
                <w:color w:val="1E293B"/>
                <w:sz w:val="18"/>
              </w:rPr>
              <w:t>MeitY / CERT-In, Govt of India</w:t>
            </w:r>
          </w:p>
        </w:tc>
        <w:tc>
          <w:tcPr>
            <w:tcW w:type="dxa" w:w="3312"/>
            <w:shd w:fill="F8FAFC"/>
            <w:tcMar>
              <w:top w:w="80" w:type="dxa"/>
              <w:bottom w:w="80" w:type="dxa"/>
              <w:left w:w="120" w:type="dxa"/>
              <w:right w:w="120" w:type="dxa"/>
            </w:tcMar>
          </w:tcPr>
          <w:p>
            <w:r>
              <w:rPr>
                <w:rFonts w:ascii="Calibri" w:hAnsi="Calibri"/>
                <w:color w:val="1E293B"/>
                <w:sz w:val="18"/>
              </w:rPr>
              <w:t>Guidelines for Securing Web Applications and APIs</w:t>
            </w:r>
          </w:p>
        </w:tc>
        <w:tc>
          <w:tcPr>
            <w:tcW w:type="dxa" w:w="2261"/>
            <w:shd w:fill="F8FAFC"/>
            <w:tcMar>
              <w:top w:w="80" w:type="dxa"/>
              <w:bottom w:w="80" w:type="dxa"/>
              <w:left w:w="120" w:type="dxa"/>
              <w:right w:w="120" w:type="dxa"/>
            </w:tcMar>
          </w:tcPr>
          <w:p>
            <w:r>
              <w:rPr>
                <w:rFonts w:ascii="Calibri" w:hAnsi="Calibri"/>
                <w:color w:val="1E293B"/>
                <w:sz w:val="18"/>
              </w:rPr>
              <w:t>Governs rate limiting, security headers, and VAPT audit readiness.</w:t>
            </w:r>
          </w:p>
        </w:tc>
      </w:tr>
    </w:tbl>
    <w:p>
      <w:pPr>
        <w:spacing w:before="0" w:after="80"/>
      </w:pPr>
    </w:p>
    <w:p>
      <w:pPr>
        <w:keepNext/>
        <w:spacing w:before="320" w:after="120"/>
      </w:pPr>
      <w:r>
        <w:rPr>
          <w:rFonts w:ascii="Calibri" w:hAnsi="Calibri"/>
          <w:b/>
          <w:color w:val="0B2545"/>
          <w:sz w:val="32"/>
        </w:rPr>
        <w:t>20. Technical Evidence Appendix</w:t>
      </w:r>
    </w:p>
    <w:p>
      <w:pPr>
        <w:spacing w:before="0" w:after="100" w:line="276" w:lineRule="auto"/>
      </w:pPr>
      <w:r>
        <w:rPr>
          <w:rFonts w:ascii="Calibri" w:hAnsi="Calibri"/>
          <w:color w:val="1E293B"/>
          <w:sz w:val="22"/>
        </w:rPr>
        <w:t>This appendix compiles verifiable evidence from the RailSahayak repository demonstrating implementation rigor:</w:t>
      </w:r>
    </w:p>
    <w:p>
      <w:pPr>
        <w:keepNext/>
        <w:spacing w:before="240" w:after="80"/>
      </w:pPr>
      <w:r>
        <w:rPr>
          <w:rFonts w:ascii="Calibri" w:hAnsi="Calibri"/>
          <w:b/>
          <w:color w:val="134074"/>
          <w:sz w:val="26"/>
        </w:rPr>
        <w:t>20.1 Automated Test Suite Execution Summary</w:t>
      </w:r>
    </w:p>
    <w:p>
      <w:pPr>
        <w:spacing w:before="0" w:after="100" w:line="276" w:lineRule="auto"/>
      </w:pPr>
      <w:r>
        <w:rPr>
          <w:rFonts w:ascii="Calibri" w:hAnsi="Calibri"/>
          <w:color w:val="1E293B"/>
          <w:sz w:val="22"/>
        </w:rPr>
        <w:t>Test Class: com.railsahayak.RailSahayakApplicationTests</w:t>
        <w:br/>
        <w:t>Execution Environment: Windows 11, OpenJDK 24, Spring Boot 3.4.5, PostgreSQL 16</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37"/>
        <w:gridCol w:w="2437"/>
        <w:gridCol w:w="2437"/>
        <w:gridCol w:w="2437"/>
      </w:tblGrid>
      <w:tr>
        <w:tc>
          <w:tcPr>
            <w:tcW w:type="dxa" w:w="3168"/>
            <w:shd w:fill="0B2545"/>
            <w:tcMar>
              <w:top w:w="100" w:type="dxa"/>
              <w:bottom w:w="100" w:type="dxa"/>
              <w:left w:w="120" w:type="dxa"/>
              <w:right w:w="120" w:type="dxa"/>
            </w:tcMar>
          </w:tcPr>
          <w:p>
            <w:pPr>
              <w:jc w:val="left"/>
            </w:pPr>
            <w:r>
              <w:rPr>
                <w:rFonts w:ascii="Calibri" w:hAnsi="Calibri"/>
                <w:b/>
                <w:color w:val="FFFFFF"/>
                <w:sz w:val="19"/>
              </w:rPr>
              <w:t>Test Method Name</w:t>
            </w:r>
          </w:p>
        </w:tc>
        <w:tc>
          <w:tcPr>
            <w:tcW w:type="dxa" w:w="2160"/>
            <w:shd w:fill="0B2545"/>
            <w:tcMar>
              <w:top w:w="100" w:type="dxa"/>
              <w:bottom w:w="100" w:type="dxa"/>
              <w:left w:w="120" w:type="dxa"/>
              <w:right w:w="120" w:type="dxa"/>
            </w:tcMar>
          </w:tcPr>
          <w:p>
            <w:pPr>
              <w:jc w:val="left"/>
            </w:pPr>
            <w:r>
              <w:rPr>
                <w:rFonts w:ascii="Calibri" w:hAnsi="Calibri"/>
                <w:b/>
                <w:color w:val="FFFFFF"/>
                <w:sz w:val="19"/>
              </w:rPr>
              <w:t>Component Under Test</w:t>
            </w:r>
          </w:p>
        </w:tc>
        <w:tc>
          <w:tcPr>
            <w:tcW w:type="dxa" w:w="3413"/>
            <w:shd w:fill="0B2545"/>
            <w:tcMar>
              <w:top w:w="100" w:type="dxa"/>
              <w:bottom w:w="100" w:type="dxa"/>
              <w:left w:w="120" w:type="dxa"/>
              <w:right w:w="120" w:type="dxa"/>
            </w:tcMar>
          </w:tcPr>
          <w:p>
            <w:pPr>
              <w:jc w:val="left"/>
            </w:pPr>
            <w:r>
              <w:rPr>
                <w:rFonts w:ascii="Calibri" w:hAnsi="Calibri"/>
                <w:b/>
                <w:color w:val="FFFFFF"/>
                <w:sz w:val="19"/>
              </w:rPr>
              <w:t>Validation Scope</w:t>
            </w:r>
          </w:p>
        </w:tc>
        <w:tc>
          <w:tcPr>
            <w:tcW w:type="dxa" w:w="1008"/>
            <w:shd w:fill="0B2545"/>
            <w:tcMar>
              <w:top w:w="100" w:type="dxa"/>
              <w:bottom w:w="100" w:type="dxa"/>
              <w:left w:w="120" w:type="dxa"/>
              <w:right w:w="120" w:type="dxa"/>
            </w:tcMar>
          </w:tcPr>
          <w:p>
            <w:pPr>
              <w:jc w:val="left"/>
            </w:pPr>
            <w:r>
              <w:rPr>
                <w:rFonts w:ascii="Calibri" w:hAnsi="Calibri"/>
                <w:b/>
                <w:color w:val="FFFFFF"/>
                <w:sz w:val="19"/>
              </w:rPr>
              <w:t>Result</w:t>
            </w:r>
          </w:p>
        </w:tc>
      </w:tr>
      <w:tr>
        <w:tc>
          <w:tcPr>
            <w:tcW w:type="dxa" w:w="3168"/>
            <w:shd w:fill="FFFFFF"/>
            <w:tcMar>
              <w:top w:w="80" w:type="dxa"/>
              <w:bottom w:w="80" w:type="dxa"/>
              <w:left w:w="120" w:type="dxa"/>
              <w:right w:w="120" w:type="dxa"/>
            </w:tcMar>
          </w:tcPr>
          <w:p>
            <w:r>
              <w:rPr>
                <w:rFonts w:ascii="Calibri" w:hAnsi="Calibri"/>
                <w:color w:val="1E293B"/>
                <w:sz w:val="18"/>
              </w:rPr>
              <w:t>testTrainSearchValidRoute()</w:t>
            </w:r>
          </w:p>
        </w:tc>
        <w:tc>
          <w:tcPr>
            <w:tcW w:type="dxa" w:w="2160"/>
            <w:shd w:fill="FFFFFF"/>
            <w:tcMar>
              <w:top w:w="80" w:type="dxa"/>
              <w:bottom w:w="80" w:type="dxa"/>
              <w:left w:w="120" w:type="dxa"/>
              <w:right w:w="120" w:type="dxa"/>
            </w:tcMar>
          </w:tcPr>
          <w:p>
            <w:r>
              <w:rPr>
                <w:rFonts w:ascii="Calibri" w:hAnsi="Calibri"/>
                <w:color w:val="1E293B"/>
                <w:sz w:val="18"/>
              </w:rPr>
              <w:t>TrainSearchController</w:t>
            </w:r>
          </w:p>
        </w:tc>
        <w:tc>
          <w:tcPr>
            <w:tcW w:type="dxa" w:w="3413"/>
            <w:shd w:fill="FFFFFF"/>
            <w:tcMar>
              <w:top w:w="80" w:type="dxa"/>
              <w:bottom w:w="80" w:type="dxa"/>
              <w:left w:w="120" w:type="dxa"/>
              <w:right w:w="120" w:type="dxa"/>
            </w:tcMar>
          </w:tcPr>
          <w:p>
            <w:r>
              <w:rPr>
                <w:rFonts w:ascii="Calibri" w:hAnsi="Calibri"/>
                <w:color w:val="1E293B"/>
                <w:sz w:val="18"/>
              </w:rPr>
              <w:t>Validates trunk route schedules between distinct stations.</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testTrainSearchSameStation()</w:t>
            </w:r>
          </w:p>
        </w:tc>
        <w:tc>
          <w:tcPr>
            <w:tcW w:type="dxa" w:w="2160"/>
            <w:shd w:fill="F8FAFC"/>
            <w:tcMar>
              <w:top w:w="80" w:type="dxa"/>
              <w:bottom w:w="80" w:type="dxa"/>
              <w:left w:w="120" w:type="dxa"/>
              <w:right w:w="120" w:type="dxa"/>
            </w:tcMar>
          </w:tcPr>
          <w:p>
            <w:r>
              <w:rPr>
                <w:rFonts w:ascii="Calibri" w:hAnsi="Calibri"/>
                <w:color w:val="1E293B"/>
                <w:sz w:val="18"/>
              </w:rPr>
              <w:t>TrainSearchController</w:t>
            </w:r>
          </w:p>
        </w:tc>
        <w:tc>
          <w:tcPr>
            <w:tcW w:type="dxa" w:w="3413"/>
            <w:shd w:fill="F8FAFC"/>
            <w:tcMar>
              <w:top w:w="80" w:type="dxa"/>
              <w:bottom w:w="80" w:type="dxa"/>
              <w:left w:w="120" w:type="dxa"/>
              <w:right w:w="120" w:type="dxa"/>
            </w:tcMar>
          </w:tcPr>
          <w:p>
            <w:r>
              <w:rPr>
                <w:rFonts w:ascii="Calibri" w:hAnsi="Calibri"/>
                <w:color w:val="1E293B"/>
                <w:sz w:val="18"/>
              </w:rPr>
              <w:t>Rejects same source and destination with HTTP 400.</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testPaymentHelpDiagnoseUpiTimeout()</w:t>
            </w:r>
          </w:p>
        </w:tc>
        <w:tc>
          <w:tcPr>
            <w:tcW w:type="dxa" w:w="2160"/>
            <w:shd w:fill="FFFFFF"/>
            <w:tcMar>
              <w:top w:w="80" w:type="dxa"/>
              <w:bottom w:w="80" w:type="dxa"/>
              <w:left w:w="120" w:type="dxa"/>
              <w:right w:w="120" w:type="dxa"/>
            </w:tcMar>
          </w:tcPr>
          <w:p>
            <w:r>
              <w:rPr>
                <w:rFonts w:ascii="Calibri" w:hAnsi="Calibri"/>
                <w:color w:val="1E293B"/>
                <w:sz w:val="18"/>
              </w:rPr>
              <w:t>PaymentHelpController</w:t>
            </w:r>
          </w:p>
        </w:tc>
        <w:tc>
          <w:tcPr>
            <w:tcW w:type="dxa" w:w="3413"/>
            <w:shd w:fill="FFFFFF"/>
            <w:tcMar>
              <w:top w:w="80" w:type="dxa"/>
              <w:bottom w:w="80" w:type="dxa"/>
              <w:left w:w="120" w:type="dxa"/>
              <w:right w:w="120" w:type="dxa"/>
            </w:tcMar>
          </w:tcPr>
          <w:p>
            <w:r>
              <w:rPr>
                <w:rFonts w:ascii="Calibri" w:hAnsi="Calibri"/>
                <w:color w:val="1E293B"/>
                <w:sz w:val="18"/>
              </w:rPr>
              <w:t>Verifies UPI timeout diagnostic and RBI TAT timeline.</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testPaymentHelpRejectsPan()</w:t>
            </w:r>
          </w:p>
        </w:tc>
        <w:tc>
          <w:tcPr>
            <w:tcW w:type="dxa" w:w="2160"/>
            <w:shd w:fill="F8FAFC"/>
            <w:tcMar>
              <w:top w:w="80" w:type="dxa"/>
              <w:bottom w:w="80" w:type="dxa"/>
              <w:left w:w="120" w:type="dxa"/>
              <w:right w:w="120" w:type="dxa"/>
            </w:tcMar>
          </w:tcPr>
          <w:p>
            <w:r>
              <w:rPr>
                <w:rFonts w:ascii="Calibri" w:hAnsi="Calibri"/>
                <w:color w:val="1E293B"/>
                <w:sz w:val="18"/>
              </w:rPr>
              <w:t>PaymentHelpService</w:t>
            </w:r>
          </w:p>
        </w:tc>
        <w:tc>
          <w:tcPr>
            <w:tcW w:type="dxa" w:w="3413"/>
            <w:shd w:fill="F8FAFC"/>
            <w:tcMar>
              <w:top w:w="80" w:type="dxa"/>
              <w:bottom w:w="80" w:type="dxa"/>
              <w:left w:w="120" w:type="dxa"/>
              <w:right w:w="120" w:type="dxa"/>
            </w:tcMar>
          </w:tcPr>
          <w:p>
            <w:r>
              <w:rPr>
                <w:rFonts w:ascii="Calibri" w:hAnsi="Calibri"/>
                <w:color w:val="1E293B"/>
                <w:sz w:val="18"/>
              </w:rPr>
              <w:t>Rejects 16-digit card number with HTTP 400 Bad Request.</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testPaymentHelpRejectsCvvPin()</w:t>
            </w:r>
          </w:p>
        </w:tc>
        <w:tc>
          <w:tcPr>
            <w:tcW w:type="dxa" w:w="2160"/>
            <w:shd w:fill="FFFFFF"/>
            <w:tcMar>
              <w:top w:w="80" w:type="dxa"/>
              <w:bottom w:w="80" w:type="dxa"/>
              <w:left w:w="120" w:type="dxa"/>
              <w:right w:w="120" w:type="dxa"/>
            </w:tcMar>
          </w:tcPr>
          <w:p>
            <w:r>
              <w:rPr>
                <w:rFonts w:ascii="Calibri" w:hAnsi="Calibri"/>
                <w:color w:val="1E293B"/>
                <w:sz w:val="18"/>
              </w:rPr>
              <w:t>PaymentHelpService</w:t>
            </w:r>
          </w:p>
        </w:tc>
        <w:tc>
          <w:tcPr>
            <w:tcW w:type="dxa" w:w="3413"/>
            <w:shd w:fill="FFFFFF"/>
            <w:tcMar>
              <w:top w:w="80" w:type="dxa"/>
              <w:bottom w:w="80" w:type="dxa"/>
              <w:left w:w="120" w:type="dxa"/>
              <w:right w:w="120" w:type="dxa"/>
            </w:tcMar>
          </w:tcPr>
          <w:p>
            <w:r>
              <w:rPr>
                <w:rFonts w:ascii="Calibri" w:hAnsi="Calibri"/>
                <w:color w:val="1E293B"/>
                <w:sz w:val="18"/>
              </w:rPr>
              <w:t>Rejects 3-digit CVV and 6-digit UPI PIN with HTTP 400.</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testPnrGuideValidPnr()</w:t>
            </w:r>
          </w:p>
        </w:tc>
        <w:tc>
          <w:tcPr>
            <w:tcW w:type="dxa" w:w="2160"/>
            <w:shd w:fill="F8FAFC"/>
            <w:tcMar>
              <w:top w:w="80" w:type="dxa"/>
              <w:bottom w:w="80" w:type="dxa"/>
              <w:left w:w="120" w:type="dxa"/>
              <w:right w:w="120" w:type="dxa"/>
            </w:tcMar>
          </w:tcPr>
          <w:p>
            <w:r>
              <w:rPr>
                <w:rFonts w:ascii="Calibri" w:hAnsi="Calibri"/>
                <w:color w:val="1E293B"/>
                <w:sz w:val="18"/>
              </w:rPr>
              <w:t>PnrGuideController</w:t>
            </w:r>
          </w:p>
        </w:tc>
        <w:tc>
          <w:tcPr>
            <w:tcW w:type="dxa" w:w="3413"/>
            <w:shd w:fill="F8FAFC"/>
            <w:tcMar>
              <w:top w:w="80" w:type="dxa"/>
              <w:bottom w:w="80" w:type="dxa"/>
              <w:left w:w="120" w:type="dxa"/>
              <w:right w:w="120" w:type="dxa"/>
            </w:tcMar>
          </w:tcPr>
          <w:p>
            <w:r>
              <w:rPr>
                <w:rFonts w:ascii="Calibri" w:hAnsi="Calibri"/>
                <w:color w:val="1E293B"/>
                <w:sz w:val="18"/>
              </w:rPr>
              <w:t>Validates 10-digit format and heuristic zone derivation.</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testPnrGuideInvalidLength()</w:t>
            </w:r>
          </w:p>
        </w:tc>
        <w:tc>
          <w:tcPr>
            <w:tcW w:type="dxa" w:w="2160"/>
            <w:shd w:fill="FFFFFF"/>
            <w:tcMar>
              <w:top w:w="80" w:type="dxa"/>
              <w:bottom w:w="80" w:type="dxa"/>
              <w:left w:w="120" w:type="dxa"/>
              <w:right w:w="120" w:type="dxa"/>
            </w:tcMar>
          </w:tcPr>
          <w:p>
            <w:r>
              <w:rPr>
                <w:rFonts w:ascii="Calibri" w:hAnsi="Calibri"/>
                <w:color w:val="1E293B"/>
                <w:sz w:val="18"/>
              </w:rPr>
              <w:t>PnrGuideController</w:t>
            </w:r>
          </w:p>
        </w:tc>
        <w:tc>
          <w:tcPr>
            <w:tcW w:type="dxa" w:w="3413"/>
            <w:shd w:fill="FFFFFF"/>
            <w:tcMar>
              <w:top w:w="80" w:type="dxa"/>
              <w:bottom w:w="80" w:type="dxa"/>
              <w:left w:w="120" w:type="dxa"/>
              <w:right w:w="120" w:type="dxa"/>
            </w:tcMar>
          </w:tcPr>
          <w:p>
            <w:r>
              <w:rPr>
                <w:rFonts w:ascii="Calibri" w:hAnsi="Calibri"/>
                <w:color w:val="1E293B"/>
                <w:sz w:val="18"/>
              </w:rPr>
              <w:t>Rejects 9-digit or 11-digit PNR with HTTP 400.</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testCaseCreationSuccess()</w:t>
            </w:r>
          </w:p>
        </w:tc>
        <w:tc>
          <w:tcPr>
            <w:tcW w:type="dxa" w:w="2160"/>
            <w:shd w:fill="F8FAFC"/>
            <w:tcMar>
              <w:top w:w="80" w:type="dxa"/>
              <w:bottom w:w="80" w:type="dxa"/>
              <w:left w:w="120" w:type="dxa"/>
              <w:right w:w="120" w:type="dxa"/>
            </w:tcMar>
          </w:tcPr>
          <w:p>
            <w:r>
              <w:rPr>
                <w:rFonts w:ascii="Calibri" w:hAnsi="Calibri"/>
                <w:color w:val="1E293B"/>
                <w:sz w:val="18"/>
              </w:rPr>
              <w:t>CaseController</w:t>
            </w:r>
          </w:p>
        </w:tc>
        <w:tc>
          <w:tcPr>
            <w:tcW w:type="dxa" w:w="3413"/>
            <w:shd w:fill="F8FAFC"/>
            <w:tcMar>
              <w:top w:w="80" w:type="dxa"/>
              <w:bottom w:w="80" w:type="dxa"/>
              <w:left w:w="120" w:type="dxa"/>
              <w:right w:w="120" w:type="dxa"/>
            </w:tcMar>
          </w:tcPr>
          <w:p>
            <w:r>
              <w:rPr>
                <w:rFonts w:ascii="Calibri" w:hAnsi="Calibri"/>
                <w:color w:val="1E293B"/>
                <w:sz w:val="18"/>
              </w:rPr>
              <w:t>Creates support case with unique RS-XXXXXX reference.</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testCaseCreationInvalidDescription()</w:t>
            </w:r>
          </w:p>
        </w:tc>
        <w:tc>
          <w:tcPr>
            <w:tcW w:type="dxa" w:w="2160"/>
            <w:shd w:fill="FFFFFF"/>
            <w:tcMar>
              <w:top w:w="80" w:type="dxa"/>
              <w:bottom w:w="80" w:type="dxa"/>
              <w:left w:w="120" w:type="dxa"/>
              <w:right w:w="120" w:type="dxa"/>
            </w:tcMar>
          </w:tcPr>
          <w:p>
            <w:r>
              <w:rPr>
                <w:rFonts w:ascii="Calibri" w:hAnsi="Calibri"/>
                <w:color w:val="1E293B"/>
                <w:sz w:val="18"/>
              </w:rPr>
              <w:t>CaseController</w:t>
            </w:r>
          </w:p>
        </w:tc>
        <w:tc>
          <w:tcPr>
            <w:tcW w:type="dxa" w:w="3413"/>
            <w:shd w:fill="FFFFFF"/>
            <w:tcMar>
              <w:top w:w="80" w:type="dxa"/>
              <w:bottom w:w="80" w:type="dxa"/>
              <w:left w:w="120" w:type="dxa"/>
              <w:right w:w="120" w:type="dxa"/>
            </w:tcMar>
          </w:tcPr>
          <w:p>
            <w:r>
              <w:rPr>
                <w:rFonts w:ascii="Calibri" w:hAnsi="Calibri"/>
                <w:color w:val="1E293B"/>
                <w:sz w:val="18"/>
              </w:rPr>
              <w:t>Rejects description &lt; 10 characters with HTTP 400.</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testAdminStatusTransition()</w:t>
            </w:r>
          </w:p>
        </w:tc>
        <w:tc>
          <w:tcPr>
            <w:tcW w:type="dxa" w:w="2160"/>
            <w:shd w:fill="F8FAFC"/>
            <w:tcMar>
              <w:top w:w="80" w:type="dxa"/>
              <w:bottom w:w="80" w:type="dxa"/>
              <w:left w:w="120" w:type="dxa"/>
              <w:right w:w="120" w:type="dxa"/>
            </w:tcMar>
          </w:tcPr>
          <w:p>
            <w:r>
              <w:rPr>
                <w:rFonts w:ascii="Calibri" w:hAnsi="Calibri"/>
                <w:color w:val="1E293B"/>
                <w:sz w:val="18"/>
              </w:rPr>
              <w:t>CaseController</w:t>
            </w:r>
          </w:p>
        </w:tc>
        <w:tc>
          <w:tcPr>
            <w:tcW w:type="dxa" w:w="3413"/>
            <w:shd w:fill="F8FAFC"/>
            <w:tcMar>
              <w:top w:w="80" w:type="dxa"/>
              <w:bottom w:w="80" w:type="dxa"/>
              <w:left w:w="120" w:type="dxa"/>
              <w:right w:w="120" w:type="dxa"/>
            </w:tcMar>
          </w:tcPr>
          <w:p>
            <w:r>
              <w:rPr>
                <w:rFonts w:ascii="Calibri" w:hAnsi="Calibri"/>
                <w:color w:val="1E293B"/>
                <w:sz w:val="18"/>
              </w:rPr>
              <w:t>Transitions status (OPEN -&gt; IN_PROGRESS) with admin note.</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testPassengerCannotAccessAdmin()</w:t>
            </w:r>
          </w:p>
        </w:tc>
        <w:tc>
          <w:tcPr>
            <w:tcW w:type="dxa" w:w="2160"/>
            <w:shd w:fill="FFFFFF"/>
            <w:tcMar>
              <w:top w:w="80" w:type="dxa"/>
              <w:bottom w:w="80" w:type="dxa"/>
              <w:left w:w="120" w:type="dxa"/>
              <w:right w:w="120" w:type="dxa"/>
            </w:tcMar>
          </w:tcPr>
          <w:p>
            <w:r>
              <w:rPr>
                <w:rFonts w:ascii="Calibri" w:hAnsi="Calibri"/>
                <w:color w:val="1E293B"/>
                <w:sz w:val="18"/>
              </w:rPr>
              <w:t>Spring Security RBAC</w:t>
            </w:r>
          </w:p>
        </w:tc>
        <w:tc>
          <w:tcPr>
            <w:tcW w:type="dxa" w:w="3413"/>
            <w:shd w:fill="FFFFFF"/>
            <w:tcMar>
              <w:top w:w="80" w:type="dxa"/>
              <w:bottom w:w="80" w:type="dxa"/>
              <w:left w:w="120" w:type="dxa"/>
              <w:right w:w="120" w:type="dxa"/>
            </w:tcMar>
          </w:tcPr>
          <w:p>
            <w:r>
              <w:rPr>
                <w:rFonts w:ascii="Calibri" w:hAnsi="Calibri"/>
                <w:color w:val="1E293B"/>
                <w:sz w:val="18"/>
              </w:rPr>
              <w:t>Verifies passenger receives HTTP 403 on admin endpoint.</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testUnauthenticatedDenied()</w:t>
            </w:r>
          </w:p>
        </w:tc>
        <w:tc>
          <w:tcPr>
            <w:tcW w:type="dxa" w:w="2160"/>
            <w:shd w:fill="F8FAFC"/>
            <w:tcMar>
              <w:top w:w="80" w:type="dxa"/>
              <w:bottom w:w="80" w:type="dxa"/>
              <w:left w:w="120" w:type="dxa"/>
              <w:right w:w="120" w:type="dxa"/>
            </w:tcMar>
          </w:tcPr>
          <w:p>
            <w:r>
              <w:rPr>
                <w:rFonts w:ascii="Calibri" w:hAnsi="Calibri"/>
                <w:color w:val="1E293B"/>
                <w:sz w:val="18"/>
              </w:rPr>
              <w:t>Spring Security RBAC</w:t>
            </w:r>
          </w:p>
        </w:tc>
        <w:tc>
          <w:tcPr>
            <w:tcW w:type="dxa" w:w="3413"/>
            <w:shd w:fill="F8FAFC"/>
            <w:tcMar>
              <w:top w:w="80" w:type="dxa"/>
              <w:bottom w:w="80" w:type="dxa"/>
              <w:left w:w="120" w:type="dxa"/>
              <w:right w:w="120" w:type="dxa"/>
            </w:tcMar>
          </w:tcPr>
          <w:p>
            <w:r>
              <w:rPr>
                <w:rFonts w:ascii="Calibri" w:hAnsi="Calibri"/>
                <w:color w:val="1E293B"/>
                <w:sz w:val="18"/>
              </w:rPr>
              <w:t>Verifies unauthenticated request receives HTTP 401.</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testRateLimitingFilter()</w:t>
            </w:r>
          </w:p>
        </w:tc>
        <w:tc>
          <w:tcPr>
            <w:tcW w:type="dxa" w:w="2160"/>
            <w:shd w:fill="FFFFFF"/>
            <w:tcMar>
              <w:top w:w="80" w:type="dxa"/>
              <w:bottom w:w="80" w:type="dxa"/>
              <w:left w:w="120" w:type="dxa"/>
              <w:right w:w="120" w:type="dxa"/>
            </w:tcMar>
          </w:tcPr>
          <w:p>
            <w:r>
              <w:rPr>
                <w:rFonts w:ascii="Calibri" w:hAnsi="Calibri"/>
                <w:color w:val="1E293B"/>
                <w:sz w:val="18"/>
              </w:rPr>
              <w:t>RateLimitingFilter</w:t>
            </w:r>
          </w:p>
        </w:tc>
        <w:tc>
          <w:tcPr>
            <w:tcW w:type="dxa" w:w="3413"/>
            <w:shd w:fill="FFFFFF"/>
            <w:tcMar>
              <w:top w:w="80" w:type="dxa"/>
              <w:bottom w:w="80" w:type="dxa"/>
              <w:left w:w="120" w:type="dxa"/>
              <w:right w:w="120" w:type="dxa"/>
            </w:tcMar>
          </w:tcPr>
          <w:p>
            <w:r>
              <w:rPr>
                <w:rFonts w:ascii="Calibri" w:hAnsi="Calibri"/>
                <w:color w:val="1E293B"/>
                <w:sz w:val="18"/>
              </w:rPr>
              <w:t>Verifies 300 req/min threshold and HTTP 429 response.</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testTrustedProxyValidation()</w:t>
            </w:r>
          </w:p>
        </w:tc>
        <w:tc>
          <w:tcPr>
            <w:tcW w:type="dxa" w:w="2160"/>
            <w:shd w:fill="F8FAFC"/>
            <w:tcMar>
              <w:top w:w="80" w:type="dxa"/>
              <w:bottom w:w="80" w:type="dxa"/>
              <w:left w:w="120" w:type="dxa"/>
              <w:right w:w="120" w:type="dxa"/>
            </w:tcMar>
          </w:tcPr>
          <w:p>
            <w:r>
              <w:rPr>
                <w:rFonts w:ascii="Calibri" w:hAnsi="Calibri"/>
                <w:color w:val="1E293B"/>
                <w:sz w:val="18"/>
              </w:rPr>
              <w:t>RateLimitingFilter</w:t>
            </w:r>
          </w:p>
        </w:tc>
        <w:tc>
          <w:tcPr>
            <w:tcW w:type="dxa" w:w="3413"/>
            <w:shd w:fill="F8FAFC"/>
            <w:tcMar>
              <w:top w:w="80" w:type="dxa"/>
              <w:bottom w:w="80" w:type="dxa"/>
              <w:left w:w="120" w:type="dxa"/>
              <w:right w:w="120" w:type="dxa"/>
            </w:tcMar>
          </w:tcPr>
          <w:p>
            <w:r>
              <w:rPr>
                <w:rFonts w:ascii="Calibri" w:hAnsi="Calibri"/>
                <w:color w:val="1E293B"/>
                <w:sz w:val="18"/>
              </w:rPr>
              <w:t>Rejects spoofed X-Forwarded-For from untrusted IP.</w:t>
            </w:r>
          </w:p>
        </w:tc>
        <w:tc>
          <w:tcPr>
            <w:tcW w:type="dxa" w:w="1008"/>
            <w:shd w:fill="F8FAFC"/>
            <w:tcMar>
              <w:top w:w="80" w:type="dxa"/>
              <w:bottom w:w="80" w:type="dxa"/>
              <w:left w:w="120" w:type="dxa"/>
              <w:right w:w="120" w:type="dxa"/>
            </w:tcMar>
          </w:tcPr>
          <w:p>
            <w:r>
              <w:rPr>
                <w:rFonts w:ascii="Calibri" w:hAnsi="Calibri"/>
                <w:color w:val="1E293B"/>
                <w:sz w:val="18"/>
              </w:rPr>
              <w:t>PASS</w:t>
            </w:r>
          </w:p>
        </w:tc>
      </w:tr>
      <w:tr>
        <w:tc>
          <w:tcPr>
            <w:tcW w:type="dxa" w:w="3168"/>
            <w:shd w:fill="FFFFFF"/>
            <w:tcMar>
              <w:top w:w="80" w:type="dxa"/>
              <w:bottom w:w="80" w:type="dxa"/>
              <w:left w:w="120" w:type="dxa"/>
              <w:right w:w="120" w:type="dxa"/>
            </w:tcMar>
          </w:tcPr>
          <w:p>
            <w:r>
              <w:rPr>
                <w:rFonts w:ascii="Calibri" w:hAnsi="Calibri"/>
                <w:color w:val="1E293B"/>
                <w:sz w:val="18"/>
              </w:rPr>
              <w:t>testCorrelationIdPropagation()</w:t>
            </w:r>
          </w:p>
        </w:tc>
        <w:tc>
          <w:tcPr>
            <w:tcW w:type="dxa" w:w="2160"/>
            <w:shd w:fill="FFFFFF"/>
            <w:tcMar>
              <w:top w:w="80" w:type="dxa"/>
              <w:bottom w:w="80" w:type="dxa"/>
              <w:left w:w="120" w:type="dxa"/>
              <w:right w:w="120" w:type="dxa"/>
            </w:tcMar>
          </w:tcPr>
          <w:p>
            <w:r>
              <w:rPr>
                <w:rFonts w:ascii="Calibri" w:hAnsi="Calibri"/>
                <w:color w:val="1E293B"/>
                <w:sz w:val="18"/>
              </w:rPr>
              <w:t>CorrelationIdFilter</w:t>
            </w:r>
          </w:p>
        </w:tc>
        <w:tc>
          <w:tcPr>
            <w:tcW w:type="dxa" w:w="3413"/>
            <w:shd w:fill="FFFFFF"/>
            <w:tcMar>
              <w:top w:w="80" w:type="dxa"/>
              <w:bottom w:w="80" w:type="dxa"/>
              <w:left w:w="120" w:type="dxa"/>
              <w:right w:w="120" w:type="dxa"/>
            </w:tcMar>
          </w:tcPr>
          <w:p>
            <w:r>
              <w:rPr>
                <w:rFonts w:ascii="Calibri" w:hAnsi="Calibri"/>
                <w:color w:val="1E293B"/>
                <w:sz w:val="18"/>
              </w:rPr>
              <w:t>Verifies X-Correlation-ID header generation and MDC binding.</w:t>
            </w:r>
          </w:p>
        </w:tc>
        <w:tc>
          <w:tcPr>
            <w:tcW w:type="dxa" w:w="1008"/>
            <w:shd w:fill="FFFFFF"/>
            <w:tcMar>
              <w:top w:w="80" w:type="dxa"/>
              <w:bottom w:w="80" w:type="dxa"/>
              <w:left w:w="120" w:type="dxa"/>
              <w:right w:w="120" w:type="dxa"/>
            </w:tcMar>
          </w:tcPr>
          <w:p>
            <w:r>
              <w:rPr>
                <w:rFonts w:ascii="Calibri" w:hAnsi="Calibri"/>
                <w:color w:val="1E293B"/>
                <w:sz w:val="18"/>
              </w:rPr>
              <w:t>PASS</w:t>
            </w:r>
          </w:p>
        </w:tc>
      </w:tr>
      <w:tr>
        <w:tc>
          <w:tcPr>
            <w:tcW w:type="dxa" w:w="3168"/>
            <w:shd w:fill="F8FAFC"/>
            <w:tcMar>
              <w:top w:w="80" w:type="dxa"/>
              <w:bottom w:w="80" w:type="dxa"/>
              <w:left w:w="120" w:type="dxa"/>
              <w:right w:w="120" w:type="dxa"/>
            </w:tcMar>
          </w:tcPr>
          <w:p>
            <w:r>
              <w:rPr>
                <w:rFonts w:ascii="Calibri" w:hAnsi="Calibri"/>
                <w:color w:val="1E293B"/>
                <w:sz w:val="18"/>
              </w:rPr>
              <w:t>testGlobalExceptionHandler()</w:t>
            </w:r>
          </w:p>
        </w:tc>
        <w:tc>
          <w:tcPr>
            <w:tcW w:type="dxa" w:w="2160"/>
            <w:shd w:fill="F8FAFC"/>
            <w:tcMar>
              <w:top w:w="80" w:type="dxa"/>
              <w:bottom w:w="80" w:type="dxa"/>
              <w:left w:w="120" w:type="dxa"/>
              <w:right w:w="120" w:type="dxa"/>
            </w:tcMar>
          </w:tcPr>
          <w:p>
            <w:r>
              <w:rPr>
                <w:rFonts w:ascii="Calibri" w:hAnsi="Calibri"/>
                <w:color w:val="1E293B"/>
                <w:sz w:val="18"/>
              </w:rPr>
              <w:t>GlobalExceptionHandler</w:t>
            </w:r>
          </w:p>
        </w:tc>
        <w:tc>
          <w:tcPr>
            <w:tcW w:type="dxa" w:w="3413"/>
            <w:shd w:fill="F8FAFC"/>
            <w:tcMar>
              <w:top w:w="80" w:type="dxa"/>
              <w:bottom w:w="80" w:type="dxa"/>
              <w:left w:w="120" w:type="dxa"/>
              <w:right w:w="120" w:type="dxa"/>
            </w:tcMar>
          </w:tcPr>
          <w:p>
            <w:r>
              <w:rPr>
                <w:rFonts w:ascii="Calibri" w:hAnsi="Calibri"/>
                <w:color w:val="1E293B"/>
                <w:sz w:val="18"/>
              </w:rPr>
              <w:t>Verifies sanitized JSON error body and zero stack traces.</w:t>
            </w:r>
          </w:p>
        </w:tc>
        <w:tc>
          <w:tcPr>
            <w:tcW w:type="dxa" w:w="1008"/>
            <w:shd w:fill="F8FAFC"/>
            <w:tcMar>
              <w:top w:w="80" w:type="dxa"/>
              <w:bottom w:w="80" w:type="dxa"/>
              <w:left w:w="120" w:type="dxa"/>
              <w:right w:w="120" w:type="dxa"/>
            </w:tcMar>
          </w:tcPr>
          <w:p>
            <w:r>
              <w:rPr>
                <w:rFonts w:ascii="Calibri" w:hAnsi="Calibri"/>
                <w:color w:val="1E293B"/>
                <w:sz w:val="18"/>
              </w:rPr>
              <w:t>PASS</w:t>
            </w:r>
          </w:p>
        </w:tc>
      </w:tr>
    </w:tbl>
    <w:p>
      <w:pPr>
        <w:spacing w:before="0" w:after="80"/>
      </w:pPr>
    </w:p>
    <w:p>
      <w:pPr>
        <w:keepNext/>
        <w:spacing w:before="240" w:after="80"/>
      </w:pPr>
      <w:r>
        <w:rPr>
          <w:rFonts w:ascii="Calibri" w:hAnsi="Calibri"/>
          <w:b/>
          <w:color w:val="134074"/>
          <w:sz w:val="26"/>
        </w:rPr>
        <w:t>20.2 Database Schema DDL Extract</w:t>
      </w:r>
    </w:p>
    <w:p>
      <w:pPr>
        <w:spacing w:before="0" w:after="100" w:line="276" w:lineRule="auto"/>
      </w:pPr>
      <w:r>
        <w:rPr>
          <w:rFonts w:ascii="Calibri" w:hAnsi="Calibri"/>
          <w:color w:val="1E293B"/>
          <w:sz w:val="22"/>
        </w:rPr>
        <w:t>The PostgreSQL schema is managed via Flyway versioned migrations. The listing below illustrates the relational structure supporting auditability and performance:</w:t>
      </w:r>
    </w:p>
    <w:tbl>
      <w:tblPr>
        <w:tblW w:type="auto" w:w="0"/>
        <w:jc w:val="center"/>
        <w:tblLayout w:type="fixed"/>
        <w:tblLook w:firstColumn="1" w:firstRow="1" w:lastColumn="0" w:lastRow="0" w:noHBand="0" w:noVBand="1" w:val="04A0"/>
      </w:tblPr>
      <w:tblGrid>
        <w:gridCol w:w="9749"/>
      </w:tblGrid>
      <w:tr>
        <w:tc>
          <w:tcPr>
            <w:tcW w:type="dxa" w:w="9749"/>
            <w:shd w:fill="EEF4FB"/>
            <w:tcMar>
              <w:top w:w="120" w:type="dxa"/>
              <w:bottom w:w="120" w:type="dxa"/>
              <w:left w:w="180" w:type="dxa"/>
              <w:right w:w="140" w:type="dxa"/>
            </w:tcMar>
            <w:tcBorders>
              <w:left w:val="single" w:sz="24" w:space="0" w:color="134074"/>
              <w:top w:val="none"/>
              <w:right w:val="none"/>
              <w:bottom w:val="none"/>
            </w:tcBorders>
          </w:tcPr>
          <w:p>
            <w:pPr>
              <w:spacing w:before="40" w:after="40" w:line="276" w:lineRule="auto"/>
            </w:pPr>
            <w:r>
              <w:rPr>
                <w:rFonts w:ascii="Calibri" w:hAnsi="Calibri"/>
                <w:b/>
                <w:color w:val="0B2545"/>
                <w:sz w:val="21"/>
              </w:rPr>
              <w:t>POSTGRESQL RELATIONAL SCHEMA DDL</w:t>
              <w:br/>
            </w:r>
            <w:r>
              <w:rPr>
                <w:rFonts w:ascii="Calibri" w:hAnsi="Calibri"/>
                <w:color w:val="1E293B"/>
                <w:sz w:val="20"/>
              </w:rPr>
              <w:t>-- Flyway Migration V1__init_schema.sql &amp; V2__add_performance_indexes.sql</w:t>
              <w:br/>
              <w:t>CREATE TABLE support_cases (</w:t>
              <w:br/>
              <w:t xml:space="preserve">    id BIGSERIAL PRIMARY KEY,</w:t>
              <w:br/>
              <w:t xml:space="preserve">    case_id VARCHAR(32) NOT NULL UNIQUE,</w:t>
              <w:br/>
              <w:t xml:space="preserve">    category VARCHAR(64) NOT NULL,</w:t>
              <w:br/>
              <w:t xml:space="preserve">    description TEXT NOT NULL,</w:t>
              <w:br/>
              <w:t xml:space="preserve">    status VARCHAR(32) NOT NULL DEFAULT 'OPEN',</w:t>
              <w:br/>
              <w:t xml:space="preserve">    created_at TIMESTAMP WITH TIME ZONE NOT NULL DEFAULT NOW(),</w:t>
              <w:br/>
              <w:t xml:space="preserve">    updated_at TIMESTAMP WITH TIME ZONE NOT NULL DEFAULT NOW()</w:t>
              <w:br/>
              <w:t>);</w:t>
              <w:br/>
              <w:br/>
              <w:t>CREATE TABLE case_events (</w:t>
              <w:br/>
              <w:t xml:space="preserve">    id BIGSERIAL PRIMARY KEY,</w:t>
              <w:br/>
              <w:t xml:space="preserve">    case_id VARCHAR(32) NOT NULL REFERENCES support_cases(case_id),</w:t>
              <w:br/>
              <w:t xml:space="preserve">    event_type VARCHAR(64) NOT NULL,</w:t>
              <w:br/>
              <w:t xml:space="preserve">    description TEXT NOT NULL,</w:t>
              <w:br/>
              <w:t xml:space="preserve">    created_by VARCHAR(64) NOT NULL,</w:t>
              <w:br/>
              <w:t xml:space="preserve">    created_at TIMESTAMP WITH TIME ZONE NOT NULL DEFAULT NOW()</w:t>
              <w:br/>
              <w:t>);</w:t>
              <w:br/>
              <w:br/>
              <w:t>CREATE TABLE audit_logs (</w:t>
              <w:br/>
              <w:t xml:space="preserve">    id BIGSERIAL PRIMARY KEY,</w:t>
              <w:br/>
              <w:t xml:space="preserve">    case_id VARCHAR(32) NOT NULL,</w:t>
              <w:br/>
              <w:t xml:space="preserve">    action VARCHAR(64) NOT NULL,</w:t>
              <w:br/>
              <w:t xml:space="preserve">    performed_by VARCHAR(64) NOT NULL,</w:t>
              <w:br/>
              <w:t xml:space="preserve">    correlation_id VARCHAR(64),</w:t>
              <w:br/>
              <w:t xml:space="preserve">    details TEXT,</w:t>
              <w:br/>
              <w:t xml:space="preserve">    timestamp TIMESTAMP WITH TIME ZONE NOT NULL DEFAULT NOW()</w:t>
              <w:br/>
              <w:t>);</w:t>
              <w:br/>
              <w:br/>
              <w:t>CREATE INDEX idx_cases_case_id ON support_cases(case_id);</w:t>
              <w:br/>
              <w:t>CREATE INDEX idx_cases_status ON support_cases(status);</w:t>
              <w:br/>
              <w:t>CREATE INDEX idx_events_case_id ON case_events(case_id);</w:t>
              <w:br/>
              <w:t>CREATE INDEX idx_audit_case_id ON audit_logs(case_id);</w:t>
              <w:br/>
              <w:t>CREATE INDEX idx_audit_timestamp ON audit_logs(timestamp);</w:t>
            </w:r>
          </w:p>
        </w:tc>
      </w:tr>
    </w:tbl>
    <w:p>
      <w:pPr>
        <w:spacing w:before="0" w:after="8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