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  <ns0:Override PartName="/word/commentsExtended.xml" ContentType="application/vnd.ms-word.commentsExtended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Heading1"/>
      </ns0:pPr>
      <ns0:r>
        <ns0:t>AtlasAudit Initial Design Review</ns0:t>
      </ns0:r>
    </ns0:p>
    <ns0:p>
      <ns0:r>
        <ns0:t>SYNTHETIC FICTIONAL HACKATHON DATA. AtlasAudit, Contoso Engineering, all people, metrics, comments, and decisions in this document are invented for demonstration and do not describe real events.</ns0:t>
      </ns0:r>
    </ns0:p>
    <ns0:p>
      <ns0:pPr>
        <ns0:pStyle ns0:val="Heading2"/>
      </ns0:pPr>
      <ns0:r>
        <ns0:t>Candidate platform</ns0:t>
      </ns0:r>
    </ns0:p>
    <ns0:p>
      <ns0:r>
        <ns0:t>The proposed hot path sends Event Hubs data to Azure Data Explorer for Kusto investigation. Synapse remains a candidate for long-range and cross-domain analysis.</ns0:t>
      </ns0:r>
    </ns0:p>
    <ns0:p>
      <ns0:pPr>
        <ns0:pStyle ns0:val="Heading2"/>
      </ns0:pPr>
      <ns0:r>
        <ns0:t>Integrity proposal</ns0:t>
      </ns0:r>
    </ns0:p>
    <ns0:p>
      <ns0:commentRangeStart ns0:id="1"/>
      <ns0:r>
        <ns0:t>The first draft relies on normal storage access controls and daily archive export for audit retention.</ns0:t>
      </ns0:r>
      <ns0:commentRangeEnd ns0:id="1"/>
      <ns0:r>
        <ns0:commentReference ns0:id="1"/>
      </ns0:r>
    </ns0:p>
    <ns0:p>
      <ns0:pPr>
        <ns0:pStyle ns0:val="Heading2"/>
      </ns0:pPr>
      <ns0:r>
        <ns0:t>Write topology</ns0:t>
      </ns0:r>
    </ns0:p>
    <ns0:p>
      <ns0:commentRangeStart ns0:id="3"/>
      <ns0:r>
        <ns0:t>A synchronous write to both Azure Data Explorer and Synapse could make both stores immediately available, but creates partial-success and replay coordination risk.</ns0:t>
      </ns0:r>
      <ns0:commentRangeEnd ns0:id="3"/>
      <ns0:r>
        <ns0:commentReference ns0:id="3"/>
      </ns0:r>
    </ns0:p>
    <ns0:p>
      <ns0:pPr>
        <ns0:pStyle ns0:val="Heading2"/>
      </ns0:pPr>
      <ns0:r>
        <ns0:t>Operations</ns0:t>
      </ns0:r>
    </ns0:p>
    <ns0:p>
      <ns0:commentRangeStart ns0:id="5"/>
      <ns0:r>
        <ns0:t>The service will monitor ingestion failures and provide an operator dashboard.</ns0:t>
      </ns0:r>
      <ns0:commentRangeEnd ns0:id="5"/>
      <ns0:r>
        <ns0:commentReference ns0:id="5"/>
      </ns0:r>
    </ns0:p>
    <ns0:p>
      <ns0:pPr>
        <ns0:pStyle ns0:val="Heading2"/>
      </ns0:pPr>
      <ns0:r>
        <ns0:t>Retention</ns0:t>
      </ns0:r>
    </ns0:p>
    <ns0:p>
      <ns0:commentRangeStart ns0:id="7"/>
      <ns0:r>
        <ns0:t>The initial estimate keeps 30 days of hot Azure Data Explorer data and 13 months in the archive.</ns0:t>
      </ns0:r>
      <ns0:commentRangeEnd ns0:id="7"/>
      <ns0:r>
        <ns0:commentReference ns0:id="7"/>
      </ns0:r>
    </ns0:p>
    <ns0:p>
      <ns0:pPr>
        <ns0:pStyle ns0:val="Heading2"/>
      </ns0:pPr>
      <ns0:r>
        <ns0:t>Delivery</ns0:t>
      </ns0:r>
    </ns0:p>
    <ns0:p>
      <ns0:commentRangeStart ns0:id="9"/>
      <ns0:r>
        <ns0:t>The pilot has six weeks to prove 25,000 sustained and 80,000 burst events per second while meeting reliability, integrity, query, and cost gates.</ns0:t>
      </ns0:r>
      <ns0:commentRangeEnd ns0:id="9"/>
      <ns0:r>
        <ns0:commentReference ns0:id="9"/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comments.xml><?xml version="1.0" encoding="utf-8"?>
<ns0:comments xmlns:ns0="http://schemas.openxmlformats.org/wordprocessingml/2006/main" xmlns:ns1="http://schemas.microsoft.com/office/word/2010/wordml">
  <ns0:comment ns0:id="1" ns0:author="Daniel Kim" ns0:date="2026-06-02T09:00:00Z">
    <ns0:p ns1:paraId="A0000001">
      <ns0:r>
        <ns0:t>Access control alone does not prove that exported evidence was not altered. Add source sequence ranges, immutable batches, and a hash-chain manifest.</ns0:t>
      </ns0:r>
    </ns0:p>
  </ns0:comment>
  <ns0:comment ns0:id="2" ns0:author="Maya Rao" ns0:date="2026-06-02T10:00:00Z">
    <ns0:p ns1:paraId="B0000002">
      <ns0:r>
        <ns0:t>Accepted. Use hourly immutable Parquet batches with sequence ranges and chained manifest hashes, plus reconciliation for gaps and duplicates.</ns0:t>
      </ns0:r>
    </ns0:p>
  </ns0:comment>
  <ns0:comment ns0:id="3" ns0:author="Priya Nair" ns0:date="2026-06-02T10:00:00Z">
    <ns0:p ns1:paraId="A0000003">
      <ns0:r>
        <ns0:t>I suggest dual-writing to ADX and Synapse so either platform can answer immediately.</ns0:t>
      </ns0:r>
    </ns0:p>
  </ns0:comment>
  <ns0:comment ns0:id="4" ns0:author="Maya Rao" ns0:date="2026-06-02T11:00:00Z">
    <ns0:p ns1:paraId="B0000004">
      <ns0:r>
        <ns0:t>Rejected for phase one. Synchronous dual-write increases partial-success and schema coordination risk. Keep one ADX ingress path and an idempotent archive export.</ns0:t>
      </ns0:r>
    </ns0:p>
  </ns0:comment>
  <ns0:comment ns0:id="5" ns0:author="Luis Martinez" ns0:date="2026-06-02T11:00:00Z">
    <ns0:p ns1:paraId="A0000005">
      <ns0:r>
        <ns0:t>The monitoring statement is too broad. Define searchable latency, backlog, oldest unexported batch, hash mismatch, dead-letter growth, and runbook ownership.</ns0:t>
      </ns0:r>
    </ns0:p>
  </ns0:comment>
  <ns0:comment ns0:id="6" ns0:author="Maya Rao" ns0:date="2026-06-02T12:00:00Z">
    <ns0:p ns1:paraId="B0000006">
      <ns0:r>
        <ns0:t>Accepted. Add those signals and page when searchable latency exceeds 90 seconds or oldest-unexported-batch age exceeds ten minutes.</ns0:t>
      </ns0:r>
    </ns0:p>
  </ns0:comment>
  <ns0:comment ns0:id="7" ns0:author="Aisha Khan" ns0:date="2026-06-02T12:00:00Z">
    <ns0:p ns1:paraId="A0000007">
      <ns0:r>
        <ns0:t>Thirty hot days raises cost without evidence that incidents need that window. Model 14 days and retain the 30-day estimate as a comparison baseline.</ns0:t>
      </ns0:r>
    </ns0:p>
  </ns0:comment>
  <ns0:comment ns0:id="8" ns0:author="Maya Rao" ns0:date="2026-06-02T13:00:00Z">
    <ns0:p ns1:paraId="B0000008">
      <ns0:r>
        <ns0:t>Refined. Use 14-day hot retention, a 13-month immutable archive, and a pilot cost gate. Revisit only if measured incident demand shows the window is inadequate.</ns0:t>
      </ns0:r>
    </ns0:p>
  </ns0:comment>
  <ns0:comment ns0:id="9" ns0:author="Ethan Brooks" ns0:date="2026-06-02T13:00:00Z">
    <ns0:p ns1:paraId="A0000009">
      <ns0:r>
        <ns0:t>Please make the pilot gate testable: burst load, duplicate delivery, export restart, storage throttling, schema evolution, and archive recovery.</ns0:t>
      </ns0:r>
    </ns0:p>
  </ns0:comment>
  <ns0:comment ns0:id="10" ns0:author="Maya Rao" ns0:date="2026-06-02T14:00:00Z">
    <ns0:p ns1:paraId="B000000A">
      <ns0:r>
        <ns0:t>Accepted. The decision remains phased until latency, failure recovery, integrity, and cost gates pass; a happy-path demonstration is not sufficient.</ns0:t>
      </ns0:r>
    </ns0:p>
  </ns0:comment>
</ns0:comments>
</file>

<file path=word/commentsExtended.xml><?xml version="1.0" encoding="utf-8"?>
<ns0:commentsEx xmlns:ns0="http://schemas.microsoft.com/office/word/2012/wordml">
  <ns0:commentEx ns0:paraId="A0000001"/>
  <ns0:commentEx ns0:paraId="B0000002" ns0:paraIdParent="A0000001"/>
  <ns0:commentEx ns0:paraId="A0000003"/>
  <ns0:commentEx ns0:paraId="B0000004" ns0:paraIdParent="A0000003"/>
  <ns0:commentEx ns0:paraId="A0000005"/>
  <ns0:commentEx ns0:paraId="B0000006" ns0:paraIdParent="A0000005"/>
  <ns0:commentEx ns0:paraId="A0000007"/>
  <ns0:commentEx ns0:paraId="B0000008" ns0:paraIdParent="A0000007"/>
  <ns0:commentEx ns0:paraId="A0000009"/>
  <ns0:commentEx ns0:paraId="B000000A" ns0:paraIdParent="A0000009"/>
</ns0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AtlasComments" Type="http://schemas.openxmlformats.org/officeDocument/2006/relationships/comments" Target="comments.xml" /><ns0:Relationship Id="rIdAtlasCommentsExtended" Type="http://schemas.microsoft.com/office/2011/relationships/commentsExtended" Target="commentsExtended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