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E2761"/>
          <w:sz w:val="52"/>
          <w:szCs w:val="52"/>
        </w:rPr>
        <w:t xml:space="preserve">iPaaS Platform — HR Integration Strategy</w:t>
      </w:r>
    </w:p>
    <w:p>
      <w:pPr>
        <w:spacing w:after="300"/>
      </w:pPr>
      <w:r>
        <w:rPr>
          <w:rFonts w:ascii="Calibri" w:cs="Calibri" w:eastAsia="Calibri" w:hAnsi="Calibri"/>
          <w:i/>
          <w:iCs/>
          <w:color w:val="5C6B8A"/>
          <w:sz w:val="30"/>
          <w:szCs w:val="30"/>
        </w:rPr>
        <w:t xml:space="preserve">Build vs. Buy — Leadership Brief</w:t>
      </w:r>
    </w:p>
    <w:tbl>
      <w:tblPr>
        <w:tblW w:type="pct" w:w="100%"/>
        <w:tblBorders>
          <w:top w:val="single" w:color="1E2761" w:sz="6"/>
          <w:left w:val="single" w:color="1E2761" w:sz="6"/>
          <w:bottom w:val="single" w:color="1E2761" w:sz="6"/>
          <w:right w:val="single" w:color="1E2761" w:sz="6"/>
          <w:insideH w:val="single" w:color="auto" w:sz="4"/>
          <w:insideV w:val="single" w:color="auto" w:sz="4"/>
        </w:tblBorders>
      </w:tblPr>
      <w:tblGrid>
        <w:gridCol w:w="100"/>
      </w:tblGrid>
      <w:tr>
        <w:tc>
          <w:tcPr>
            <w:shd w:fill="CADCFC" w:val="clear"/>
            <w:tcMar>
              <w:top w:type="dxa" w:w="200"/>
              <w:left w:type="dxa" w:w="200"/>
              <w:bottom w:type="dxa" w:w="200"/>
              <w:right w:type="dxa" w:w="200"/>
            </w:tcMar>
          </w:tcPr>
          <w:p>
            <w:pPr>
              <w:spacing w:after="100"/>
            </w:pPr>
            <w:r>
              <w:rPr>
                <w:rFonts w:ascii="Calibri" w:cs="Calibri" w:eastAsia="Calibri" w:hAnsi="Calibri"/>
                <w:b/>
                <w:bCs/>
                <w:color w:val="1E2761"/>
                <w:sz w:val="26"/>
                <w:szCs w:val="26"/>
              </w:rPr>
              <w:t xml:space="preserve">The Ask</w:t>
            </w:r>
          </w:p>
          <w:p>
            <w:pPr>
              <w:spacing w:after="0" w:line="300"/>
            </w:pPr>
            <w:r>
              <w:rPr>
                <w:rFonts w:ascii="Calibri" w:cs="Calibri" w:eastAsia="Calibri" w:hAnsi="Calibri"/>
                <w:color w:val="1B1F3B"/>
                <w:sz w:val="24"/>
                <w:szCs w:val="24"/>
              </w:rPr>
              <w:t xml:space="preserve">Approve the remaining custom-build effort for HR platform connectors. Across a 2-year horizon and our top-10 target HR providers, custom build ties with the cheapest vendor option on cost, and is the only option that fully covers our two fastest-growing target markets (Darwinbox, greytHR) — neither of which any unified API or connector platform we evaluated supports today.</w:t>
            </w:r>
          </w:p>
        </w:tc>
      </w:tr>
    </w:tbl>
    <w:p>
      <w:pPr>
        <w:spacing w:after="100" w:before="0" w:line="300"/>
        <w:jc w:val="left"/>
      </w:pPr>
      <w:r>
        <w:rPr>
          <w:rFonts w:ascii="Calibri" w:cs="Calibri" w:eastAsia="Calibri" w:hAnsi="Calibri"/>
          <w:b w:val="false"/>
          <w:bCs w:val="false"/>
          <w:i w:val="false"/>
          <w:iCs w:val="false"/>
          <w:color w:val="1B1F3B"/>
          <w:sz w:val="24"/>
          <w:szCs w:val="24"/>
        </w:rPr>
        <w:t xml:space="preserve"/>
      </w:r>
    </w:p>
    <w:p>
      <w:pPr>
        <w:pBdr>
          <w:bottom w:val="single" w:color="1E2761" w:sz="8" w:space="6"/>
        </w:pBdr>
        <w:spacing w:after="240" w:before="400"/>
      </w:pPr>
      <w:r>
        <w:rPr>
          <w:rFonts w:ascii="Calibri" w:cs="Calibri" w:eastAsia="Calibri" w:hAnsi="Calibri"/>
          <w:b/>
          <w:bCs/>
          <w:color w:val="1E2761"/>
          <w:sz w:val="40"/>
          <w:szCs w:val="40"/>
        </w:rPr>
        <w:t xml:space="preserve">1. The Problem</w:t>
      </w:r>
    </w:p>
    <w:p>
      <w:pPr>
        <w:spacing w:after="200" w:before="0" w:line="300"/>
        <w:jc w:val="left"/>
      </w:pPr>
      <w:r>
        <w:rPr>
          <w:rFonts w:ascii="Calibri" w:cs="Calibri" w:eastAsia="Calibri" w:hAnsi="Calibri"/>
          <w:b w:val="false"/>
          <w:bCs w:val="false"/>
          <w:i w:val="false"/>
          <w:iCs w:val="false"/>
          <w:color w:val="1B1F3B"/>
          <w:sz w:val="24"/>
          <w:szCs w:val="24"/>
        </w:rPr>
        <w:t xml:space="preserve">Our platform needs to connect to whichever HR system a customer already runs — pulling employee, payroll, and org-structure data on a recurring basis, and in some cases writing data back. Each HR provider has its own authentication model, data shape, and rate limits, and several of the providers our target customers actually use (particularly India/APAC-focused platforms) are not covered by any off-the-shelf integration tool we could find.</w:t>
      </w:r>
    </w:p>
    <w:p>
      <w:pPr>
        <w:spacing w:after="200" w:before="0" w:line="300"/>
        <w:jc w:val="left"/>
      </w:pPr>
      <w:r>
        <w:rPr>
          <w:rFonts w:ascii="Calibri" w:cs="Calibri" w:eastAsia="Calibri" w:hAnsi="Calibri"/>
          <w:b w:val="false"/>
          <w:bCs w:val="false"/>
          <w:i w:val="false"/>
          <w:iCs w:val="false"/>
          <w:color w:val="1B1F3B"/>
          <w:sz w:val="24"/>
          <w:szCs w:val="24"/>
        </w:rPr>
        <w:t xml:space="preserve">The question in front of leadership is not whether we need HR integrations — we do — it's whether to build the connector layer ourselves or adopt a third-party tool to accelerate it.</w:t>
      </w:r>
    </w:p>
    <w:p>
      <w:pPr>
        <w:pBdr>
          <w:bottom w:val="single" w:color="1E2761" w:sz="8" w:space="6"/>
        </w:pBdr>
        <w:spacing w:after="240" w:before="400"/>
      </w:pPr>
      <w:r>
        <w:rPr>
          <w:rFonts w:ascii="Calibri" w:cs="Calibri" w:eastAsia="Calibri" w:hAnsi="Calibri"/>
          <w:b/>
          <w:bCs/>
          <w:color w:val="1E2761"/>
          <w:sz w:val="40"/>
          <w:szCs w:val="40"/>
        </w:rPr>
        <w:t xml:space="preserve">2. Top 10 HR Providers We're Targeting</w:t>
      </w:r>
    </w:p>
    <w:p>
      <w:pPr>
        <w:spacing w:after="200" w:before="0" w:line="300"/>
        <w:jc w:val="left"/>
      </w:pPr>
      <w:r>
        <w:rPr>
          <w:rFonts w:ascii="Calibri" w:cs="Calibri" w:eastAsia="Calibri" w:hAnsi="Calibri"/>
          <w:b w:val="false"/>
          <w:bCs w:val="false"/>
          <w:i/>
          <w:iCs/>
          <w:color w:val="5C6B8A"/>
          <w:sz w:val="24"/>
          <w:szCs w:val="24"/>
        </w:rPr>
        <w:t xml:space="preserve">Selected to blend global enterprise reach with the mid-market and India/APAC segments where we see the most immediate demand (anchored by our existing Keka and Darwinbox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400"/>
      </w:tblGrid>
      <w:tr>
        <w:trPr>
          <w:tblHeader/>
        </w:trPr>
        <w:tc>
          <w:tcPr>
            <w:tcW w:type="dxa" w:w="2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Provider</w:t>
            </w:r>
          </w:p>
        </w:tc>
        <w:tc>
          <w:tcPr>
            <w:tcW w:type="dxa" w:w="19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Segment</w:t>
            </w:r>
          </w:p>
        </w:tc>
        <w:tc>
          <w:tcPr>
            <w:tcW w:type="dxa" w:w="4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Why It Matters</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Workday</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Global Enterprise</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Dominant at very large, multi-thousand-employee global organizations.</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SAP SuccessFactors</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Global Enterprise</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SAP's HCM suite; common at large enterprises already on SAP.</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ADP (Workforce Now / GlobalView)</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Global Enterprise / Payroll</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Most widely deployed global payroll platform; 140+ country coverage.</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UKG Pro</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Global Enterprise</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Strong in workforce operations — payroll, time &amp; attendance, labor cost.</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Dayforce (Ceridian)</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Global Enterprise</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Workforce operations specialist, competes directly with UKG.</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Rippling</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Mid-Market / High-Growth</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Consolidates HR, IT, and payroll for fast-growing companies.</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BambooHR</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SMB / Mid-Market</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Clean core HR and payroll for smaller teams.</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Keka</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India / APAC Mid-Market</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Leading India HRMS; already live in our scope.</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Darwinbox</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India / APAC Enterprise</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Strongest India/APAC fit for large, unified-architecture enterprises.</w:t>
            </w:r>
          </w:p>
        </w:tc>
      </w:tr>
      <w:tr>
        <w:tc>
          <w:tcPr>
            <w:tcW w:type="dxa" w:w="24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greytHR</w:t>
            </w:r>
          </w:p>
        </w:tc>
        <w:tc>
          <w:tcPr>
            <w:tcW w:type="dxa" w:w="19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India SMB / Mid-Market</w:t>
            </w:r>
          </w:p>
        </w:tc>
        <w:tc>
          <w:tcPr>
            <w:tcW w:type="dxa" w:w="44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Payroll-first India HR platform, strong SME base.</w:t>
            </w:r>
          </w:p>
        </w:tc>
      </w:tr>
    </w:tbl>
    <w:p>
      <w:pPr>
        <w:spacing w:after="120" w:before="0" w:line="300"/>
        <w:jc w:val="left"/>
      </w:pPr>
      <w:r>
        <w:rPr>
          <w:rFonts w:ascii="Calibri" w:cs="Calibri" w:eastAsia="Calibri" w:hAnsi="Calibri"/>
          <w:b w:val="false"/>
          <w:bCs w:val="false"/>
          <w:i w:val="false"/>
          <w:iCs w:val="false"/>
          <w:color w:val="1B1F3B"/>
          <w:sz w:val="24"/>
          <w:szCs w:val="24"/>
        </w:rPr>
        <w:t xml:space="preserve"/>
      </w:r>
    </w:p>
    <w:p>
      <w:pPr>
        <w:pBdr>
          <w:bottom w:val="single" w:color="1E2761" w:sz="8" w:space="6"/>
        </w:pBdr>
        <w:spacing w:after="240" w:before="400"/>
      </w:pPr>
      <w:r>
        <w:rPr>
          <w:rFonts w:ascii="Calibri" w:cs="Calibri" w:eastAsia="Calibri" w:hAnsi="Calibri"/>
          <w:b/>
          <w:bCs/>
          <w:color w:val="1E2761"/>
          <w:sz w:val="40"/>
          <w:szCs w:val="40"/>
        </w:rPr>
        <w:t xml:space="preserve">3. Essential Features Required to Build This iPaaS</w:t>
      </w:r>
    </w:p>
    <w:p>
      <w:pPr>
        <w:spacing w:after="200" w:before="0" w:line="300"/>
        <w:jc w:val="left"/>
      </w:pPr>
      <w:r>
        <w:rPr>
          <w:rFonts w:ascii="Calibri" w:cs="Calibri" w:eastAsia="Calibri" w:hAnsi="Calibri"/>
          <w:b w:val="false"/>
          <w:bCs w:val="false"/>
          <w:i w:val="false"/>
          <w:iCs w:val="false"/>
          <w:color w:val="1B1F3B"/>
          <w:sz w:val="24"/>
          <w:szCs w:val="24"/>
        </w:rPr>
        <w:t xml:space="preserve">Thirteen capability areas any HR-connector layer needs, regardless of who builds it. This is the yardstick every option below is measured against.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trPr>
        <w:tc>
          <w:tcPr>
            <w:tcW w:type="dxa" w:w="26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Feature</w:t>
            </w:r>
          </w:p>
        </w:tc>
        <w:tc>
          <w:tcPr>
            <w:tcW w:type="dxa" w:w="61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What It Covers</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Connectivity &amp; Auth</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OAuth2, API key, mTLS, per-tenant credential vault.</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Sync Modes</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One-time, scheduled/batch, incremental/delta, real-time/event-driven, streaming/CDC, bi-directional, reverse ETL, on-demand, persistent connection.</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Data Mapping &amp; Transformation</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Normalizing each provider's schema into our canonical model.</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Orchestration &amp; Scheduling</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Triggering, sequencing, and retrying sync jobs reliably.</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Multi-Tenancy &amp; Isolation</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Per-customer credentials and data kept cleanly separated.</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Error Handling &amp; Resilience</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Retry logic, dead-letter queues, idempotency.</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Observability &amp; Monitoring</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Logs, metrics, and alerting on sync health.</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Governance &amp; Compliance</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Data residency, encryption, PII masking, audit trail.</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Extensibility / SDK</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Adding a new provider without a platform rewrite.</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Security</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Secrets management, RBAC, field-level access control.</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Scalability &amp; Performance</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Handling growth in customers and providers without redesign.</w:t>
            </w:r>
          </w:p>
        </w:tc>
      </w:tr>
      <w:tr>
        <w:tc>
          <w:tcPr>
            <w:tcW w:type="dxa" w:w="26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Time-to-Build a New Connector</w:t>
            </w:r>
          </w:p>
        </w:tc>
        <w:tc>
          <w:tcPr>
            <w:tcW w:type="dxa" w:w="61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The number leadership tends to fixate on — how fast we onboard the next provider.</w:t>
            </w:r>
          </w:p>
        </w:tc>
      </w:tr>
      <w:tr>
        <w:tc>
          <w:tcPr>
            <w:tcW w:type="dxa" w:w="26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Cloud Agnostic</w:t>
            </w:r>
          </w:p>
        </w:tc>
        <w:tc>
          <w:tcPr>
            <w:tcW w:type="dxa" w:w="61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Running on any hyperscaler (AWS/Azure/GCP) without being architecturally tied to one — distinct from vendor lock-in, which is about being tied to a company rather than a cloud.</w:t>
            </w:r>
          </w:p>
        </w:tc>
      </w:tr>
    </w:tbl>
    <w:p>
      <w:pPr>
        <w:spacing w:after="120" w:before="0" w:line="300"/>
        <w:jc w:val="left"/>
      </w:pPr>
      <w:r>
        <w:rPr>
          <w:rFonts w:ascii="Calibri" w:cs="Calibri" w:eastAsia="Calibri" w:hAnsi="Calibri"/>
          <w:b w:val="false"/>
          <w:bCs w:val="false"/>
          <w:i w:val="false"/>
          <w:iCs w:val="false"/>
          <w:color w:val="1B1F3B"/>
          <w:sz w:val="24"/>
          <w:szCs w:val="24"/>
        </w:rPr>
        <w:t xml:space="preserve"/>
      </w:r>
    </w:p>
    <w:p>
      <w:r>
        <w:br w:type="page"/>
      </w:r>
    </w:p>
    <w:p>
      <w:pPr>
        <w:pBdr>
          <w:bottom w:val="single" w:color="1E2761" w:sz="8" w:space="6"/>
        </w:pBdr>
        <w:spacing w:after="240" w:before="400"/>
      </w:pPr>
      <w:r>
        <w:rPr>
          <w:rFonts w:ascii="Calibri" w:cs="Calibri" w:eastAsia="Calibri" w:hAnsi="Calibri"/>
          <w:b/>
          <w:bCs/>
          <w:color w:val="1E2761"/>
          <w:sz w:val="40"/>
          <w:szCs w:val="40"/>
        </w:rPr>
        <w:t xml:space="preserve">4. Options Considered</w:t>
      </w:r>
    </w:p>
    <w:p>
      <w:pPr>
        <w:spacing w:after="200" w:before="0" w:line="300"/>
        <w:jc w:val="left"/>
      </w:pPr>
      <w:r>
        <w:rPr>
          <w:rFonts w:ascii="Calibri" w:cs="Calibri" w:eastAsia="Calibri" w:hAnsi="Calibri"/>
          <w:b w:val="false"/>
          <w:bCs w:val="false"/>
          <w:i w:val="false"/>
          <w:iCs w:val="false"/>
          <w:color w:val="1B1F3B"/>
          <w:sz w:val="24"/>
          <w:szCs w:val="24"/>
        </w:rPr>
        <w:t xml:space="preserve">We grouped every tool in the market into four categories rather than evaluating each individually — the pattern within a category matters more than any single vendor's marketing.</w:t>
      </w:r>
    </w:p>
    <w:p>
      <w:pPr>
        <w:spacing w:after="180" w:before="320"/>
      </w:pPr>
      <w:r>
        <w:rPr>
          <w:rFonts w:ascii="Calibri" w:cs="Calibri" w:eastAsia="Calibri" w:hAnsi="Calibri"/>
          <w:b/>
          <w:bCs/>
          <w:color w:val="1E2761"/>
          <w:sz w:val="32"/>
          <w:szCs w:val="32"/>
        </w:rPr>
        <w:t xml:space="preserve">Custom Build</w:t>
      </w:r>
    </w:p>
    <w:p>
      <w:pPr>
        <w:spacing w:after="200" w:before="0" w:line="300"/>
        <w:jc w:val="left"/>
      </w:pPr>
      <w:r>
        <w:rPr>
          <w:rFonts w:ascii="Calibri" w:cs="Calibri" w:eastAsia="Calibri" w:hAnsi="Calibri"/>
          <w:b w:val="false"/>
          <w:bCs w:val="false"/>
          <w:i w:val="false"/>
          <w:iCs w:val="false"/>
          <w:color w:val="1B1F3B"/>
          <w:sz w:val="24"/>
          <w:szCs w:val="24"/>
        </w:rPr>
        <w:t xml:space="preserve">A connector-sdk we own, running as a per-tenant, per-provider sync job. Full control over every feature in Section 3, at the cost of building and maintaining it ourselves.</w:t>
      </w:r>
    </w:p>
    <w:p>
      <w:pPr>
        <w:spacing w:after="180" w:before="320"/>
      </w:pPr>
      <w:r>
        <w:rPr>
          <w:rFonts w:ascii="Calibri" w:cs="Calibri" w:eastAsia="Calibri" w:hAnsi="Calibri"/>
          <w:b/>
          <w:bCs/>
          <w:color w:val="1E2761"/>
          <w:sz w:val="32"/>
          <w:szCs w:val="32"/>
        </w:rPr>
        <w:t xml:space="preserve">Direct Connector Platforms — Nango, Temporal</w:t>
      </w:r>
    </w:p>
    <w:p>
      <w:pPr>
        <w:spacing w:after="200" w:before="0" w:line="300"/>
        <w:jc w:val="left"/>
      </w:pPr>
      <w:r>
        <w:rPr>
          <w:rFonts w:ascii="Calibri" w:cs="Calibri" w:eastAsia="Calibri" w:hAnsi="Calibri"/>
          <w:b w:val="false"/>
          <w:bCs w:val="false"/>
          <w:i w:val="false"/>
          <w:iCs w:val="false"/>
          <w:color w:val="1B1F3B"/>
          <w:sz w:val="24"/>
          <w:szCs w:val="24"/>
        </w:rPr>
        <w:t xml:space="preserve">Infrastructure for building connectors faster (auth handling, workflow orchestration) — not pre-built HR integrations. We still write the HR-specific logic; these tools remove plumbing work around it.</w:t>
      </w:r>
    </w:p>
    <w:p>
      <w:pPr>
        <w:spacing w:after="180" w:before="320"/>
      </w:pPr>
      <w:r>
        <w:rPr>
          <w:rFonts w:ascii="Calibri" w:cs="Calibri" w:eastAsia="Calibri" w:hAnsi="Calibri"/>
          <w:b/>
          <w:bCs/>
          <w:color w:val="1E2761"/>
          <w:sz w:val="32"/>
          <w:szCs w:val="32"/>
        </w:rPr>
        <w:t xml:space="preserve">Unified HR APIs — Merge.dev, Finch, Kombo</w:t>
      </w:r>
    </w:p>
    <w:p>
      <w:pPr>
        <w:spacing w:after="200" w:before="0" w:line="300"/>
        <w:jc w:val="left"/>
      </w:pPr>
      <w:r>
        <w:rPr>
          <w:rFonts w:ascii="Calibri" w:cs="Calibri" w:eastAsia="Calibri" w:hAnsi="Calibri"/>
          <w:b w:val="false"/>
          <w:bCs w:val="false"/>
          <w:i w:val="false"/>
          <w:iCs w:val="false"/>
          <w:color w:val="1B1F3B"/>
          <w:sz w:val="24"/>
          <w:szCs w:val="24"/>
        </w:rPr>
        <w:t xml:space="preserve">Purpose-built for HR/HRIS integrations, with pre-built connectors to many Western HR platforms. Priced per connected end-customer account (Merge.dev: $650/mo for the first 10 accounts, +$65/account beyond that), which changes the cost profile significantly at our scale — see the accompanying ROI workbook. Coverage of Darwinbox and greytHR was not found in any of the three.</w:t>
      </w:r>
    </w:p>
    <w:p>
      <w:pPr>
        <w:spacing w:after="180" w:before="320"/>
      </w:pPr>
      <w:r>
        <w:rPr>
          <w:rFonts w:ascii="Calibri" w:cs="Calibri" w:eastAsia="Calibri" w:hAnsi="Calibri"/>
          <w:b/>
          <w:bCs/>
          <w:color w:val="1E2761"/>
          <w:sz w:val="32"/>
          <w:szCs w:val="32"/>
        </w:rPr>
        <w:t xml:space="preserve">Other General iPaaS Platforms — Airbyte, Workato, Boomi, Celigo</w:t>
      </w:r>
    </w:p>
    <w:p>
      <w:pPr>
        <w:spacing w:after="200" w:before="0" w:line="300"/>
        <w:jc w:val="left"/>
      </w:pPr>
      <w:r>
        <w:rPr>
          <w:rFonts w:ascii="Calibri" w:cs="Calibri" w:eastAsia="Calibri" w:hAnsi="Calibri"/>
          <w:b w:val="false"/>
          <w:bCs w:val="false"/>
          <w:i w:val="false"/>
          <w:iCs w:val="false"/>
          <w:color w:val="1B1F3B"/>
          <w:sz w:val="24"/>
          <w:szCs w:val="24"/>
        </w:rPr>
        <w:t xml:space="preserve">General-purpose integration platforms not built specifically for HR data. Airbyte offers a Workday connector at enterprise/premium tier; the others have no confirmed pre-built HR connectors relevant to our top-10 list.</w:t>
      </w:r>
    </w:p>
    <w:p>
      <w:pPr>
        <w:pBdr>
          <w:bottom w:val="single" w:color="1E2761" w:sz="8" w:space="6"/>
        </w:pBdr>
        <w:spacing w:after="240" w:before="400"/>
      </w:pPr>
      <w:r>
        <w:rPr>
          <w:rFonts w:ascii="Calibri" w:cs="Calibri" w:eastAsia="Calibri" w:hAnsi="Calibri"/>
          <w:b/>
          <w:bCs/>
          <w:color w:val="1E2761"/>
          <w:sz w:val="40"/>
          <w:szCs w:val="40"/>
        </w:rPr>
        <w:t xml:space="preserve">5. Evaluation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5800"/>
      </w:tblGrid>
      <w:tr>
        <w:trPr>
          <w:tblHeader/>
        </w:trPr>
        <w:tc>
          <w:tcPr>
            <w:tcW w:type="dxa" w:w="29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Dimension</w:t>
            </w:r>
          </w:p>
        </w:tc>
        <w:tc>
          <w:tcPr>
            <w:tcW w:type="dxa" w:w="58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What We're Really Asking</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Control &amp; customization</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How much we can shape the connector to our exact data model.</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Time to first integration</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How fast we can ship the first working HR connector.</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Cost at our stage</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Total cost today, at our current customer count.</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Feature coverage vs. taxonomy</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How much of Section 3's framework the option covers out of the box.</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Production readiness</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Whether it's battle-tested at our scale today, not eventually.</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Vendor / platform lock-in</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How hard it would be to leave this option later.</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Team fit</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Whether our team already has the skills this option requires.</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Future-provider cost</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What it costs to add the next HR provider after this one.</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Ongoing maintenance</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Who is responsible when a provider changes their API.</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License risk</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Legal constraints on how we can use/resell the tool (e.g., Airbyte's Elastic License v2 restricts hosted multi-tenant resale).</w:t>
            </w:r>
          </w:p>
        </w:tc>
      </w:tr>
      <w:tr>
        <w:tc>
          <w:tcPr>
            <w:tcW w:type="dxa" w:w="29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Compliance / certification support</w:t>
            </w:r>
          </w:p>
        </w:tc>
        <w:tc>
          <w:tcPr>
            <w:tcW w:type="dxa" w:w="5800"/>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SOC2, HIPAA, GDPR readiness — matters if customers are regulated.</w:t>
            </w:r>
          </w:p>
        </w:tc>
      </w:tr>
      <w:tr>
        <w:tc>
          <w:tcPr>
            <w:tcW w:type="dxa" w:w="29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Talent availability</w:t>
            </w:r>
          </w:p>
        </w:tc>
        <w:tc>
          <w:tcPr>
            <w:tcW w:type="dxa" w:w="5800"/>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Whether we can hire and retain people who know this stack.</w:t>
            </w:r>
          </w:p>
        </w:tc>
      </w:tr>
    </w:tbl>
    <w:p>
      <w:pPr>
        <w:spacing w:after="120" w:before="0" w:line="300"/>
        <w:jc w:val="left"/>
      </w:pPr>
      <w:r>
        <w:rPr>
          <w:rFonts w:ascii="Calibri" w:cs="Calibri" w:eastAsia="Calibri" w:hAnsi="Calibri"/>
          <w:b w:val="false"/>
          <w:bCs w:val="false"/>
          <w:i w:val="false"/>
          <w:iCs w:val="false"/>
          <w:color w:val="1B1F3B"/>
          <w:sz w:val="24"/>
          <w:szCs w:val="24"/>
        </w:rPr>
        <w:t xml:space="preserve"/>
      </w:r>
    </w:p>
    <w:p>
      <w:r>
        <w:br w:type="page"/>
      </w:r>
    </w:p>
    <w:p>
      <w:pPr>
        <w:pBdr>
          <w:bottom w:val="single" w:color="1E2761" w:sz="8" w:space="6"/>
        </w:pBdr>
        <w:spacing w:after="240" w:before="400"/>
      </w:pPr>
      <w:r>
        <w:rPr>
          <w:rFonts w:ascii="Calibri" w:cs="Calibri" w:eastAsia="Calibri" w:hAnsi="Calibri"/>
          <w:b/>
          <w:bCs/>
          <w:color w:val="1E2761"/>
          <w:sz w:val="40"/>
          <w:szCs w:val="40"/>
        </w:rPr>
        <w:t xml:space="preserve">6. Provider Coverage Reality Check</w:t>
      </w:r>
    </w:p>
    <w:p>
      <w:pPr>
        <w:spacing w:after="200" w:before="0" w:line="300"/>
        <w:jc w:val="left"/>
      </w:pPr>
      <w:r>
        <w:rPr>
          <w:rFonts w:ascii="Calibri" w:cs="Calibri" w:eastAsia="Calibri" w:hAnsi="Calibri"/>
          <w:b w:val="false"/>
          <w:bCs w:val="false"/>
          <w:i/>
          <w:iCs/>
          <w:color w:val="5C6B8A"/>
          <w:sz w:val="24"/>
          <w:szCs w:val="24"/>
        </w:rPr>
        <w:t xml:space="preserve">What we actually verified, not what vendors claim in marketing copy. This is the evidence behind the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900"/>
        <w:gridCol w:w="2100"/>
      </w:tblGrid>
      <w:tr>
        <w:trPr>
          <w:tblHeader/>
        </w:trPr>
        <w:tc>
          <w:tcPr>
            <w:tcW w:type="dxa" w:w="17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Provider</w:t>
            </w:r>
          </w:p>
        </w:tc>
        <w:tc>
          <w:tcPr>
            <w:tcW w:type="dxa" w:w="21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Nango</w:t>
            </w:r>
          </w:p>
        </w:tc>
        <w:tc>
          <w:tcPr>
            <w:tcW w:type="dxa" w:w="19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Merge.dev</w:t>
            </w:r>
          </w:p>
        </w:tc>
        <w:tc>
          <w:tcPr>
            <w:tcW w:type="dxa" w:w="19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Finch</w:t>
            </w:r>
          </w:p>
        </w:tc>
        <w:tc>
          <w:tcPr>
            <w:tcW w:type="dxa" w:w="21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Airbyte</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Workday</w:t>
            </w:r>
          </w:p>
        </w:tc>
        <w:tc>
          <w:tcPr>
            <w:tcW w:type="dxa" w:w="2100"/>
            <w:tcMar>
              <w:top w:type="dxa" w:w="120"/>
              <w:left w:type="dxa" w:w="140"/>
              <w:bottom w:type="dxa" w:w="120"/>
              <w:right w:type="dxa" w:w="140"/>
            </w:tcMar>
          </w:tcPr>
          <w:p>
            <w:pPr>
              <w:spacing w:line="280"/>
            </w:pPr>
            <w:r>
              <w:rPr>
                <w:rFonts w:ascii="Calibri" w:cs="Calibri" w:eastAsia="Calibri" w:hAnsi="Calibri"/>
                <w:color w:val="B8860B"/>
                <w:sz w:val="24"/>
                <w:szCs w:val="24"/>
              </w:rPr>
              <w:t xml:space="preserve">Auth only — no pre-built sync</w:t>
            </w:r>
          </w:p>
        </w:tc>
        <w:tc>
          <w:tcPr>
            <w:tcW w:type="dxa" w:w="19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1900"/>
            <w:tcMar>
              <w:top w:type="dxa" w:w="120"/>
              <w:left w:type="dxa" w:w="140"/>
              <w:bottom w:type="dxa" w:w="120"/>
              <w:right w:type="dxa" w:w="140"/>
            </w:tcMar>
          </w:tcPr>
          <w:p>
            <w:pPr>
              <w:spacing w:line="280"/>
            </w:pPr>
            <w:r>
              <w:rPr>
                <w:rFonts w:ascii="Calibri" w:cs="Calibri" w:eastAsia="Calibri" w:hAnsi="Calibri"/>
                <w:color w:val="B8860B"/>
                <w:sz w:val="24"/>
                <w:szCs w:val="24"/>
              </w:rPr>
              <w:t xml:space="preserve">Listed (Finch site)</w:t>
            </w:r>
          </w:p>
        </w:tc>
        <w:tc>
          <w:tcPr>
            <w:tcW w:type="dxa" w:w="2100"/>
            <w:tcMar>
              <w:top w:type="dxa" w:w="120"/>
              <w:left w:type="dxa" w:w="140"/>
              <w:bottom w:type="dxa" w:w="120"/>
              <w:right w:type="dxa" w:w="140"/>
            </w:tcMar>
          </w:tcPr>
          <w:p>
            <w:pPr>
              <w:spacing w:line="280"/>
            </w:pPr>
            <w:r>
              <w:rPr>
                <w:rFonts w:ascii="Calibri" w:cs="Calibri" w:eastAsia="Calibri" w:hAnsi="Calibri"/>
                <w:color w:val="B8860B"/>
                <w:sz w:val="24"/>
                <w:szCs w:val="24"/>
              </w:rPr>
              <w:t xml:space="preserve">Enterprise connector, extra cost</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SAP SuccessFactors</w:t>
            </w:r>
          </w:p>
        </w:tc>
        <w:tc>
          <w:tcPr>
            <w:tcW w:type="dxa" w:w="2100"/>
            <w:tcMar>
              <w:top w:type="dxa" w:w="120"/>
              <w:left w:type="dxa" w:w="140"/>
              <w:bottom w:type="dxa" w:w="120"/>
              <w:right w:type="dxa" w:w="140"/>
            </w:tcMar>
          </w:tcPr>
          <w:p>
            <w:pPr>
              <w:spacing w:line="280"/>
            </w:pPr>
            <w:r>
              <w:rPr>
                <w:rFonts w:ascii="Calibri" w:cs="Calibri" w:eastAsia="Calibri" w:hAnsi="Calibri"/>
                <w:color w:val="B8860B"/>
                <w:sz w:val="24"/>
                <w:szCs w:val="24"/>
              </w:rPr>
              <w:t xml:space="preserve">Auth only</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ADP (Workforce Now)</w:t>
            </w:r>
          </w:p>
        </w:tc>
        <w:tc>
          <w:tcPr>
            <w:tcW w:type="dxa" w:w="2100"/>
            <w:tcMar>
              <w:top w:type="dxa" w:w="120"/>
              <w:left w:type="dxa" w:w="140"/>
              <w:bottom w:type="dxa" w:w="120"/>
              <w:right w:type="dxa" w:w="140"/>
            </w:tcMar>
          </w:tcPr>
          <w:p>
            <w:pPr>
              <w:spacing w:line="280"/>
            </w:pPr>
            <w:r>
              <w:rPr>
                <w:rFonts w:ascii="Calibri" w:cs="Calibri" w:eastAsia="Calibri" w:hAnsi="Calibri"/>
                <w:color w:val="B8860B"/>
                <w:sz w:val="24"/>
                <w:szCs w:val="24"/>
              </w:rPr>
              <w:t xml:space="preserve">Auth only — no pre-built sync</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 (multiple variants)</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UKG Pro</w:t>
            </w:r>
          </w:p>
        </w:tc>
        <w:tc>
          <w:tcPr>
            <w:tcW w:type="dxa" w:w="2100"/>
            <w:tcMar>
              <w:top w:type="dxa" w:w="120"/>
              <w:left w:type="dxa" w:w="140"/>
              <w:bottom w:type="dxa" w:w="120"/>
              <w:right w:type="dxa" w:w="140"/>
            </w:tcMar>
          </w:tcPr>
          <w:p>
            <w:pPr>
              <w:spacing w:line="280"/>
            </w:pPr>
            <w:r>
              <w:rPr>
                <w:rFonts w:ascii="Calibri" w:cs="Calibri" w:eastAsia="Calibri" w:hAnsi="Calibri"/>
                <w:color w:val="B8860B"/>
                <w:sz w:val="24"/>
                <w:szCs w:val="24"/>
              </w:rPr>
              <w:t xml:space="preserve">Listed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 (Pro &amp; Ready)</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Dayforce</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Rippling</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BambooHR</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21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 (community)</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Keka</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c>
          <w:tcPr>
            <w:tcW w:type="dxa" w:w="1900"/>
            <w:tcMar>
              <w:top w:type="dxa" w:w="120"/>
              <w:left w:type="dxa" w:w="140"/>
              <w:bottom w:type="dxa" w:w="120"/>
              <w:right w:type="dxa" w:w="140"/>
            </w:tcMar>
          </w:tcPr>
          <w:p>
            <w:pPr>
              <w:spacing w:line="280"/>
            </w:pPr>
            <w:r>
              <w:rPr>
                <w:rFonts w:ascii="Calibri" w:cs="Calibri" w:eastAsia="Calibri" w:hAnsi="Calibri"/>
                <w:color w:val="1E7A34"/>
                <w:sz w:val="24"/>
                <w:szCs w:val="24"/>
              </w:rPr>
              <w:t xml:space="preserve">Confirmed</w:t>
            </w:r>
          </w:p>
        </w:tc>
        <w:tc>
          <w:tcPr>
            <w:tcW w:type="dxa" w:w="1900"/>
            <w:tcMar>
              <w:top w:type="dxa" w:w="120"/>
              <w:left w:type="dxa" w:w="140"/>
              <w:bottom w:type="dxa" w:w="120"/>
              <w:right w:type="dxa" w:w="140"/>
            </w:tcMar>
          </w:tcPr>
          <w:p>
            <w:pPr>
              <w:spacing w:line="280"/>
            </w:pPr>
            <w:r>
              <w:rPr>
                <w:rFonts w:ascii="Calibri" w:cs="Calibri" w:eastAsia="Calibri" w:hAnsi="Calibri"/>
                <w:color w:val="6B6B6B"/>
                <w:sz w:val="24"/>
                <w:szCs w:val="24"/>
              </w:rPr>
              <w:t xml:space="preserve">Unclear</w:t>
            </w:r>
          </w:p>
        </w:tc>
        <w:tc>
          <w:tcPr>
            <w:tcW w:type="dxa" w:w="2100"/>
            <w:tcMar>
              <w:top w:type="dxa" w:w="120"/>
              <w:left w:type="dxa" w:w="140"/>
              <w:bottom w:type="dxa" w:w="120"/>
              <w:right w:type="dxa" w:w="140"/>
            </w:tcMar>
          </w:tcPr>
          <w:p>
            <w:pPr>
              <w:spacing w:line="280"/>
            </w:pPr>
            <w:r>
              <w:rPr>
                <w:rFonts w:ascii="Calibri" w:cs="Calibri" w:eastAsia="Calibri" w:hAnsi="Calibri"/>
                <w:color w:val="6B6B6B"/>
                <w:sz w:val="24"/>
                <w:szCs w:val="24"/>
              </w:rPr>
              <w:t xml:space="preserve">Not confirmed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Darwinbox</w:t>
            </w:r>
          </w:p>
        </w:tc>
        <w:tc>
          <w:tcPr>
            <w:tcW w:type="dxa" w:w="21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19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19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21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r>
      <w:tr>
        <w:tc>
          <w:tcPr>
            <w:tcW w:type="dxa" w:w="1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greytHR</w:t>
            </w:r>
          </w:p>
        </w:tc>
        <w:tc>
          <w:tcPr>
            <w:tcW w:type="dxa" w:w="21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19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19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c>
          <w:tcPr>
            <w:tcW w:type="dxa" w:w="2100"/>
            <w:tcMar>
              <w:top w:type="dxa" w:w="120"/>
              <w:left w:type="dxa" w:w="140"/>
              <w:bottom w:type="dxa" w:w="120"/>
              <w:right w:type="dxa" w:w="140"/>
            </w:tcMar>
          </w:tcPr>
          <w:p>
            <w:pPr>
              <w:spacing w:line="280"/>
            </w:pPr>
            <w:r>
              <w:rPr>
                <w:rFonts w:ascii="Calibri" w:cs="Calibri" w:eastAsia="Calibri" w:hAnsi="Calibri"/>
                <w:color w:val="B3261E"/>
                <w:sz w:val="24"/>
                <w:szCs w:val="24"/>
              </w:rPr>
              <w:t xml:space="preserve">Not found</w:t>
            </w:r>
          </w:p>
        </w:tc>
      </w:tr>
    </w:tbl>
    <w:p>
      <w:pPr>
        <w:spacing w:after="200" w:before="120" w:line="300"/>
        <w:jc w:val="left"/>
      </w:pPr>
      <w:r>
        <w:rPr>
          <w:rFonts w:ascii="Calibri" w:cs="Calibri" w:eastAsia="Calibri" w:hAnsi="Calibri"/>
          <w:b w:val="false"/>
          <w:bCs w:val="false"/>
          <w:i/>
          <w:iCs/>
          <w:color w:val="5C6B8A"/>
          <w:sz w:val="24"/>
          <w:szCs w:val="24"/>
        </w:rPr>
        <w:t xml:space="preserve">Green = confirmed in vendor documentation. Amber = partial (e.g., authentication only, no pre-built data sync). Grey = not confirmed either way in public docs. Red = actively searched for and not found.</w:t>
      </w:r>
    </w:p>
    <w:tbl>
      <w:tblPr>
        <w:tblW w:type="pct" w:w="100%"/>
        <w:tblBorders>
          <w:top w:val="single" w:color="B3261E" w:sz="6"/>
          <w:left w:val="single" w:color="B3261E" w:sz="6"/>
          <w:bottom w:val="single" w:color="B3261E" w:sz="6"/>
          <w:right w:val="single" w:color="B3261E" w:sz="6"/>
          <w:insideH w:val="single" w:color="auto" w:sz="4"/>
          <w:insideV w:val="single" w:color="auto" w:sz="4"/>
        </w:tblBorders>
      </w:tblPr>
      <w:tblGrid>
        <w:gridCol w:w="100"/>
      </w:tblGrid>
      <w:tr>
        <w:tc>
          <w:tcPr>
            <w:shd w:fill="FCE8E6" w:val="clear"/>
            <w:tcMar>
              <w:top w:type="dxa" w:w="200"/>
              <w:left w:type="dxa" w:w="200"/>
              <w:bottom w:type="dxa" w:w="200"/>
              <w:right w:type="dxa" w:w="200"/>
            </w:tcMar>
          </w:tcPr>
          <w:p>
            <w:pPr>
              <w:spacing w:after="100"/>
            </w:pPr>
            <w:r>
              <w:rPr>
                <w:rFonts w:ascii="Calibri" w:cs="Calibri" w:eastAsia="Calibri" w:hAnsi="Calibri"/>
                <w:b/>
                <w:bCs/>
                <w:color w:val="1E2761"/>
                <w:sz w:val="26"/>
                <w:szCs w:val="26"/>
              </w:rPr>
              <w:t xml:space="preserve">Key Finding</w:t>
            </w:r>
          </w:p>
          <w:p>
            <w:pPr>
              <w:spacing w:after="0" w:line="300"/>
            </w:pPr>
            <w:r>
              <w:rPr>
                <w:rFonts w:ascii="Calibri" w:cs="Calibri" w:eastAsia="Calibri" w:hAnsi="Calibri"/>
                <w:color w:val="1B1F3B"/>
                <w:sz w:val="24"/>
                <w:szCs w:val="24"/>
              </w:rPr>
              <w:t xml:space="preserve">Darwinbox and greytHR — two of our highest-priority India/APAC providers — are not supported by any of the four tools we checked. This is the strongest, most concrete argument for custom build: no vendor option closes this gap regardless of price.</w:t>
            </w:r>
          </w:p>
        </w:tc>
      </w:tr>
    </w:tbl>
    <w:p>
      <w:r>
        <w:br w:type="page"/>
      </w:r>
    </w:p>
    <w:p>
      <w:pPr>
        <w:pBdr>
          <w:bottom w:val="single" w:color="1E2761" w:sz="8" w:space="6"/>
        </w:pBdr>
        <w:spacing w:after="240" w:before="400"/>
      </w:pPr>
      <w:r>
        <w:rPr>
          <w:rFonts w:ascii="Calibri" w:cs="Calibri" w:eastAsia="Calibri" w:hAnsi="Calibri"/>
          <w:b/>
          <w:bCs/>
          <w:color w:val="1E2761"/>
          <w:sz w:val="40"/>
          <w:szCs w:val="40"/>
        </w:rPr>
        <w:t xml:space="preserve">7. Risks &amp; Mitigations</w:t>
      </w:r>
    </w:p>
    <w:p>
      <w:pPr>
        <w:spacing w:after="180" w:before="320"/>
      </w:pPr>
      <w:r>
        <w:rPr>
          <w:rFonts w:ascii="Calibri" w:cs="Calibri" w:eastAsia="Calibri" w:hAnsi="Calibri"/>
          <w:b/>
          <w:bCs/>
          <w:color w:val="1E2761"/>
          <w:sz w:val="32"/>
          <w:szCs w:val="32"/>
        </w:rPr>
        <w:t xml:space="preserve">If We Go Custom</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Risk: we own maintenance forever, including when a provider changes its API.</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Mitigation: the connector-sdk pattern isolates provider-specific logic per adapter, so a breaking change is contained to one file, not the whole platform.</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Risk: a strong HR-specific connector platform could emerge later and make this look like wasted effort.</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Mitigation: our SDK's adapter interface lets us swap in a vendor for a single provider without a platform rewrite, if one becomes clearly superior.</w:t>
      </w:r>
    </w:p>
    <w:p>
      <w:pPr>
        <w:spacing w:after="180" w:before="320"/>
      </w:pPr>
      <w:r>
        <w:rPr>
          <w:rFonts w:ascii="Calibri" w:cs="Calibri" w:eastAsia="Calibri" w:hAnsi="Calibri"/>
          <w:b/>
          <w:bCs/>
          <w:color w:val="1E2761"/>
          <w:sz w:val="32"/>
          <w:szCs w:val="32"/>
        </w:rPr>
        <w:t xml:space="preserve">If We Go With a Vendor</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Risk: per-account pricing (Merge.dev-style) scales against us as we grow, not with us.</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Risk: Darwinbox and greytHR gaps mean we'd still be building custom connectors for our highest-priority India/APAC providers anyway — paying for a tool that doesn't cover our hardest cases.</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Risk: vendor's roadmap and pricing changes are outside our control.</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Mitigation (if a vendor is chosen for the Western-provider subset): keep the connector-sdk adapter pattern so the vendor is swappable, and revisit annually.</w:t>
      </w:r>
    </w:p>
    <w:p>
      <w:r>
        <w:br w:type="page"/>
      </w:r>
    </w:p>
    <w:p>
      <w:pPr>
        <w:pBdr>
          <w:bottom w:val="single" w:color="1E2761" w:sz="8" w:space="6"/>
        </w:pBdr>
        <w:spacing w:after="240" w:before="400"/>
      </w:pPr>
      <w:r>
        <w:rPr>
          <w:rFonts w:ascii="Calibri" w:cs="Calibri" w:eastAsia="Calibri" w:hAnsi="Calibri"/>
          <w:b/>
          <w:bCs/>
          <w:color w:val="1E2761"/>
          <w:sz w:val="40"/>
          <w:szCs w:val="40"/>
        </w:rPr>
        <w:t xml:space="preserve">8. Consolidated Trade-off Matrix</w:t>
      </w:r>
    </w:p>
    <w:p>
      <w:pPr>
        <w:spacing w:after="200" w:before="0" w:line="300"/>
        <w:jc w:val="left"/>
      </w:pPr>
      <w:r>
        <w:rPr>
          <w:rFonts w:ascii="Calibri" w:cs="Calibri" w:eastAsia="Calibri" w:hAnsi="Calibri"/>
          <w:b w:val="false"/>
          <w:bCs w:val="false"/>
          <w:i/>
          <w:iCs/>
          <w:color w:val="5C6B8A"/>
          <w:sz w:val="24"/>
          <w:szCs w:val="24"/>
        </w:rPr>
        <w:t xml:space="preserve">Every option from Section 4, rated against every dimension from Section 5, in one view. This is the consolidated list the recommendation is built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1400"/>
        <w:gridCol w:w="1400"/>
        <w:gridCol w:w="1400"/>
      </w:tblGrid>
      <w:tr>
        <w:trPr>
          <w:tblHeader/>
        </w:trPr>
        <w:tc>
          <w:tcPr>
            <w:tcW w:type="dxa" w:w="2700"/>
            <w:shd w:fill="1E2761" w:val="clear"/>
            <w:tcMar>
              <w:top w:type="dxa" w:w="120"/>
              <w:left w:type="dxa" w:w="140"/>
              <w:bottom w:type="dxa" w:w="120"/>
              <w:right w:type="dxa" w:w="140"/>
            </w:tcMar>
            <w:vAlign w:val="center"/>
          </w:tcPr>
          <w:p>
            <w:pPr>
              <w:spacing w:line="280"/>
              <w:jc w:val="left"/>
            </w:pPr>
            <w:r>
              <w:rPr>
                <w:rFonts w:ascii="Calibri" w:cs="Calibri" w:eastAsia="Calibri" w:hAnsi="Calibri"/>
                <w:b/>
                <w:bCs/>
                <w:color w:val="FFFFFF"/>
                <w:sz w:val="24"/>
                <w:szCs w:val="24"/>
              </w:rPr>
              <w:t xml:space="preserve">Dimension</w:t>
            </w:r>
          </w:p>
        </w:tc>
        <w:tc>
          <w:tcPr>
            <w:tcW w:type="dxa" w:w="1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Custom</w:t>
            </w:r>
          </w:p>
        </w:tc>
        <w:tc>
          <w:tcPr>
            <w:tcW w:type="dxa" w:w="1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Nango</w:t>
            </w:r>
          </w:p>
        </w:tc>
        <w:tc>
          <w:tcPr>
            <w:tcW w:type="dxa" w:w="1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Temporal</w:t>
            </w:r>
          </w:p>
        </w:tc>
        <w:tc>
          <w:tcPr>
            <w:tcW w:type="dxa" w:w="1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Unified HR APIs</w:t>
            </w:r>
          </w:p>
        </w:tc>
        <w:tc>
          <w:tcPr>
            <w:tcW w:type="dxa" w:w="1400"/>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Other iPaaS</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Control &amp; customization</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Time to first integration</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Cost at our stage</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Feature coverage vs. taxonomy</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Production readiness</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Vendor / platform lock-in</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Team fit</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Future-provider cost*</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Ongoing maintenance</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License risk</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r>
        <w:tc>
          <w:tcPr>
            <w:tcW w:type="dxa" w:w="27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Compliance / certification support</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shd w:fill="F3F6FC" w:val="clear"/>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r>
      <w:tr>
        <w:tc>
          <w:tcPr>
            <w:tcW w:type="dxa" w:w="27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Talent availability</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3261E"/>
                <w:sz w:val="24"/>
                <w:szCs w:val="24"/>
              </w:rPr>
              <w:t xml:space="preserve">Weak</w:t>
            </w:r>
          </w:p>
        </w:tc>
        <w:tc>
          <w:tcPr>
            <w:tcW w:type="dxa" w:w="1400"/>
            <w:tcMar>
              <w:top w:type="dxa" w:w="100"/>
              <w:left w:type="dxa" w:w="80"/>
              <w:bottom w:type="dxa" w:w="100"/>
              <w:right w:type="dxa" w:w="80"/>
            </w:tcMar>
          </w:tcPr>
          <w:p>
            <w:pPr>
              <w:jc w:val="center"/>
            </w:pPr>
            <w:r>
              <w:rPr>
                <w:rFonts w:ascii="Calibri" w:cs="Calibri" w:eastAsia="Calibri" w:hAnsi="Calibri"/>
                <w:b/>
                <w:bCs/>
                <w:color w:val="1E7A34"/>
                <w:sz w:val="24"/>
                <w:szCs w:val="24"/>
              </w:rPr>
              <w:t xml:space="preserve">Strong</w:t>
            </w:r>
          </w:p>
        </w:tc>
        <w:tc>
          <w:tcPr>
            <w:tcW w:type="dxa" w:w="1400"/>
            <w:tcMar>
              <w:top w:type="dxa" w:w="100"/>
              <w:left w:type="dxa" w:w="80"/>
              <w:bottom w:type="dxa" w:w="100"/>
              <w:right w:type="dxa" w:w="80"/>
            </w:tcMar>
          </w:tcPr>
          <w:p>
            <w:pPr>
              <w:jc w:val="center"/>
            </w:pPr>
            <w:r>
              <w:rPr>
                <w:rFonts w:ascii="Calibri" w:cs="Calibri" w:eastAsia="Calibri" w:hAnsi="Calibri"/>
                <w:b/>
                <w:bCs/>
                <w:color w:val="B8860B"/>
                <w:sz w:val="24"/>
                <w:szCs w:val="24"/>
              </w:rPr>
              <w:t xml:space="preserve">Mixed</w:t>
            </w:r>
          </w:p>
        </w:tc>
      </w:tr>
    </w:tbl>
    <w:p>
      <w:pPr>
        <w:spacing w:after="200" w:before="120" w:line="300"/>
        <w:jc w:val="left"/>
      </w:pPr>
      <w:r>
        <w:rPr>
          <w:rFonts w:ascii="Calibri" w:cs="Calibri" w:eastAsia="Calibri" w:hAnsi="Calibri"/>
          <w:b w:val="false"/>
          <w:bCs w:val="false"/>
          <w:i/>
          <w:iCs/>
          <w:color w:val="5C6B8A"/>
          <w:sz w:val="24"/>
          <w:szCs w:val="24"/>
        </w:rPr>
        <w:t xml:space="preserve">*Future-provider cost for Unified HR APIs is bimodal: Strong (near-$0) for a provider already in their catalog, Weak/not possible for one that isn't — like Darwinbox and greytHR.</w:t>
      </w:r>
    </w:p>
    <w:p>
      <w:pPr>
        <w:spacing w:after="100" w:before="0" w:line="300"/>
        <w:jc w:val="left"/>
      </w:pPr>
      <w:r>
        <w:rPr>
          <w:rFonts w:ascii="Calibri" w:cs="Calibri" w:eastAsia="Calibri" w:hAnsi="Calibri"/>
          <w:b w:val="false"/>
          <w:bCs w:val="false"/>
          <w:i w:val="false"/>
          <w:iCs w:val="false"/>
          <w:color w:val="1B1F3B"/>
          <w:sz w:val="24"/>
          <w:szCs w:val="24"/>
        </w:rPr>
        <w:t xml:space="preserve"/>
      </w:r>
    </w:p>
    <w:p>
      <w:pPr>
        <w:spacing w:after="140" w:line="300"/>
        <w:jc w:val="left"/>
      </w:pPr>
      <w:r>
        <w:rPr>
          <w:rFonts w:ascii="Calibri" w:cs="Calibri" w:eastAsia="Calibri" w:hAnsi="Calibri"/>
          <w:b/>
          <w:bCs/>
          <w:i w:val="false"/>
          <w:iCs w:val="false"/>
          <w:color w:val="1B1F3B"/>
          <w:sz w:val="24"/>
          <w:szCs w:val="24"/>
        </w:rPr>
        <w:t xml:space="preserve">Raw tally: </w:t>
      </w:r>
      <w:r>
        <w:rPr>
          <w:rFonts w:ascii="Calibri" w:cs="Calibri" w:eastAsia="Calibri" w:hAnsi="Calibri"/>
          <w:b w:val="false"/>
          <w:bCs w:val="false"/>
          <w:i w:val="false"/>
          <w:iCs w:val="false"/>
          <w:color w:val="1B1F3B"/>
          <w:sz w:val="24"/>
          <w:szCs w:val="24"/>
        </w:rPr>
        <w:t xml:space="preserve">Custom Build — 7 Strong, 2 Mixed, 3 Weak. Unified HR APIs — 7 Strong, 2 Mixed, 3 Weak. </w:t>
      </w:r>
      <w:r>
        <w:rPr>
          <w:rFonts w:ascii="Calibri" w:cs="Calibri" w:eastAsia="Calibri" w:hAnsi="Calibri"/>
          <w:b/>
          <w:bCs/>
          <w:i w:val="false"/>
          <w:iCs w:val="false"/>
          <w:color w:val="1E2761"/>
          <w:sz w:val="24"/>
          <w:szCs w:val="24"/>
        </w:rPr>
        <w:t xml:space="preserve">They tie on paper.</w:t>
      </w:r>
    </w:p>
    <w:p>
      <w:pPr>
        <w:spacing w:after="200" w:before="0" w:line="300"/>
        <w:jc w:val="left"/>
      </w:pPr>
      <w:r>
        <w:rPr>
          <w:rFonts w:ascii="Calibri" w:cs="Calibri" w:eastAsia="Calibri" w:hAnsi="Calibri"/>
          <w:b w:val="false"/>
          <w:bCs w:val="false"/>
          <w:i w:val="false"/>
          <w:iCs w:val="false"/>
          <w:color w:val="1B1F3B"/>
          <w:sz w:val="24"/>
          <w:szCs w:val="24"/>
        </w:rPr>
        <w:t xml:space="preserve">The tie-breaker isn't in this matrix — it's Section 6. Unified HR APIs score well on speed, production-readiness, and compliance, but that's irrelevant for Darwinbox and greytHR, which no unified API supports at all. For those two providers specifically, "Unified HR APIs" isn't actually an option on the table — it collapses to custom build anyway, just with a subscription paid on top for the providers it does cover.</w:t>
      </w:r>
    </w:p>
    <w:p>
      <w:pPr>
        <w:sectPr>
          <w:headerReference w:type="default" r:id="rId7"/>
          <w:footerReference w:type="default" r:id="rId8"/>
          <w:pgSz w:w="12240" w:h="15840" w:orient="portrait"/>
          <w:pgMar w:top="1080" w:right="1080" w:bottom="1080" w:left="1080" w:header="708" w:footer="708" w:gutter="0"/>
          <w:pgNumType/>
          <w:docGrid w:linePitch="360"/>
        </w:sectPr>
      </w:pPr>
    </w:p>
    <w:p>
      <w:pPr>
        <w:pBdr>
          <w:bottom w:val="single" w:color="1E2761" w:sz="8" w:space="6"/>
        </w:pBdr>
        <w:spacing w:after="240" w:before="400"/>
      </w:pPr>
      <w:r>
        <w:rPr>
          <w:rFonts w:ascii="Calibri" w:cs="Calibri" w:eastAsia="Calibri" w:hAnsi="Calibri"/>
          <w:b/>
          <w:bCs/>
          <w:color w:val="1E2761"/>
          <w:sz w:val="40"/>
          <w:szCs w:val="40"/>
        </w:rPr>
        <w:t xml:space="preserve">9. Feature Coverage — Custom vs. Hybrid vs. Vendor</w:t>
      </w:r>
    </w:p>
    <w:p>
      <w:pPr>
        <w:spacing w:after="200" w:before="0" w:line="300"/>
        <w:jc w:val="left"/>
      </w:pPr>
      <w:r>
        <w:rPr>
          <w:rFonts w:ascii="Calibri" w:cs="Calibri" w:eastAsia="Calibri" w:hAnsi="Calibri"/>
          <w:b w:val="false"/>
          <w:bCs w:val="false"/>
          <w:i/>
          <w:iCs/>
          <w:color w:val="5C6B8A"/>
          <w:sz w:val="24"/>
          <w:szCs w:val="24"/>
        </w:rPr>
        <w:t xml:space="preserve">Every feature from Section 3, rated for whether each approach can deliver it, how, and the pros/cons of that path. "Vendor" means whichever tool in our landscape best fits that specific feature (not one fixed product); "Hybrid" means a combination of vendor(s) plus custom code, mixed per feature to close whatever gap the vendor alone leaves.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727"/>
        <w:gridCol w:w="3727"/>
        <w:gridCol w:w="3727"/>
      </w:tblGrid>
      <w:tr>
        <w:trPr>
          <w:tblHeader/>
        </w:trPr>
        <w:tc>
          <w:tcPr>
            <w:tcW w:type="dxa" w:w="2500"/>
            <w:shd w:fill="1E2761" w:val="clear"/>
            <w:tcMar>
              <w:top w:type="dxa" w:w="120"/>
              <w:left w:type="dxa" w:w="140"/>
              <w:bottom w:type="dxa" w:w="120"/>
              <w:right w:type="dxa" w:w="140"/>
            </w:tcMar>
            <w:vAlign w:val="center"/>
          </w:tcPr>
          <w:p>
            <w:pPr>
              <w:spacing w:line="280"/>
              <w:jc w:val="left"/>
            </w:pPr>
            <w:r>
              <w:rPr>
                <w:rFonts w:ascii="Calibri" w:cs="Calibri" w:eastAsia="Calibri" w:hAnsi="Calibri"/>
                <w:b/>
                <w:bCs/>
                <w:color w:val="FFFFFF"/>
                <w:sz w:val="24"/>
                <w:szCs w:val="24"/>
              </w:rPr>
              <w:t xml:space="preserve">Feature</w:t>
            </w:r>
          </w:p>
        </w:tc>
        <w:tc>
          <w:tcPr>
            <w:tcW w:type="dxa" w:w="3727"/>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Custom</w:t>
            </w:r>
          </w:p>
        </w:tc>
        <w:tc>
          <w:tcPr>
            <w:tcW w:type="dxa" w:w="3727"/>
            <w:shd w:fill="8A5FB3"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Hybrid</w:t>
            </w:r>
          </w:p>
        </w:tc>
        <w:tc>
          <w:tcPr>
            <w:tcW w:type="dxa" w:w="3727"/>
            <w:shd w:fill="0078D4"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Vendor</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Connectivity &amp; Auth</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Build OAuth2/API key/mTLS per adapter, credentials in our Postgres vault.</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Nango's auth layer for Western providers it covers, custom auth for Darwinbox/greytHR/Keka.</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Nango has pre-built auth (900+ APIs), but often auth-only with no pre-built sync.</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Sync Modes (9 modes)</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Provisioning Engine + Sync Job cover all 9 modes as needed.</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Temporal for orchestration/scheduling scaffolding, custom code for HR-specific sync logic.</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Airbyte covers batch/incremental/CDC (5-60 min cap); Unified HR APIs mostly poll on schedule.</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Data Mapping &amp; Transformation</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Write mapping code in-house per provider.</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Unified HR API's schema for covered providers, custom mappers only for Darwinbox/greytHR/Keka.</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Merge/Finch/Kombo exist specifically for this.</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Orchestration &amp; Scheduling</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Already built (Provisioning Engine, Days 1-4 of POC).</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Temporal for the orchestration layer, our Provisioning Engine for HR-specific triggering rules.</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Temporal is purpose-built for this.</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Multi-Tenancy &amp; Isolation</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Already designed this way (per-tenant vault, Postgres row-level isolation).</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Vendor's per-customer connection model for covered providers, our own isolation for custom-built ones.</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Nango/Merge/Airbyte support multi-tenant "linked accounts" per customer.</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Error Handling &amp; Resilience</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Build retry/DLQ/idempotency ourselves.</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Temporal/Nango resilience primitives for the plumbing they own, custom handling for HR logic.</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Temporal has retry/resilience as a first-class primitive; Nango has built-in retry and error alerts.</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Observability &amp; Monitoring</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Already shipped (pino → Loki, Prometheus/Grafana, per Day 5 of POC).</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Pipe Nango's OpenTelemetry export into our existing Loki/Grafana stack.</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Nango ships HTTP logging, OpenTelemetry export, Slack alerts out of the box.</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Governance &amp; Compliance</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Doable — </w:t>
            </w:r>
            <w:r>
              <w:rPr>
                <w:rFonts w:ascii="Calibri" w:cs="Calibri" w:eastAsia="Calibri" w:hAnsi="Calibri"/>
                <w:b w:val="false"/>
                <w:bCs w:val="false"/>
                <w:color w:val="1B1F3B"/>
                <w:sz w:val="24"/>
                <w:szCs w:val="24"/>
              </w:rPr>
              <w:t xml:space="preserve">We earn it ourselves — no certifications yet.</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Lean on vendor certifications for the covered-provider path, build our own controls for the custom path.</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Merge holds SOC2/ISO27001/HIPAA/GDPR; Boomi holds FedRAMP/HIPAA/ISO27001.</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Extensibility / SDK</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This is the connector-sdk pattern already in place.</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Build new connectors on Nango's extensible framework instead of from scratch.</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Nango/Airbyte allow self-built connectors; Merge/Finch/Kombo are closed catalogs.</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Security</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Part of the platform design already (credential vault, planned RBAC).</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Vendor-managed credential storage for covered providers, our own vault for custom ones, one RBAC layer over both.</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Nango/Merge handle secrets storage/encryption for connections they manage.</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Scalability &amp; Performance</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Doable — </w:t>
            </w:r>
            <w:r>
              <w:rPr>
                <w:rFonts w:ascii="Calibri" w:cs="Calibri" w:eastAsia="Calibri" w:hAnsi="Calibri"/>
                <w:b w:val="false"/>
                <w:bCs w:val="false"/>
                <w:color w:val="1B1F3B"/>
                <w:sz w:val="24"/>
                <w:szCs w:val="24"/>
              </w:rPr>
              <w:t xml:space="preserve">Designed for our exact growth pattern, unproven at scale yet.</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Vendor absorbs scale for connectors running through it, custom code only scales for the smaller gap-provider volume.</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Nango, Merge, Temporal Cloud are built for this at their core.</w:t>
            </w:r>
          </w:p>
        </w:tc>
      </w:tr>
      <w:tr>
        <w:tc>
          <w:tcPr>
            <w:tcW w:type="dxa" w:w="25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Time-to-Build a New Connector</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B3261E"/>
                <w:sz w:val="24"/>
                <w:szCs w:val="24"/>
              </w:rPr>
              <w:t xml:space="preserve">Doable, slow — </w:t>
            </w:r>
            <w:r>
              <w:rPr>
                <w:rFonts w:ascii="Calibri" w:cs="Calibri" w:eastAsia="Calibri" w:hAnsi="Calibri"/>
                <w:b w:val="false"/>
                <w:bCs w:val="false"/>
                <w:color w:val="1B1F3B"/>
                <w:sz w:val="24"/>
                <w:szCs w:val="24"/>
              </w:rPr>
              <w:t xml:space="preserve">~2 weeks/adapter placeholder, consistently the slowest path.</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fast — </w:t>
            </w:r>
            <w:r>
              <w:rPr>
                <w:rFonts w:ascii="Calibri" w:cs="Calibri" w:eastAsia="Calibri" w:hAnsi="Calibri"/>
                <w:b w:val="false"/>
                <w:bCs w:val="false"/>
                <w:color w:val="1B1F3B"/>
                <w:sz w:val="24"/>
                <w:szCs w:val="24"/>
              </w:rPr>
              <w:t xml:space="preserve">Near-zero for 8 of 10 providers (vendor's pre-built connector), ~2 weeks each for the remaining 2.</w:t>
            </w:r>
          </w:p>
        </w:tc>
        <w:tc>
          <w:tcPr>
            <w:tcW w:type="dxa" w:w="3727"/>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Bimodal — </w:t>
            </w:r>
            <w:r>
              <w:rPr>
                <w:rFonts w:ascii="Calibri" w:cs="Calibri" w:eastAsia="Calibri" w:hAnsi="Calibri"/>
                <w:b w:val="false"/>
                <w:bCs w:val="false"/>
                <w:color w:val="1B1F3B"/>
                <w:sz w:val="24"/>
                <w:szCs w:val="24"/>
              </w:rPr>
              <w:t xml:space="preserve">Doable only if already in the vendor's catalog — near-zero for a covered provider, impossible for Darwinbox/greytHR.</w:t>
            </w:r>
          </w:p>
        </w:tc>
      </w:tr>
      <w:tr>
        <w:tc>
          <w:tcPr>
            <w:tcW w:type="dxa" w:w="25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Cloud Agnostic</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1E7A34"/>
                <w:sz w:val="24"/>
                <w:szCs w:val="24"/>
              </w:rPr>
              <w:t xml:space="preserve">Doable — </w:t>
            </w:r>
            <w:r>
              <w:rPr>
                <w:rFonts w:ascii="Calibri" w:cs="Calibri" w:eastAsia="Calibri" w:hAnsi="Calibri"/>
                <w:b w:val="false"/>
                <w:bCs w:val="false"/>
                <w:color w:val="1B1F3B"/>
                <w:sz w:val="24"/>
                <w:szCs w:val="24"/>
              </w:rPr>
              <w:t xml:space="preserve">Docker today, Azure Container Apps Jobs as target-state; sync job image runs unmodified on either.</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Partial — </w:t>
            </w:r>
            <w:r>
              <w:rPr>
                <w:rFonts w:ascii="Calibri" w:cs="Calibri" w:eastAsia="Calibri" w:hAnsi="Calibri"/>
                <w:b w:val="false"/>
                <w:bCs w:val="false"/>
                <w:color w:val="1B1F3B"/>
                <w:sz w:val="24"/>
                <w:szCs w:val="24"/>
              </w:rPr>
              <w:t xml:space="preserve">Depends entirely on which vendors are in the mix — self-hosted components stay agnostic, SaaS-only ones don't.</w:t>
            </w:r>
          </w:p>
        </w:tc>
        <w:tc>
          <w:tcPr>
            <w:tcW w:type="dxa" w:w="3727"/>
            <w:shd w:fill="F3F6FC" w:val="clear"/>
            <w:tcMar>
              <w:top w:type="dxa" w:w="120"/>
              <w:left w:type="dxa" w:w="140"/>
              <w:bottom w:type="dxa" w:w="120"/>
              <w:right w:type="dxa" w:w="140"/>
            </w:tcMar>
            <w:vAlign w:val="top"/>
          </w:tcPr>
          <w:p>
            <w:pPr>
              <w:spacing w:line="276"/>
            </w:pPr>
            <w:r>
              <w:rPr>
                <w:rFonts w:ascii="Calibri" w:cs="Calibri" w:eastAsia="Calibri" w:hAnsi="Calibri"/>
                <w:b/>
                <w:bCs/>
                <w:color w:val="B8860B"/>
                <w:sz w:val="24"/>
                <w:szCs w:val="24"/>
              </w:rPr>
              <w:t xml:space="preserve">Bimodal — </w:t>
            </w:r>
            <w:r>
              <w:rPr>
                <w:rFonts w:ascii="Calibri" w:cs="Calibri" w:eastAsia="Calibri" w:hAnsi="Calibri"/>
                <w:b w:val="false"/>
                <w:bCs w:val="false"/>
                <w:color w:val="1B1F3B"/>
                <w:sz w:val="24"/>
                <w:szCs w:val="24"/>
              </w:rPr>
              <w:t xml:space="preserve">Self-hosted/OSS vendors (Temporal, Nango, Airbyte) stay agnostic; SaaS-only vendors (Merge, Finch, Kombo, Temporal Cloud) do not.</w:t>
            </w:r>
          </w:p>
        </w:tc>
      </w:tr>
    </w:tbl>
    <w:p>
      <w:pPr>
        <w:spacing w:after="200" w:before="160" w:line="300"/>
        <w:jc w:val="left"/>
      </w:pPr>
      <w:r>
        <w:rPr>
          <w:rFonts w:ascii="Calibri" w:cs="Calibri" w:eastAsia="Calibri" w:hAnsi="Calibri"/>
          <w:b w:val="false"/>
          <w:bCs w:val="false"/>
          <w:i w:val="false"/>
          <w:iCs w:val="false"/>
          <w:color w:val="1B1F3B"/>
          <w:sz w:val="24"/>
          <w:szCs w:val="24"/>
        </w:rPr>
        <w:t xml:space="preserve">Reading this table: every feature is Doable under all three approaches — the differentiator is never "can we," it's how much it costs in time, and what breaks if a covered provider stops being covered. Full pros, cons, cost/free-tier terms, future-provider extensibility, and named unsupported vendors for each cell follow in the Comments table below.</w:t>
      </w:r>
    </w:p>
    <w:p>
      <w:r>
        <w:br w:type="page"/>
      </w:r>
    </w:p>
    <w:p>
      <w:pPr>
        <w:spacing w:after="180" w:before="320"/>
      </w:pPr>
      <w:r>
        <w:rPr>
          <w:rFonts w:ascii="Calibri" w:cs="Calibri" w:eastAsia="Calibri" w:hAnsi="Calibri"/>
          <w:b/>
          <w:bCs/>
          <w:color w:val="1E2761"/>
          <w:sz w:val="32"/>
          <w:szCs w:val="32"/>
        </w:rPr>
        <w:t xml:space="preserve">Comments — Pros, Cons, Cost/Free Tier, Extensibility, Unsupported Vendors</w:t>
      </w:r>
    </w:p>
    <w:p>
      <w:pPr>
        <w:spacing w:after="200" w:before="0" w:line="300"/>
        <w:jc w:val="left"/>
      </w:pPr>
      <w:r>
        <w:rPr>
          <w:rFonts w:ascii="Calibri" w:cs="Calibri" w:eastAsia="Calibri" w:hAnsi="Calibri"/>
          <w:b w:val="false"/>
          <w:bCs w:val="false"/>
          <w:i/>
          <w:iCs/>
          <w:color w:val="5C6B8A"/>
          <w:sz w:val="24"/>
          <w:szCs w:val="24"/>
        </w:rPr>
        <w:t xml:space="preserve">Same 12 features, same three approaches — the full reasoning behind each Doable rating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893"/>
        <w:gridCol w:w="3893"/>
        <w:gridCol w:w="3893"/>
      </w:tblGrid>
      <w:tr>
        <w:trPr>
          <w:tblHeader/>
        </w:trPr>
        <w:tc>
          <w:tcPr>
            <w:tcW w:type="dxa" w:w="2000"/>
            <w:shd w:fill="1E2761" w:val="clear"/>
            <w:tcMar>
              <w:top w:type="dxa" w:w="120"/>
              <w:left w:type="dxa" w:w="140"/>
              <w:bottom w:type="dxa" w:w="120"/>
              <w:right w:type="dxa" w:w="140"/>
            </w:tcMar>
            <w:vAlign w:val="center"/>
          </w:tcPr>
          <w:p>
            <w:pPr>
              <w:spacing w:line="280"/>
              <w:jc w:val="left"/>
            </w:pPr>
            <w:r>
              <w:rPr>
                <w:rFonts w:ascii="Calibri" w:cs="Calibri" w:eastAsia="Calibri" w:hAnsi="Calibri"/>
                <w:b/>
                <w:bCs/>
                <w:color w:val="FFFFFF"/>
                <w:sz w:val="24"/>
                <w:szCs w:val="24"/>
              </w:rPr>
              <w:t xml:space="preserve">Feature</w:t>
            </w:r>
          </w:p>
        </w:tc>
        <w:tc>
          <w:tcPr>
            <w:tcW w:type="dxa" w:w="3893"/>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Custom — Comments</w:t>
            </w:r>
          </w:p>
        </w:tc>
        <w:tc>
          <w:tcPr>
            <w:tcW w:type="dxa" w:w="3893"/>
            <w:shd w:fill="8A5FB3"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Hybrid — Comments</w:t>
            </w:r>
          </w:p>
        </w:tc>
        <w:tc>
          <w:tcPr>
            <w:tcW w:type="dxa" w:w="3893"/>
            <w:shd w:fill="0078D4"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Vendor — Comments</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Connectivity &amp; Auth</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Full control over every auth flow; no per-account or per-provider vendor fees.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Real engineering work per provider; we own token refresh/expiry logic ourselves.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 engineering time only, already folded into the $60K ROI baseline.</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any future provider just needs a new adapter, no ceiling.</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 this is our own build, not a vendor.</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Fastest coverage for Western providers via Nango; full coverage overall since gaps are custom-built.</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Two auth patterns to maintain long-term; adds a dependency on Nango's uptime/roadmap for part of the stack.</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Nango free tier covers a limited number of connections/API calls; paid tier is quote-based, not published.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Nango explicitly supports "bring your own API" for anything it doesn't already have.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not in Nango's catalog today — must go through the custom half of this hybrid regardless.</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900+ pre-built API integrations; mature token-refresh handling out of the box.</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Several top-10 providers are "auth only" with no pre-built sync logic; zero coverage for Darwinbox, greytHR.</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Free/open-source self-hosted option exists; Nango Cloud paid tier is quote-based, not publicly listed.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Partial — Nango itself is an open, extensible framework, but used purely as a vendor we're waiting on it (or the community) to add missing providers.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confirmed absent; Keka, Dayforce, Rippling, BambooHR not confirmed either way in Nango's docs.</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Sync Modes (9 modes)</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Every mode buildable to exact spec; no vendor mode limitations to work around.</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Real-time/CDC/persistent connection need new infra (event &amp; queue layer) not yet built; highest total engineering lift of any feature.</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 but the most labor-intensive feature to build ourselves.</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but each new mode requires its own infra investment, not just adapter code.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Temporal absorbs scheduling/retry plumbing; vendor-covered slice can borrow Airbyte-style batch/incremental patterns.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Doesn't reduce HR-specific mapping/sync-logic work; Temporal is a new skill for the team.</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Temporal Cloud ~$100/mo floor + usage (per ROI workbook); self-hosted Temporal is free (Apache 2.0) but we run the infra.</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for orchestration patterns; the actual new-mode logic is still ours to write either way.</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No tool in our landscape delivers true real-time/event-driven or persistent-connection sync for HR data — this gap exists in every option, not just custom.</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Airbyte handles batch/incremental/CDC natively; Unified HR APIs handle scheduled polling reliably.</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Airbyte's CDC caps at a 5-60 minute interval, not true real-time; Unified HR APIs rarely support bi-directional writes for HR data.</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Airbyte self-hosted is free (Elastic License v2 restricts hosted multi-tenant resale); Airbyte Cloud and premium connectors (e.g., Workday) are paid.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No — "true real-time" is an architectural ceiling of how these tools are built, not a catalog gap they can add later.</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Workato, Boomi, Celigo — no confirmed native support for HR-specific incremental/CDC sync modes.</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Data Mapping &amp; Transformation</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Exact canonical-model fit; no dependency on a third party's schema decisions.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Effort multiplies with every new provider; highest ongoing maintenance burden when a provider changes its API shape.</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 engineering time only.</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full control to add any field or provider we need.</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Zero mapping work for ~8 of 10 providers via Merge/Finch/Kombo; custom mappers only where truly needed.</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Two data shapes to reconcile back into one canonical model; adds a normalization layer we wouldn't otherwise need.</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Merge.dev: free for first 3 linked accounts, $650/mo up to 10, +$65/additional account.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on the custom side; the vendor side is closed (see Vendor column).</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not in Merge, Finch, or Kombo's catalog — confirmed absent in our research.</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Merge/Finch/Kombo exist specifically for this problem; mature, tested schemas for major Western HR platforms.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Fixed schema — can't extend for a field we need without vendor cooperation; zero coverage for Darwinbox, greytHR.</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Merge.dev $650/mo base (10 accounts) + $65/account beyond; Finch reportedly 20-40% lower than Merge at comparable scope; Kombo uses flat per-customer pricing.</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No — Merge, Finch, and Kombo are closed catalogs; we cannot self-add a provider's schema.</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confirmed absent across all three; Keka confirmed present only in Merge.</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Orchestration &amp; Scheduling</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Already built and proven (Provisioning Engine, Days 1-4 of POC); no new infra dependency.</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We own reliability and scaling as the system grows; no built-in workflow-state durability beyond what we've built.</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already designed to launch jobs on Docker today, Azure Container Apps Jobs as target-state.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Mature scheduler (Temporal) without discarding the existing Provisioning Engine; retry/workflow-state durability handled by a proven engine.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Integration work to wire Temporal into the existing platform; a second orchestration paradigm to reason about.</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Temporal Cloud ~$100/mo floor + usage; self-hosted is free but adds ops burden.</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 well covered across the landscape; the constraint is team unfamiliarity with Temporal specifically.</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Temporal is purpose-built and battle-tested at scale; handles retries/workflow state as first-class primitives.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Real learning curve — team has no Temporal experience today; Temporal Cloud specifically reintroduces vendor lock-in.</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Temporal Cloud ~$100/mo floor + usage-based billing; self-hosted is free/open-source (Apache 2.0).</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a generic orchestration engine, not tied to any specific provider catalog.</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(orchestration, not provider-specific).</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Multi-Tenancy &amp; Isolation</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Already designed this way (per-tenant vault, Postgres row-level isolation); matches our exact architecture.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We own the isolation guarantees end-to-end — no third-party audit to lean on.</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Vendor's per-customer "linked account" model for covered providers; our own Postgres isolation for the rest.</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Slightly different data-residency posture depending on path; more moving parts to document for a security review.</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Same as the Vendor column's per-account pricing, scoped to just the covered providers.</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on the custom side.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 a design choice, not a coverage gap.</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Nango/Merge/Airbyte all support multi-tenant "linked accounts" natively; works out of the box, no design work needed.</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Isolation model is the vendor's, not ours; for Unified HR APIs specifically, customer data transits/stores in a third party's infrastructure.</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Scales with connected-account count (see Data Mapping cost note).</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inherent to how these platforms are built for multi-customer use.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(broadly supported across the landscape).</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Error Handling &amp; Resilience</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Tuned to our exact failure modes; no dependency on a vendor's retry semantics.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Real engineering effort; easy to under-invest here early since it's invisible until something breaks.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Temporal/Nango resilience primitives cover the plumbing they own; custom handling only needed for HR-specific logic.</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Two resilience models to reason about when debugging a failure; harder to build one unified incident-response runbook.</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the underlying Temporal/Nango cost already noted.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Temporal has retry/resilience as a first-class primitive; Nango ships built-in retry, HTTP logging, and Slack error alerts.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Only covers the piece of the pipeline running inside that vendor; our own custom code still needs its own error handling regardless.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Temporal/Nango subscription cost already noted.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generic resilience features, not provider-specific.</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Observability &amp; Monitoring</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Already shipped and working (pino → Loki, Prometheus/Grafana, Day 5 of POC); fully under our control.</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We maintain the whole stack ourselves.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(open-source stack: Loki, Prometheus, Grafana).</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Pipe Nango's OpenTelemetry export into our existing Loki/Grafana stack; single pane of glass even with two sources.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Integration work to normalize two log formats; one more system to keep healthy.</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Nango's cost already noted; no separate observability fee.</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Nango ships HTTP request logging, OpenTelemetry export, and Slack alerts out of the box; less to build for Nango-covered providers.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A second observability system to correlate with our own; doesn't cover anything running outside Nango.</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Nango's free/paid tier, no separate fee confirmed.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Merge, Finch, Kombo — no confirmed equivalent observability tooling exposed to us as the integrator.</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Governance &amp; Compliance</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Full control over data residency and PII-handling design; no dependency on a vendor's audit scope.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We earn every certification ourselves — no SOC2/HIPAA/GDPR certification exists today; real time and cost to earn independently.</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but certification programs (SOC2 audit, etc.) have real direct cost if pursued.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we can design for any requirement, but that doesn't shrink the compliance work itself.</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Lean on vendor certifications for the covered-provider data path; partial acceleration versus earning everything ourselves.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Two compliance postures to document and explain to an auditor; doesn't remove the need for our own controls on the custom path.</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separate cost beyond the vendor subscription already noted.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 depends on which vendor is in the mix (see Vendor column for specific gaps).</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Merge holds SOC2, ISO27001, HIPAA, and GDPR certifications; Boomi holds FedRAMP, HIPAA, ISO27001.</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Doesn't cover data outside the vendor's path (e.g., our custom-built Darwinbox/greytHR connectors); doesn't automatically certify our own platform.</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the vendor subscription cost already noted; no separate compliance fee confirmed.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N/A — certifications are inherited, not something we extend ourselves.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Finch, Kombo, Nango, Temporal, Airbyte, Workato, Celigo — no confirmed equivalent certification set found in our research; Merge and Boomi were the only two confirmed.</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Extensibility / SDK</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This is the connector-sdk pattern already in place; adding a provider is "just" writing an adapter, by design.</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Still real work per provider (~2 weeks placeholder); no shortcut for auth/plumbing — every piece is ours.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 pure engineering time, already priced into the ROI workbook.</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this is the entire point of the custom approach.</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Build new connectors on Nango's extensible framework instead of from scratch; some acceleration on the auth/proxy piece.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Still requires the hardest part (HR-specific mapping) ourselves; only helps for providers we choose to route through Nango.</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Same Nango cost structure as noted in Connectivity &amp; Auth.</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specifically why Nango, not Merge/Finch/Kombo, is the right hybrid partner for this feature.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 the whole point of this hybrid path is closing exactly this gap.</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Nango and Airbyte both allow self-built connectors (open framework, SDK); some scaffolding provided even for a provider they don't already have.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Merge, Finch, and Kombo are closed catalogs — zero self-extension possible; the vendors covering the most Western providers are exactly the ones with no extensibility.</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Nango/Airbyte extensibility is included in their base product, no separate fee to build a custom connector on their framework.</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Partial — true only for Nango and Airbyte; false for Merge, Finch, Kombo, Workato, Boomi, Celigo.</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Merge, Finch, Kombo, Workato, Boomi, Celigo — no self-service extensibility confirmed for any of these six.</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Security</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Part of the platform design already (credential vault, planned RBAC); exact fit to our own threat model.</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Security engineering is easy to under-invest in without dedicated focus; we own every layer, including the hardest one (secrets storage).</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Vendor-managed credential storage for covered providers; one RBAC layer built over both paths.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Two credential stores to secure and audit; more surface area for a security review to cover.</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the underlying vendor subscription already noted.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on the custom side.</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Nango/Merge handle secrets storage and encryption for the connections they manage; offloads a genuinely hard problem.</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RBAC and field-level access on our side is still entirely our responsibility regardless of vendor; doesn't reduce our own security engineering scope overall.</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base subscription; no separate security fee confirmed.</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 a built-in capability, not provider-specific.</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(broadly supported across the landscape for the providers each vendor covers).</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Scalability &amp; Performance</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Designed for our exact growth pattern; no vendor-imposed rate limits to work around.</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Not yet battle-tested beyond the POC; scaling is entirely on us to solve as we grow.</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but scaling costs (infra) grow with us directly.</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Vendor absorbs scale for connectors running through it; custom code only needs to scale for the smaller gap-provider volume.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Core platform (API layer, Postgres) still needs to scale regardless of which connectors run through a vendor.</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Vendor cost scales with connected-account volume (see earlier cost notes); custom-side cost stays roughly flat.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Nango, Merge, Temporal Cloud are all built to handle scale as a core promise; scaling problem solved by a vendor whose business depends on it.</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Their scale, not tuned to our specific traffic patterns; can hit vendor-side rate limits or pricing-tier caps as we grow.</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Cost grows with account/usage volume — the dimension where Vendor pricing compounds fastest (see ROI workbook).</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inherent to the platform.</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 (a strength across the landscape, not a gap).</w:t>
            </w:r>
          </w:p>
        </w:tc>
      </w:tr>
      <w:tr>
        <w:tc>
          <w:tcPr>
            <w:tcW w:type="dxa" w:w="20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Time-to-Build a New Connector</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Consistent, predictable process regardless of provider; no dependency on any vendor's roadmap.</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~2 weeks/adapter placeholder — the slowest path of the three; the single number leadership tends to fixate on.</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Engineering time only (~2 weeks × $75/hr × 40 hrs/wk ≈ $6,000/provider at placeholder rates).</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always — by definition, this is what "custom" means.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Near-zero for 8 of 10 providers via a vendor's pre-built connector; ~2 weeks each for the remaining 2 — same as custom would take.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Managing a vendor relationship AND in-house code simultaneously; requires deciding, per new provider, which path it goes down.</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Mostly the vendor's per-account subscription, plus ~$6,000 in engineering time per gap provider.</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Yes overall — the custom half guarantees no provider is permanently blocked.</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 currently require the custom half of this hybrid, not the vendor half.</w:t>
            </w:r>
          </w:p>
        </w:tc>
        <w:tc>
          <w:tcPr>
            <w:tcW w:type="dxa" w:w="3893"/>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Near-zero engineering time for any provider already in the vendor's catalog; dramatic speed advantage where it applies.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Totally bimodal — zero acceleration, in fact zero possibility, for a provider outside their catalog; no amount of budget fixes this without vendor cooperation.</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Included in the vendor's base subscription for covered providers; $0 additional engineering — but also $0 possible for Darwinbox/greytHR, regardless of budget.</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No for Merge/Finch/Kombo specifically; partial for Nango/Airbyte (open frameworks).</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Darwinbox, greytHR confirmed absent across every unified API and connector platform we checked.</w:t>
            </w:r>
          </w:p>
        </w:tc>
      </w:tr>
      <w:tr>
        <w:tc>
          <w:tcPr>
            <w:tcW w:type="dxa" w:w="20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Cloud Agnostic</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No dependency on any single cloud provider's proprietary services; can move to AWS/GCP with infra changes only, not application rewrites.</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We own the portability work — every new hosting target needs its own launch-target adapter.</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No licensing cost; infra cost varies by which host we choose.</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N/A — an infrastructure property, not a provider-coverage property.</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N/A.</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Can deliberately choose agnostic components (self-hosted Temporal, Nango's OSS core) while still using SaaS where it doesn't matter.</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Requires discipline to avoid quietly picking up cloud-specific dependencies through a vendor's hosting choices.</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Self-hosted options (Temporal, Nango OSS) are free/open-source; SaaS tiers of the same vendors reintroduce a hosting dependency.</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N/A.</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Temporal Cloud, and any SaaS-only unified HR API (Merge/Finch/Kombo), offer no self-hosted option — choosing them forfeits agnosticism for that slice.</w:t>
            </w:r>
          </w:p>
        </w:tc>
        <w:tc>
          <w:tcPr>
            <w:tcW w:type="dxa" w:w="3893"/>
            <w:shd w:fill="F3F6FC" w:val="clear"/>
            <w:tcMar>
              <w:top w:type="dxa" w:w="120"/>
              <w:left w:type="dxa" w:w="140"/>
              <w:bottom w:type="dxa" w:w="120"/>
              <w:right w:type="dxa" w:w="140"/>
            </w:tcMar>
            <w:vAlign w:val="top"/>
          </w:tcPr>
          <w:p>
            <w:pPr>
              <w:spacing w:after="80" w:line="276"/>
            </w:pPr>
            <w:r>
              <w:rPr>
                <w:rFonts w:ascii="Calibri" w:cs="Calibri" w:eastAsia="Calibri" w:hAnsi="Calibri"/>
                <w:b/>
                <w:bCs/>
                <w:color w:val="1E7A34"/>
                <w:sz w:val="24"/>
                <w:szCs w:val="24"/>
              </w:rPr>
              <w:t xml:space="preserve">Pros: </w:t>
            </w:r>
            <w:r>
              <w:rPr>
                <w:rFonts w:ascii="Calibri" w:cs="Calibri" w:eastAsia="Calibri" w:hAnsi="Calibri"/>
                <w:sz w:val="24"/>
                <w:szCs w:val="24"/>
              </w:rPr>
              <w:t xml:space="preserve">Self-hosted/open-source options exist for several tools in our landscape (Temporal, Nango, Airbyte core).</w:t>
            </w:r>
          </w:p>
          <w:p>
            <w:pPr>
              <w:spacing w:after="80" w:line="276"/>
            </w:pPr>
            <w:r>
              <w:rPr>
                <w:rFonts w:ascii="Calibri" w:cs="Calibri" w:eastAsia="Calibri" w:hAnsi="Calibri"/>
                <w:b/>
                <w:bCs/>
                <w:color w:val="B3261E"/>
                <w:sz w:val="24"/>
                <w:szCs w:val="24"/>
              </w:rPr>
              <w:t xml:space="preserve">Cons: </w:t>
            </w:r>
            <w:r>
              <w:rPr>
                <w:rFonts w:ascii="Calibri" w:cs="Calibri" w:eastAsia="Calibri" w:hAnsi="Calibri"/>
                <w:sz w:val="24"/>
                <w:szCs w:val="24"/>
              </w:rPr>
              <w:t xml:space="preserve">The vendors with the deepest HR-specific coverage (Merge, Finch, Kombo) are SaaS-only, with no self-hosted option at all.</w:t>
            </w:r>
          </w:p>
          <w:p>
            <w:pPr>
              <w:spacing w:after="80" w:line="276"/>
            </w:pPr>
            <w:r>
              <w:rPr>
                <w:rFonts w:ascii="Calibri" w:cs="Calibri" w:eastAsia="Calibri" w:hAnsi="Calibri"/>
                <w:b/>
                <w:bCs/>
                <w:color w:val="1E2761"/>
                <w:sz w:val="24"/>
                <w:szCs w:val="24"/>
              </w:rPr>
              <w:t xml:space="preserve">Cost / free tier: </w:t>
            </w:r>
            <w:r>
              <w:rPr>
                <w:rFonts w:ascii="Calibri" w:cs="Calibri" w:eastAsia="Calibri" w:hAnsi="Calibri"/>
                <w:sz w:val="24"/>
                <w:szCs w:val="24"/>
              </w:rPr>
              <w:t xml:space="preserve">Self-hosted = infra cost only; SaaS = the vendor's published or quote-based pricing, which becomes a hosting dependency in itself.</w:t>
            </w:r>
          </w:p>
          <w:p>
            <w:pPr>
              <w:spacing w:after="80" w:line="276"/>
            </w:pPr>
            <w:r>
              <w:rPr>
                <w:rFonts w:ascii="Calibri" w:cs="Calibri" w:eastAsia="Calibri" w:hAnsi="Calibri"/>
                <w:b/>
                <w:bCs/>
                <w:color w:val="1E2761"/>
                <w:sz w:val="24"/>
                <w:szCs w:val="24"/>
              </w:rPr>
              <w:t xml:space="preserve">Extensible for future providers: </w:t>
            </w:r>
            <w:r>
              <w:rPr>
                <w:rFonts w:ascii="Calibri" w:cs="Calibri" w:eastAsia="Calibri" w:hAnsi="Calibri"/>
                <w:sz w:val="24"/>
                <w:szCs w:val="24"/>
              </w:rPr>
              <w:t xml:space="preserve">N/A.</w:t>
            </w:r>
          </w:p>
          <w:p>
            <w:pPr>
              <w:spacing w:line="276"/>
            </w:pPr>
            <w:r>
              <w:rPr>
                <w:rFonts w:ascii="Calibri" w:cs="Calibri" w:eastAsia="Calibri" w:hAnsi="Calibri"/>
                <w:b/>
                <w:bCs/>
                <w:color w:val="6B6B6B"/>
                <w:sz w:val="24"/>
                <w:szCs w:val="24"/>
              </w:rPr>
              <w:t xml:space="preserve">Not supported by: </w:t>
            </w:r>
            <w:r>
              <w:rPr>
                <w:rFonts w:ascii="Calibri" w:cs="Calibri" w:eastAsia="Calibri" w:hAnsi="Calibri"/>
                <w:sz w:val="24"/>
                <w:szCs w:val="24"/>
              </w:rPr>
              <w:t xml:space="preserve">Merge, Finch, Kombo, Temporal Cloud, Workato, Boomi, Celigo — no self-hosted/agnostic option confirmed for any of these seven.</w:t>
            </w:r>
          </w:p>
        </w:tc>
      </w:tr>
    </w:tbl>
    <w:p>
      <w:r>
        <w:br w:type="page"/>
      </w:r>
    </w:p>
    <w:p>
      <w:pPr>
        <w:pBdr>
          <w:bottom w:val="single" w:color="1E2761" w:sz="8" w:space="6"/>
        </w:pBdr>
        <w:spacing w:after="240" w:before="400"/>
      </w:pPr>
      <w:r>
        <w:rPr>
          <w:rFonts w:ascii="Calibri" w:cs="Calibri" w:eastAsia="Calibri" w:hAnsi="Calibri"/>
          <w:b/>
          <w:bCs/>
          <w:color w:val="1E2761"/>
          <w:sz w:val="40"/>
          <w:szCs w:val="40"/>
        </w:rPr>
        <w:t xml:space="preserve">10. Consolidated Analysis — ROI, Time to Market &amp; Proposed Solution</w:t>
      </w:r>
    </w:p>
    <w:p>
      <w:pPr>
        <w:spacing w:after="200" w:before="0" w:line="300"/>
        <w:jc w:val="left"/>
      </w:pPr>
      <w:r>
        <w:rPr>
          <w:rFonts w:ascii="Calibri" w:cs="Calibri" w:eastAsia="Calibri" w:hAnsi="Calibri"/>
          <w:b w:val="false"/>
          <w:bCs w:val="false"/>
          <w:i/>
          <w:iCs/>
          <w:color w:val="5C6B8A"/>
          <w:sz w:val="24"/>
          <w:szCs w:val="24"/>
        </w:rPr>
        <w:t xml:space="preserve">Rolling Sections 8 and 9 up into the three questions leadership actually asks: what does it cost, how fast can we ship, and what's the concrete plan.</w:t>
      </w:r>
    </w:p>
    <w:p>
      <w:pPr>
        <w:spacing w:after="180" w:before="320"/>
      </w:pPr>
      <w:r>
        <w:rPr>
          <w:rFonts w:ascii="Calibri" w:cs="Calibri" w:eastAsia="Calibri" w:hAnsi="Calibri"/>
          <w:b/>
          <w:bCs/>
          <w:color w:val="1E2761"/>
          <w:sz w:val="32"/>
          <w:szCs w:val="32"/>
        </w:rPr>
        <w:t xml:space="preserve">10.1 Return on Investment</w:t>
      </w:r>
    </w:p>
    <w:p>
      <w:pPr>
        <w:spacing w:after="200" w:before="0" w:line="300"/>
        <w:jc w:val="left"/>
      </w:pPr>
      <w:r>
        <w:rPr>
          <w:rFonts w:ascii="Calibri" w:cs="Calibri" w:eastAsia="Calibri" w:hAnsi="Calibri"/>
          <w:b w:val="false"/>
          <w:bCs w:val="false"/>
          <w:i w:val="false"/>
          <w:iCs w:val="false"/>
          <w:color w:val="1B1F3B"/>
          <w:sz w:val="24"/>
          <w:szCs w:val="24"/>
        </w:rPr>
        <w:t xml:space="preserve">Custom and Hybrid are platform investments — cost we control. Vendor-only is fundamentally different: it's a pass-through of vendor billing tied to which services are enabled per tenant, not a cost we set. That makes it the least predictable of the three, since we don't control the pricing and it scales with our own success (more tenants = more vendor cost), not just once at build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27"/>
        <w:gridCol w:w="3827"/>
        <w:gridCol w:w="3826"/>
      </w:tblGrid>
      <w:tr>
        <w:trPr>
          <w:tblHeader/>
        </w:trPr>
        <w:tc>
          <w:tcPr>
            <w:tcW w:type="dxa" w:w="2200"/>
            <w:shd w:fill="1E2761" w:val="clear"/>
            <w:tcMar>
              <w:top w:type="dxa" w:w="120"/>
              <w:left w:type="dxa" w:w="140"/>
              <w:bottom w:type="dxa" w:w="120"/>
              <w:right w:type="dxa" w:w="140"/>
            </w:tcMar>
            <w:vAlign w:val="center"/>
          </w:tcPr>
          <w:p>
            <w:pPr>
              <w:spacing w:line="280"/>
              <w:jc w:val="left"/>
            </w:pPr>
            <w:r>
              <w:rPr>
                <w:rFonts w:ascii="Calibri" w:cs="Calibri" w:eastAsia="Calibri" w:hAnsi="Calibri"/>
                <w:b/>
                <w:bCs/>
                <w:color w:val="FFFFFF"/>
                <w:sz w:val="24"/>
                <w:szCs w:val="24"/>
              </w:rPr>
              <w:t xml:space="preserve"/>
            </w:r>
          </w:p>
        </w:tc>
        <w:tc>
          <w:tcPr>
            <w:tcW w:type="dxa" w:w="3827"/>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Custom</w:t>
            </w:r>
          </w:p>
        </w:tc>
        <w:tc>
          <w:tcPr>
            <w:tcW w:type="dxa" w:w="3827"/>
            <w:shd w:fill="8A5FB3"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Hybrid</w:t>
            </w:r>
          </w:p>
        </w:tc>
        <w:tc>
          <w:tcPr>
            <w:tcW w:type="dxa" w:w="3826"/>
            <w:shd w:fill="0078D4"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Vendor-Only</w:t>
            </w:r>
          </w:p>
        </w:tc>
      </w:tr>
      <w:tr>
        <w:tc>
          <w:tcPr>
            <w:tcW w:type="dxa" w:w="22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Initial cost</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$60,000 — 20 weeks engineering at placeholder rates (2wk/adapter × 10 providers, blended into the ROI baseline), covers all 10 providers.</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~$67,800 in Year 1 — same $60,000 engineering baseline (mapping/orchestration still built regardless) + ~$7,800 (12mo × $650/mo Merge.dev base tier) to onboard the 8 covered providers.</w:t>
            </w:r>
          </w:p>
        </w:tc>
        <w:tc>
          <w:tcPr>
            <w:tcW w:type="dxa" w:w="3826"/>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$0-$7,800/yr to onboard (Merge free tier for first 3 accounts, then $650/mo base) — but delivers only 8 of 10 providers. Darwinbox/greytHR unsupported at any price; adding them means it's no longer "vendor-only," it's Hybrid.</w:t>
            </w:r>
          </w:p>
        </w:tc>
      </w:tr>
      <w:tr>
        <w:tc>
          <w:tcPr>
            <w:tcW w:type="dxa" w:w="22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Ongoing / operational cost</w:t>
            </w:r>
          </w:p>
        </w:tc>
        <w:tc>
          <w:tcPr>
            <w:tcW w:type="dxa" w:w="3827"/>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Near-$0 marginal — adapters keep running once built. Real cost only appears when a provider changes its API and we maintain the adapter (engineering time, not licensing).</w:t>
            </w:r>
          </w:p>
        </w:tc>
        <w:tc>
          <w:tcPr>
            <w:tcW w:type="dxa" w:w="3827"/>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Merge.dev subscription recurring ($650/mo base + $65/extra account beyond 10) + minimal maintenance on the 2 custom-built gap connectors.</w:t>
            </w:r>
          </w:p>
        </w:tc>
        <w:tc>
          <w:tcPr>
            <w:tcW w:type="dxa" w:w="3826"/>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Recurring vendor subscription only — scales directly with connected-account count. Entirely opex/variable, not platform capex; we don't control the pricing trajectory.</w:t>
            </w:r>
          </w:p>
        </w:tc>
      </w:tr>
      <w:tr>
        <w:tc>
          <w:tcPr>
            <w:tcW w:type="dxa" w:w="22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Cost to add a new provider</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~2 weeks engineering (~$6,000 at placeholder rates), same formula regardless of which provider.</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Near-$0 if already in the vendor's catalog (just enable it); ~$6,000 if not (falls back to custom — same cost as the Custom column).</w:t>
            </w:r>
          </w:p>
        </w:tc>
        <w:tc>
          <w:tcPr>
            <w:tcW w:type="dxa" w:w="3826"/>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Near-$0 if already in the vendor's catalog. Not possible at any cost if it isn't — this is the structural ceiling, not a pricing question.</w:t>
            </w:r>
          </w:p>
        </w:tc>
      </w:tr>
      <w:tr>
        <w:tc>
          <w:tcPr>
            <w:tcW w:type="dxa" w:w="2200"/>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Cost as tenant count grows</w:t>
            </w:r>
          </w:p>
        </w:tc>
        <w:tc>
          <w:tcPr>
            <w:tcW w:type="dxa" w:w="3827"/>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Flat — no per-tenant licensing fee; cost is only in our own infra scaling (Postgres, compute), already budgeted for the platform generally.</w:t>
            </w:r>
          </w:p>
        </w:tc>
        <w:tc>
          <w:tcPr>
            <w:tcW w:type="dxa" w:w="3827"/>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Vendor-covered providers scale with Merge's per-account pricing ($65/account beyond the first 10) — the fastest-growing cost line as customers are added. Custom-covered providers (Darwinbox/greytHR) stay flat, like the Custom column.</w:t>
            </w:r>
          </w:p>
        </w:tc>
        <w:tc>
          <w:tcPr>
            <w:tcW w:type="dxa" w:w="3826"/>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Every additional tenant using a vendor-covered provider adds directly to the vendor bill. Cost scales linearly with tenant count and sits entirely outside our control once locked into the vendor's pricing tiers.</w:t>
            </w:r>
          </w:p>
        </w:tc>
      </w:tr>
    </w:tbl>
    <w:p>
      <w:pPr>
        <w:spacing w:after="180" w:before="320"/>
      </w:pPr>
      <w:r>
        <w:rPr>
          <w:rFonts w:ascii="Calibri" w:cs="Calibri" w:eastAsia="Calibri" w:hAnsi="Calibri"/>
          <w:b/>
          <w:bCs/>
          <w:color w:val="1E2761"/>
          <w:sz w:val="32"/>
          <w:szCs w:val="32"/>
        </w:rPr>
        <w:t xml:space="preserve">10.2 Time to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27"/>
        <w:gridCol w:w="3827"/>
        <w:gridCol w:w="3826"/>
      </w:tblGrid>
      <w:tr>
        <w:trPr>
          <w:tblHeader/>
        </w:trPr>
        <w:tc>
          <w:tcPr>
            <w:tcW w:type="dxa" w:w="2200"/>
            <w:shd w:fill="1E2761" w:val="clear"/>
            <w:tcMar>
              <w:top w:type="dxa" w:w="120"/>
              <w:left w:type="dxa" w:w="140"/>
              <w:bottom w:type="dxa" w:w="120"/>
              <w:right w:type="dxa" w:w="140"/>
            </w:tcMar>
            <w:vAlign w:val="center"/>
          </w:tcPr>
          <w:p>
            <w:pPr>
              <w:spacing w:line="280"/>
              <w:jc w:val="left"/>
            </w:pPr>
            <w:r>
              <w:rPr>
                <w:rFonts w:ascii="Calibri" w:cs="Calibri" w:eastAsia="Calibri" w:hAnsi="Calibri"/>
                <w:b/>
                <w:bCs/>
                <w:color w:val="FFFFFF"/>
                <w:sz w:val="24"/>
                <w:szCs w:val="24"/>
              </w:rPr>
              <w:t xml:space="preserve"/>
            </w:r>
          </w:p>
        </w:tc>
        <w:tc>
          <w:tcPr>
            <w:tcW w:type="dxa" w:w="3827"/>
            <w:shd w:fill="1E2761"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Custom</w:t>
            </w:r>
          </w:p>
        </w:tc>
        <w:tc>
          <w:tcPr>
            <w:tcW w:type="dxa" w:w="3827"/>
            <w:shd w:fill="8A5FB3"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Hybrid</w:t>
            </w:r>
          </w:p>
        </w:tc>
        <w:tc>
          <w:tcPr>
            <w:tcW w:type="dxa" w:w="3826"/>
            <w:shd w:fill="0078D4" w:val="clear"/>
            <w:tcMar>
              <w:top w:type="dxa" w:w="120"/>
              <w:left w:type="dxa" w:w="140"/>
              <w:bottom w:type="dxa" w:w="120"/>
              <w:right w:type="dxa" w:w="140"/>
            </w:tcMar>
            <w:vAlign w:val="center"/>
          </w:tcPr>
          <w:p>
            <w:pPr>
              <w:spacing w:line="280"/>
              <w:jc w:val="center"/>
            </w:pPr>
            <w:r>
              <w:rPr>
                <w:rFonts w:ascii="Calibri" w:cs="Calibri" w:eastAsia="Calibri" w:hAnsi="Calibri"/>
                <w:b/>
                <w:bCs/>
                <w:color w:val="FFFFFF"/>
                <w:sz w:val="24"/>
                <w:szCs w:val="24"/>
              </w:rPr>
              <w:t xml:space="preserve">Vendor</w:t>
            </w:r>
          </w:p>
        </w:tc>
      </w:tr>
      <w:tr>
        <w:tc>
          <w:tcPr>
            <w:tcW w:type="dxa" w:w="2200"/>
            <w:shd w:fill="F3F6FC" w:val="clear"/>
            <w:tcMar>
              <w:top w:type="dxa" w:w="120"/>
              <w:left w:type="dxa" w:w="140"/>
              <w:bottom w:type="dxa" w:w="120"/>
              <w:right w:type="dxa" w:w="140"/>
            </w:tcMar>
            <w:vAlign w:val="center"/>
          </w:tcPr>
          <w:p>
            <w:pPr>
              <w:spacing w:line="280"/>
              <w:jc w:val="left"/>
            </w:pPr>
            <w:r>
              <w:rPr>
                <w:rFonts w:ascii="Calibri" w:cs="Calibri" w:eastAsia="Calibri" w:hAnsi="Calibri"/>
                <w:b/>
                <w:bCs/>
                <w:color w:val="1B1F3B"/>
                <w:sz w:val="24"/>
                <w:szCs w:val="24"/>
              </w:rPr>
              <w:t xml:space="preserve">Initial development time</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~20 weeks (~5 months) to reach all 10 providers at the placeholder pace (2 weeks/provider + ramp) — the ROI workbook baseline.</w:t>
            </w:r>
          </w:p>
        </w:tc>
        <w:tc>
          <w:tcPr>
            <w:tcW w:type="dxa" w:w="3827"/>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~8-10 weeks to full 10-provider coverage: ~4-6 weeks to enable the 8 vendor-covered providers (mostly configuration and integration testing, not full builds), + ~4 weeks (2 × 2 weeks) for Darwinbox/greytHR. Roughly half the time of pure Custom.</w:t>
            </w:r>
          </w:p>
        </w:tc>
        <w:tc>
          <w:tcPr>
            <w:tcW w:type="dxa" w:w="3826"/>
            <w:shd w:fill="F3F6FC" w:val="clear"/>
            <w:tcMar>
              <w:top w:type="dxa" w:w="120"/>
              <w:left w:type="dxa" w:w="140"/>
              <w:bottom w:type="dxa" w:w="120"/>
              <w:right w:type="dxa" w:w="140"/>
            </w:tcMar>
            <w:vAlign w:val="center"/>
          </w:tcPr>
          <w:p>
            <w:pPr>
              <w:spacing w:line="280"/>
              <w:jc w:val="left"/>
            </w:pPr>
            <w:r>
              <w:rPr>
                <w:rFonts w:ascii="Calibri" w:cs="Calibri" w:eastAsia="Calibri" w:hAnsi="Calibri"/>
                <w:b w:val="false"/>
                <w:bCs w:val="false"/>
                <w:color w:val="1B1F3B"/>
                <w:sz w:val="24"/>
                <w:szCs w:val="24"/>
              </w:rPr>
              <w:t xml:space="preserve">~2-4 weeks to enable the 8 covered providers. Darwinbox and greytHR are permanently unreachable under this path alone — there is no "faster" option for them, only "not possible."</w:t>
            </w:r>
          </w:p>
        </w:tc>
      </w:tr>
    </w:tbl>
    <w:p>
      <w:pPr>
        <w:spacing w:after="180" w:before="320"/>
      </w:pPr>
      <w:r>
        <w:rPr>
          <w:rFonts w:ascii="Calibri" w:cs="Calibri" w:eastAsia="Calibri" w:hAnsi="Calibri"/>
          <w:b/>
          <w:bCs/>
          <w:color w:val="1E2761"/>
          <w:sz w:val="32"/>
          <w:szCs w:val="32"/>
        </w:rPr>
        <w:t xml:space="preserve">10.3 Extensible / Enable Other Providers</w:t>
      </w:r>
    </w:p>
    <w:p>
      <w:pPr>
        <w:spacing w:after="200" w:before="0" w:line="300"/>
        <w:jc w:val="left"/>
      </w:pPr>
      <w:r>
        <w:rPr>
          <w:rFonts w:ascii="Calibri" w:cs="Calibri" w:eastAsia="Calibri" w:hAnsi="Calibri"/>
          <w:b w:val="false"/>
          <w:bCs w:val="false"/>
          <w:i w:val="false"/>
          <w:iCs w:val="false"/>
          <w:color w:val="1B1F3B"/>
          <w:sz w:val="24"/>
          <w:szCs w:val="24"/>
        </w:rPr>
        <w:t xml:space="preserve">Custom stays fully extensible by definition — any future provider is a new adapter, full stop. Hybrid stays extensible because its custom half absorbs anything a vendor can't add — this is specifically why Nango, not Merge/Finch/Kombo, is the right vendor for the hybrid's infrastructure layer (see Section 9's Extensibility/SDK row). Vendor-only extensibility depends entirely on which vendor: Nango and Airbyte allow self-built connectors on their framework; Merge, Finch, and Kombo are closed catalogs with zero self-extension — the vendors covering the most providers are exactly the ones we can't extend ourselves.</w:t>
      </w:r>
    </w:p>
    <w:p>
      <w:pPr>
        <w:spacing w:after="180" w:before="320"/>
      </w:pPr>
      <w:r>
        <w:rPr>
          <w:rFonts w:ascii="Calibri" w:cs="Calibri" w:eastAsia="Calibri" w:hAnsi="Calibri"/>
          <w:b/>
          <w:bCs/>
          <w:color w:val="1E2761"/>
          <w:sz w:val="32"/>
          <w:szCs w:val="32"/>
        </w:rPr>
        <w:t xml:space="preserve">10.4 Proposed Solution</w:t>
      </w:r>
    </w:p>
    <w:tbl>
      <w:tblPr>
        <w:tblW w:type="pct" w:w="100%"/>
        <w:tblBorders>
          <w:top w:val="single" w:color="8A5FB3" w:sz="6"/>
          <w:left w:val="single" w:color="8A5FB3" w:sz="6"/>
          <w:bottom w:val="single" w:color="8A5FB3" w:sz="6"/>
          <w:right w:val="single" w:color="8A5FB3" w:sz="6"/>
          <w:insideH w:val="single" w:color="auto" w:sz="4"/>
          <w:insideV w:val="single" w:color="auto" w:sz="4"/>
        </w:tblBorders>
      </w:tblPr>
      <w:tblGrid>
        <w:gridCol w:w="100"/>
      </w:tblGrid>
      <w:tr>
        <w:tc>
          <w:tcPr>
            <w:shd w:fill="F1E9F7" w:val="clear"/>
            <w:tcMar>
              <w:top w:type="dxa" w:w="200"/>
              <w:left w:type="dxa" w:w="200"/>
              <w:bottom w:type="dxa" w:w="200"/>
              <w:right w:type="dxa" w:w="200"/>
            </w:tcMar>
          </w:tcPr>
          <w:p>
            <w:pPr>
              <w:spacing w:after="100"/>
            </w:pPr>
            <w:r>
              <w:rPr>
                <w:rFonts w:ascii="Calibri" w:cs="Calibri" w:eastAsia="Calibri" w:hAnsi="Calibri"/>
                <w:b/>
                <w:bCs/>
                <w:color w:val="1E2761"/>
                <w:sz w:val="26"/>
                <w:szCs w:val="26"/>
              </w:rPr>
              <w:t xml:space="preserve">If a Hybrid path is chosen</w:t>
            </w:r>
          </w:p>
          <w:p>
            <w:pPr>
              <w:spacing w:after="0" w:line="300"/>
            </w:pPr>
            <w:r>
              <w:rPr>
                <w:rFonts w:ascii="Calibri" w:cs="Calibri" w:eastAsia="Calibri" w:hAnsi="Calibri"/>
                <w:color w:val="1B1F3B"/>
                <w:sz w:val="24"/>
                <w:szCs w:val="24"/>
              </w:rPr>
              <w:t xml:space="preserve">No single vendor in the market we researched covers all 13 features for all 10 providers — that's why this is a three-vendor-plus-custom combination, not a single-vendor decision. Vendor 1 — Merge.dev: data mapping, canonical schema, and inherited SOC2/ISO27001/HIPAA/GDPR compliance for the 7-8 Western and Keka providers it already supports. Vendor 2 — Nango: authentication infrastructure and an extensible connector framework, used both to accelerate auth for Merge-adjacent providers and as the foundation for building Darwinbox and greytHR ourselves. Vendor 3 — Temporal, self-hosted (to preserve Cloud Agnostic status): orchestration, scheduling, and retry/resilience across every provider, vendor-covered or custom-built alike. Custom code covers the HR-specific mapping and sync logic for Darwinbox and greytHR, plus any sync mode — true real-time, persistent connection — that nothing in this stack delivers natively.</w:t>
            </w:r>
          </w:p>
        </w:tc>
      </w:tr>
    </w:tbl>
    <w:p>
      <w:pPr>
        <w:spacing w:after="200" w:before="160" w:line="300"/>
        <w:jc w:val="left"/>
      </w:pPr>
      <w:r>
        <w:rPr>
          <w:rFonts w:ascii="Calibri" w:cs="Calibri" w:eastAsia="Calibri" w:hAnsi="Calibri"/>
          <w:b/>
          <w:bCs/>
          <w:i w:val="false"/>
          <w:iCs w:val="false"/>
          <w:color w:val="1B1F3B"/>
          <w:sz w:val="24"/>
          <w:szCs w:val="24"/>
        </w:rPr>
        <w:t xml:space="preserve">Limitations no combination resolves — vendor, hybrid, or otherwise:</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Darwinbox and greytHR data mapping/canonical model — absent from every unified API and connector platform checked (Merge, Finch, Kombo, Nango, Airbyte). Only closeable with custom-written mapping code, regardless of which vendors sit around it.</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True real-time/event-driven and persistent-connection sync — no vendor in our landscape delivers this for HR data. Requires our own event &amp; queue layer investment either way.</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Certification of our own platform — vendor certifications (Merge's SOC2/ISO27001/HIPAA/GDPR) cover data on their path only. They don't certify our platform as a whole, so any data outside a certified vendor's path still requires us to build our own compliance controls.</w:t>
      </w:r>
    </w:p>
    <w:p>
      <w:pPr>
        <w:sectPr>
          <w:headerReference w:type="default" r:id="rId9"/>
          <w:footerReference w:type="default" r:id="rId10"/>
          <w:pgSz w:w="12240" w:h="15840" w:orient="portrait"/>
          <w:pgMar w:top="1080" w:right="1080" w:bottom="1080" w:left="1080" w:header="708" w:footer="708" w:gutter="0"/>
          <w:pgNumType/>
          <w:docGrid w:linePitch="360"/>
        </w:sectPr>
      </w:pPr>
    </w:p>
    <w:p>
      <w:pPr>
        <w:pBdr>
          <w:bottom w:val="single" w:color="1E2761" w:sz="8" w:space="6"/>
        </w:pBdr>
        <w:spacing w:after="240" w:before="400"/>
      </w:pPr>
      <w:r>
        <w:rPr>
          <w:rFonts w:ascii="Calibri" w:cs="Calibri" w:eastAsia="Calibri" w:hAnsi="Calibri"/>
          <w:b/>
          <w:bCs/>
          <w:color w:val="1E2761"/>
          <w:sz w:val="40"/>
          <w:szCs w:val="40"/>
        </w:rPr>
        <w:t xml:space="preserve">11. Recommendation</w:t>
      </w:r>
    </w:p>
    <w:tbl>
      <w:tblPr>
        <w:tblW w:type="pct" w:w="100%"/>
        <w:tblBorders>
          <w:top w:val="single" w:color="1E2761" w:sz="6"/>
          <w:left w:val="single" w:color="1E2761" w:sz="6"/>
          <w:bottom w:val="single" w:color="1E2761" w:sz="6"/>
          <w:right w:val="single" w:color="1E2761" w:sz="6"/>
          <w:insideH w:val="single" w:color="auto" w:sz="4"/>
          <w:insideV w:val="single" w:color="auto" w:sz="4"/>
        </w:tblBorders>
      </w:tblPr>
      <w:tblGrid>
        <w:gridCol w:w="100"/>
      </w:tblGrid>
      <w:tr>
        <w:tc>
          <w:tcPr>
            <w:shd w:fill="CADCFC" w:val="clear"/>
            <w:tcMar>
              <w:top w:type="dxa" w:w="200"/>
              <w:left w:type="dxa" w:w="200"/>
              <w:bottom w:type="dxa" w:w="200"/>
              <w:right w:type="dxa" w:w="200"/>
            </w:tcMar>
          </w:tcPr>
          <w:p>
            <w:pPr>
              <w:spacing w:after="100"/>
            </w:pPr>
            <w:r>
              <w:rPr>
                <w:rFonts w:ascii="Calibri" w:cs="Calibri" w:eastAsia="Calibri" w:hAnsi="Calibri"/>
                <w:b/>
                <w:bCs/>
                <w:color w:val="1E2761"/>
                <w:sz w:val="26"/>
                <w:szCs w:val="26"/>
              </w:rPr>
              <w:t xml:space="preserve">Recommendation</w:t>
            </w:r>
          </w:p>
          <w:p>
            <w:pPr>
              <w:spacing w:after="0" w:line="300"/>
            </w:pPr>
            <w:r>
              <w:rPr>
                <w:rFonts w:ascii="Calibri" w:cs="Calibri" w:eastAsia="Calibri" w:hAnsi="Calibri"/>
                <w:color w:val="1B1F3B"/>
                <w:sz w:val="24"/>
                <w:szCs w:val="24"/>
              </w:rPr>
              <w:t xml:space="preserve">Build custom for Darwinbox and greytHR regardless of what we decide for the rest — no vendor or combination of vendors covers them (Section 6, Section 10.4). For the remaining 8 providers, Section 10.1 and 10.2 show Hybrid (Merge.dev + Nango + self-hosted Temporal + custom for the gaps) cuts time-to-market roughly in half versus pure Custom, at a cost that's competitive at our current scale but grows with tenant count in a way Custom's cost does not (Section 10.1). The consolidated matrix in Section 8 ties 7-Strong-to-7-Strong between Custom and Unified HR APIs alone — the concrete three-vendor Hybrid in Section 10.4 is what actually breaks that tie in Hybrid's favor, since it inherits Custom's full coverage while beating Unified-HR-APIs-alone's time-to-market. If tenant growth is expected to be slow, pure Custom remains the safer, more cost-predictable choice; if speed to the first 8 providers matters more than that cost predictability, the Hybrid combination in 10.4 is the stronger recommendation.</w:t>
            </w:r>
          </w:p>
        </w:tc>
      </w:tr>
    </w:tbl>
    <w:p>
      <w:pPr>
        <w:spacing w:after="200" w:before="0" w:line="300"/>
        <w:jc w:val="left"/>
      </w:pPr>
      <w:r>
        <w:rPr>
          <w:rFonts w:ascii="Calibri" w:cs="Calibri" w:eastAsia="Calibri" w:hAnsi="Calibri"/>
          <w:b w:val="false"/>
          <w:bCs w:val="false"/>
          <w:i w:val="false"/>
          <w:iCs w:val="false"/>
          <w:color w:val="1B1F3B"/>
          <w:sz w:val="24"/>
          <w:szCs w:val="24"/>
        </w:rPr>
        <w:t xml:space="preserve">This holds at current placeholder assumptions in the ROI workbook. If our actual engineering rate, effort estimates, or customer-connection volume differ materially, re-run the workbook — the framework is built to be updated, not re-argued from scratch.</w:t>
      </w:r>
    </w:p>
    <w:p>
      <w:pPr>
        <w:pBdr>
          <w:bottom w:val="single" w:color="1E2761" w:sz="8" w:space="6"/>
        </w:pBdr>
        <w:spacing w:after="240" w:before="400"/>
      </w:pPr>
      <w:r>
        <w:rPr>
          <w:rFonts w:ascii="Calibri" w:cs="Calibri" w:eastAsia="Calibri" w:hAnsi="Calibri"/>
          <w:b/>
          <w:bCs/>
          <w:color w:val="1E2761"/>
          <w:sz w:val="40"/>
          <w:szCs w:val="40"/>
        </w:rPr>
        <w:t xml:space="preserve">12. Next Steps</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Approve custom-build effort for Darwinbox and greytHR — unconditional, regardless of the decision below.</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Decide Custom vs. the Section 10.4 Hybrid combination for the remaining 8 providers, based on our real tenant-growth projection (the input that tips 10.1's cost comparison one way or the other).</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Confirm the top-10 provider priority order, or adjust it based on actual pipeline.</w:t>
      </w:r>
    </w:p>
    <w:p>
      <w:pPr>
        <w:pStyle w:val="ListParagraph"/>
        <w:numPr>
          <w:ilvl w:val="0"/>
          <w:numId w:val="2"/>
        </w:numPr>
        <w:spacing w:after="140" w:line="300"/>
      </w:pPr>
      <w:r>
        <w:rPr>
          <w:rFonts w:ascii="Calibri" w:cs="Calibri" w:eastAsia="Calibri" w:hAnsi="Calibri"/>
          <w:b w:val="false"/>
          <w:bCs w:val="false"/>
          <w:color w:val="1B1F3B"/>
          <w:sz w:val="24"/>
          <w:szCs w:val="24"/>
        </w:rPr>
        <w:t xml:space="preserve">Revisit this analysis in 6 months, or sooner if a vendor announces India/APAC HR coverage.</w:t>
      </w:r>
    </w:p>
    <w:p>
      <w:pPr>
        <w:pBdr>
          <w:bottom w:val="single" w:color="1E2761" w:sz="8" w:space="6"/>
        </w:pBdr>
        <w:spacing w:after="240" w:before="400"/>
      </w:pPr>
      <w:r>
        <w:rPr>
          <w:rFonts w:ascii="Calibri" w:cs="Calibri" w:eastAsia="Calibri" w:hAnsi="Calibri"/>
          <w:b/>
          <w:bCs/>
          <w:color w:val="1E2761"/>
          <w:sz w:val="40"/>
          <w:szCs w:val="40"/>
        </w:rPr>
        <w:t xml:space="preserve">Appendix</w:t>
      </w:r>
    </w:p>
    <w:p>
      <w:pPr>
        <w:spacing w:after="200" w:before="0" w:line="300"/>
        <w:jc w:val="left"/>
      </w:pPr>
      <w:r>
        <w:rPr>
          <w:rFonts w:ascii="Calibri" w:cs="Calibri" w:eastAsia="Calibri" w:hAnsi="Calibri"/>
          <w:b w:val="false"/>
          <w:bCs w:val="false"/>
          <w:i w:val="false"/>
          <w:iCs w:val="false"/>
          <w:color w:val="1B1F3B"/>
          <w:sz w:val="24"/>
          <w:szCs w:val="24"/>
        </w:rPr>
        <w:t xml:space="preserve">Full 10-dimension × 8-tool trade-off matrix and the editable ROI workbook (iPaaS_ROI_Model.xlsx) are available as separate documents on request — kept out of this brief so the argument stays readable, per the font-size and length constraints of this format.</w:t>
      </w:r>
    </w:p>
    <w:sectPr>
      <w:headerReference w:type="default" r:id="rId11"/>
      <w:footerReference w:type="default" r:id="rId12"/>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8"/>
        <w:szCs w:val="18"/>
      </w:rPr>
      <w:t xml:space="preserve">Page </w:t>
    </w:r>
    <w:r>
      <w:rPr>
        <w:rFonts w:ascii="Calibri" w:cs="Calibri" w:eastAsia="Calibri" w:hAnsi="Calibri"/>
        <w:color w:val="5C6B8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8"/>
        <w:szCs w:val="18"/>
      </w:rPr>
      <w:t xml:space="preserve">Page </w:t>
    </w:r>
    <w:r>
      <w:rPr>
        <w:rFonts w:ascii="Calibri" w:cs="Calibri" w:eastAsia="Calibri" w:hAnsi="Calibri"/>
        <w:color w:val="5C6B8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8A"/>
        <w:sz w:val="18"/>
        <w:szCs w:val="18"/>
      </w:rPr>
      <w:t xml:space="preserve">Page </w:t>
    </w:r>
    <w:r>
      <w:rPr>
        <w:rFonts w:ascii="Calibri" w:cs="Calibri" w:eastAsia="Calibri" w:hAnsi="Calibri"/>
        <w:color w:val="5C6B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8"/>
        <w:szCs w:val="18"/>
      </w:rPr>
      <w:t xml:space="preserve">iPaaS — HR Integration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8"/>
        <w:szCs w:val="18"/>
      </w:rPr>
      <w:t xml:space="preserve">iPaaS — HR Integration Strategy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A"/>
        <w:sz w:val="18"/>
        <w:szCs w:val="18"/>
      </w:rPr>
      <w:t xml:space="preserve">iPaaS — HR Integration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2026-08-13T09:04:36.012Z</dcterms:created>
  <dcterms:modified xsi:type="dcterms:W3CDTF">2026-08-13T09:04:36.012Z</dcterms:modified>
</cp:coreProperties>
</file>

<file path=docProps/custom.xml><?xml version="1.0" encoding="utf-8"?>
<Properties xmlns="http://schemas.openxmlformats.org/officeDocument/2006/custom-properties" xmlns:vt="http://schemas.openxmlformats.org/officeDocument/2006/docPropsVTypes"/>
</file>