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iPaaS Platform — OculusIT POC</w:t>
      </w:r>
    </w:p>
    <w:p>
      <w:pPr>
        <w:spacing w:after="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Status Summary</w:t>
      </w:r>
    </w:p>
    <w:p>
      <w:pPr>
        <w:pBdr>
          <w:bottom w:val="single" w:color="CCCCCC" w:sz="6" w:space="4"/>
        </w:pBd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September 3, 2026  ·  Prepared by Raj Kamal</w:t>
      </w:r>
    </w:p>
    <w:p>
      <w:pPr>
        <w:spacing w:after="100" w:before="1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What’s Built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Database schema (7 tables): </w:t>
      </w:r>
      <w:r>
        <w:rPr>
          <w:rFonts w:ascii="Arial" w:cs="Arial" w:eastAsia="Arial" w:hAnsi="Arial"/>
          <w:sz w:val="21"/>
          <w:szCs w:val="21"/>
        </w:rPr>
        <w:t xml:space="preserve">tenant intake (which providers/entities a tenant selects), encrypted per-provider credentials, per-entity run tracking, and per-tenant field mapping — all editable without a code deploy.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ConnectWise &amp; Keka adapters: </w:t>
      </w:r>
      <w:r>
        <w:rPr>
          <w:rFonts w:ascii="Arial" w:cs="Arial" w:eastAsia="Arial" w:hAnsi="Arial"/>
          <w:sz w:val="21"/>
          <w:szCs w:val="21"/>
        </w:rPr>
        <w:t xml:space="preserve">rebuilt as reusable, independent modules for the Client entity, following the auth/pagination behavior already confirmed against the real APIs.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Orchestration Engine: </w:t>
      </w:r>
      <w:r>
        <w:rPr>
          <w:rFonts w:ascii="Arial" w:cs="Arial" w:eastAsia="Arial" w:hAnsi="Arial"/>
          <w:sz w:val="21"/>
          <w:szCs w:val="21"/>
        </w:rPr>
        <w:t xml:space="preserve">dynamically loads the correct adapters per tenant, runs a full fetch → map → validate → write cycle, supports both one-time and recurring schedules, and automatically retries or flags failures without manual intervention.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End-to-end verified: </w:t>
      </w:r>
      <w:r>
        <w:rPr>
          <w:rFonts w:ascii="Arial" w:cs="Arial" w:eastAsia="Arial" w:hAnsi="Arial"/>
          <w:sz w:val="21"/>
          <w:szCs w:val="21"/>
        </w:rPr>
        <w:t xml:space="preserve">proven correct against a simulated ConnectWise/Keka environment — confirms the engine’s own logic (routing, mapping, retry/failure handling) works as designed.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What’s Next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Verify against real accounts: </w:t>
      </w:r>
      <w:r>
        <w:rPr>
          <w:rFonts w:ascii="Arial" w:cs="Arial" w:eastAsia="Arial" w:hAnsi="Arial"/>
          <w:sz w:val="21"/>
          <w:szCs w:val="21"/>
        </w:rPr>
        <w:t xml:space="preserve">confirm the Client adapters—and extend verification to Project/Timesheet—against live ConnectWise and Keka accounts. Currently blocked on account access.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Store real credentials: </w:t>
      </w:r>
      <w:r>
        <w:rPr>
          <w:rFonts w:ascii="Arial" w:cs="Arial" w:eastAsia="Arial" w:hAnsi="Arial"/>
          <w:sz w:val="21"/>
          <w:szCs w:val="21"/>
        </w:rPr>
        <w:t xml:space="preserve">the encrypted credentials table currently holds test values pointing at a simulated environment, not real ConnectWise/Keka secrets.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the Provisioning Engine: </w:t>
      </w:r>
      <w:r>
        <w:rPr>
          <w:rFonts w:ascii="Arial" w:cs="Arial" w:eastAsia="Arial" w:hAnsi="Arial"/>
          <w:sz w:val="21"/>
          <w:szCs w:val="21"/>
        </w:rPr>
        <w:t xml:space="preserve">today, a person manually starts each tenant’s sync; this component automates that — watching for new tenant requests and starting them automatically.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Extend beyond Client: </w:t>
      </w:r>
      <w:r>
        <w:rPr>
          <w:rFonts w:ascii="Arial" w:cs="Arial" w:eastAsia="Arial" w:hAnsi="Arial"/>
          <w:sz w:val="21"/>
          <w:szCs w:val="21"/>
        </w:rPr>
        <w:t xml:space="preserve">add Project and Timesheet data on both the adapter and mapping layers — today’s build covers Client only.</w:t>
      </w:r>
    </w:p>
    <w:p>
      <w:pPr>
        <w:pBdr>
          <w:top w:val="single" w:color="CCCCCC" w:sz="6" w:space="6"/>
        </w:pBdr>
        <w:spacing w:before="26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Bottom line: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the platform’s core mechanics — dynamic provider loading, mapping, and self-healing sync — are built and proven in logic. What remains is connecting that proven engine to real accounts, real credentials, and an automated trigger, plus widening coverage past the Client entity.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2026-09-03T08:37:49.649Z</dcterms:created>
  <dcterms:modified xsi:type="dcterms:W3CDTF">2026-09-03T08:37:49.658Z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