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C6B8A"/>
          <w:spacing w:val="20"/>
          <w:sz w:val="18"/>
          <w:szCs w:val="18"/>
        </w:rPr>
        <w:t xml:space="preserve">IPAAS PLATFORM — BUILD PLAN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Phase 1: Foundation  →  Phase 2: Self-Service Onboarding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C6B8A"/>
          <w:sz w:val="21"/>
          <w:szCs w:val="21"/>
        </w:rPr>
        <w:t xml:space="preserve">August 25 – October 15, 2026  ·  Prepared by Raj Kamal</w:t>
      </w:r>
    </w:p>
    <w:p>
      <w:pPr>
        <w:pBdr>
          <w:bottom w:val="single" w:color="D9D9E3" w:sz="6" w:space="4"/>
        </w:pBdr>
        <w:spacing w:after="200"/>
      </w:pP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1. Purpose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1"/>
          <w:szCs w:val="21"/>
        </w:rPr>
        <w:t xml:space="preserve">A single, sequenced build plan for the iPaaS platform's POC/implementation, using OculusIT (ConnectWise → Keka) as the concrete use case. Phase 1 builds the foundation: the platform can automatically stand up a tenant's dedicated sync environment, and the canonical model supports the full OculusIT entity set. Phase 2 extends that foundation into an actual self-service platform: real-time sync, and a UI a tenant can configure themselves rather than engineering hand-provisioning them.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2. Scope — Two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c>
          <w:tcPr>
            <w:tcW w:type="dxa" w:w="1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0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Phase 1</w:t>
            </w:r>
          </w:p>
        </w:tc>
        <w:tc>
          <w:tcPr>
            <w:tcW w:type="dxa" w:w="376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Platform/Infra — CI/CD, Canonical Model (Mapping &amp; Transformation Engine), Provisioning Engine</w:t>
            </w:r>
          </w:p>
        </w:tc>
        <w:tc>
          <w:tcPr>
            <w:tcW w:type="dxa" w:w="40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Aug 25 – Sept 15, 2026 (3 weeks)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Phase 2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Orchestration Engine (extend to Project/Timesheet), Event &amp; Queue Layer (real-time), API Layer (self-service config), Client/Admin UI (minimal)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Sept 15 – Oct 15, 2026 (4 weeks)</w:t>
            </w:r>
          </w:p>
        </w:tc>
      </w:tr>
    </w:tbl>
    <w:p>
      <w:pPr>
        <w:spacing w:after="0" w:before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Phase 1 deliberately builds the infrastructure and data-model foundation first — a published image, an automated way to stand up a tenant environment from it, and a canonical model that covers the full OculusIT entity set. Phase 2 then extends the running Orchestration Engine to actually use that foundation for live sync, and wraps the whole thing in a self-service configuration surface.</w:t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3. Phase 1 — Week-by-Week (Aug 25 – Sept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c>
          <w:tcPr>
            <w:tcW w:type="dxa" w:w="17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7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Aug 25 – 31</w:t>
            </w:r>
          </w:p>
        </w:tc>
        <w:tc>
          <w:tcPr>
            <w:tcW w:type="dxa" w:w="23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36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 a Dockerfile for the Node app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GitHub Actions workflow: build, tag (git SHA), push to a container registry on merge to main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 parallel: begin the canonical schema definition for Project and Timesheet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a merge to main produces a pullable, versioned image; canonical schema drafted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Sept 1 – 7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Canonical Model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Author inbound mapping profiles: ConnectWise → canonical (Project, Timesheet)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Author outbound mapping profiles: canonical → Keka (Project, Timesheet)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Dry-run validation against real sample payloads from both systems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Begin the Provisioning Engine: image-selection logic against the registry built in Week 1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mapping profiles live in Postgres, passing dry-run tests</w:t>
            </w:r>
          </w:p>
        </w:tc>
      </w:tr>
      <w:tr>
        <w:tc>
          <w:tcPr>
            <w:tcW w:type="dxa" w:w="17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Sept 8 – 15</w:t>
            </w:r>
          </w:p>
        </w:tc>
        <w:tc>
          <w:tcPr>
            <w:tcW w:type="dxa" w:w="23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Provisioning Engine</w:t>
            </w:r>
          </w:p>
        </w:tc>
        <w:tc>
          <w:tcPr>
            <w:tcW w:type="dxa" w:w="536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Finish the Provisioning Engine: reads a tenant's saved configuration, selects the published image, triggers CI/CD to stand up that tenant's dedicated Orchestration Engine container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Integration test: provision OculusIT's environment from its configuration and confirm the container runs the existing Client-entity sync correctly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Demo prep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a tenant's dedicated sync container can be stood up automatically from saved configuration and a published image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4. Phase 2 — Week-by-Week (Sept 15 – Oct 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c>
          <w:tcPr>
            <w:tcW w:type="dxa" w:w="17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7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Sept 15 – 21</w:t>
            </w:r>
          </w:p>
        </w:tc>
        <w:tc>
          <w:tcPr>
            <w:tcW w:type="dxa" w:w="23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Sync Execution</w:t>
            </w:r>
          </w:p>
        </w:tc>
        <w:tc>
          <w:tcPr>
            <w:tcW w:type="dxa" w:w="536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Extend the Orchestration Engine's fetch/retry/checkpoint loop to Project and Timesheet, using the mapping profiles built in Phase 1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Implement entity dependency ordering (Client → Project → Timesheet)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Validate Keka write() live for Project and Timesheet — first live check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Add a dead-letter table (tenant-scoped, same Postgres) — when retries exhaust on a record, persist it there with the error reason and payload instead of silently dropping it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full Client → Project → Timesheet sync running scheduled + one-time, inside the provisioned container, checkpointed, retried, and failed records captured for review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Sept 22 – 28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Real-Time Sync (Minimal)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 one webhook receiver endpoint (ConnectWise)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Wire the webhook trigger directly into the Orchestration Engine — no message broker (Valkey/BullMQ) for this phase, by design; failed records still land in the Week 4 dead-letter table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End-to-end integration test: ConnectWise change → webhook → sync → Keka write, all 3 entities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live real-time sync working end-to-end, with failures captured, not silently dropped</w:t>
            </w:r>
          </w:p>
        </w:tc>
      </w:tr>
      <w:tr>
        <w:tc>
          <w:tcPr>
            <w:tcW w:type="dxa" w:w="17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Sept 29 – Oct 5</w:t>
            </w:r>
          </w:p>
        </w:tc>
        <w:tc>
          <w:tcPr>
            <w:tcW w:type="dxa" w:w="230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Configuration API</w:t>
            </w:r>
          </w:p>
        </w:tc>
        <w:tc>
          <w:tcPr>
            <w:tcW w:type="dxa" w:w="5360"/>
            <w:shd w:fill="F3F6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endpoints: provider selection, model selection (reads from the Mapping Engine's per-provider registry), sync mode, sync type (one-way only, enforced server-side)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Persist configuration to Data &amp; Secrets Store, tenant-scoped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a full config payload can be submitted and retrieved via API for a given tenant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Week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Oct 6 – 15</w:t>
            </w:r>
          </w:p>
        </w:tc>
        <w:tc>
          <w:tcPr>
            <w:tcW w:type="dxa" w:w="2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Minimal UI + Integration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Minimal Angular UI: login, provider/model selection, sync mode/type selection, submit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Wire UI → API Layer → Provisioning Engine end-to-end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Integration test: onboard a brand-new tenant through the UI alone, with no manual backend step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Demo prep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Exit: a new tenant can self-configure and get a running, syncing environment without engineering involvement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5. Demo Outcomes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E2761"/>
          <w:sz w:val="22"/>
          <w:szCs w:val="22"/>
        </w:rPr>
        <w:t xml:space="preserve">End of Phase 1 (Sept 15)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1"/>
          <w:szCs w:val="21"/>
        </w:rPr>
        <w:t xml:space="preserve">OculusIT's environment is stood up automatically — the Provisioning Engine reads its saved configuration, pulls the CI/CD-published image, and brings up a dedicated container running the existing, already-proven Client-entity sync. Separately, the canonical model now has validated mapping profiles for Project and Timesheet.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B8860B"/>
          <w:sz w:val="21"/>
          <w:szCs w:val="21"/>
        </w:rPr>
        <w:t xml:space="preserve">What this demo will not include yet: Project and Timesheet don't actually sync live inside that container — the mapping profiles are built and dry-run validated, but the Orchestration Engine isn't wired to execute them until Phase 2, Week 4. Worth stating plainly so the two aren't conflated.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1E2761"/>
          <w:sz w:val="22"/>
          <w:szCs w:val="22"/>
        </w:rPr>
        <w:t xml:space="preserve">End of Phase 2 (Oct 15)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333333"/>
          <w:sz w:val="21"/>
          <w:szCs w:val="21"/>
        </w:rPr>
        <w:t xml:space="preserve">A new tenant logs into the UI, picks ConnectWise and Keka, picks the entities and sync mode, and submits. Minutes later, without any manual backend step, that tenant has a running environment syncing Client, Project, and Timesheet — on schedule and in real time. This is the full loop: self-service configuration through automated provisioning through live, working sync.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2026-08-26T07:27:39.306Z</dcterms:created>
  <dcterms:modified xsi:type="dcterms:W3CDTF">2026-08-26T07:27:39.318Z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