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Debugging and Error Resolution</w:t>
      </w:r>
    </w:p>
    <w:p>
      <w:pPr>
        <w:spacing w:after="160"/>
      </w:pPr>
      <w:r>
        <w:rPr>
          <w:rFonts w:ascii="Arial" w:hAnsi="Arial"/>
          <w:color w:val="617181"/>
          <w:sz w:val="20"/>
        </w:rPr>
        <w:t>Blog API debugging report  |  4 October 2026</w:t>
      </w:r>
    </w:p>
    <w:p>
      <w:pPr>
        <w:pStyle w:val="Heading1"/>
      </w:pPr>
      <w:r>
        <w:t>Project summary</w:t>
      </w:r>
    </w:p>
    <w:p>
      <w:pPr>
        <w:widowControl/>
      </w:pPr>
      <w:r>
        <w:t>This report records a controlled debugging exercise on the blog API. The Week 3 brief did not include a separate faulty codebase, so a copy of the Week 2 application was used for the exercise; the Week 2 project remains unchanged. Regression checks reproduced authorization, data consistency, missing-resource, and query-count problems before the fixes were applied.</w:t>
      </w:r>
    </w:p>
    <w:p>
      <w:pPr>
        <w:pStyle w:val="Heading1"/>
      </w:pPr>
      <w:r>
        <w:t>Issues found and corrections</w:t>
      </w:r>
    </w:p>
    <w:tbl>
      <w:tblPr>
        <w:tblStyle w:val="TableGrid"/>
        <w:tblW w:type="dxa" w:w="9576"/>
        <w:tblLayout w:type="fixed"/>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006"/>
        <w:gridCol w:w="7570"/>
      </w:tblGrid>
      <w:tr>
        <w:trPr>
          <w:tblHeader w:val="true"/>
          <w:cantSplit/>
        </w:trPr>
        <w:tc>
          <w:tcPr>
            <w:tcW w:type="dxa" w:w="2006"/>
            <w:shd w:fill="17365D"/>
            <w:tcMar>
              <w:top w:w="80" w:type="dxa"/>
              <w:start w:w="100" w:type="dxa"/>
              <w:bottom w:w="80" w:type="dxa"/>
              <w:end w:w="100" w:type="dxa"/>
            </w:tcMar>
            <w:vAlign w:val="center"/>
          </w:tcPr>
          <w:p>
            <w:pPr>
              <w:spacing w:after="0"/>
            </w:pPr>
            <w:r>
              <w:rPr>
                <w:rFonts w:ascii="Arial" w:hAnsi="Arial"/>
                <w:b/>
                <w:color w:val="FFFFFF"/>
                <w:sz w:val="17"/>
              </w:rPr>
              <w:t>Area</w:t>
            </w:r>
          </w:p>
        </w:tc>
        <w:tc>
          <w:tcPr>
            <w:tcW w:type="dxa" w:w="7570"/>
            <w:shd w:fill="17365D"/>
            <w:tcMar>
              <w:top w:w="80" w:type="dxa"/>
              <w:start w:w="100" w:type="dxa"/>
              <w:bottom w:w="80" w:type="dxa"/>
              <w:end w:w="100" w:type="dxa"/>
            </w:tcMar>
            <w:vAlign w:val="center"/>
          </w:tcPr>
          <w:p>
            <w:pPr>
              <w:spacing w:after="0"/>
            </w:pPr>
            <w:r>
              <w:rPr>
                <w:rFonts w:ascii="Arial" w:hAnsi="Arial"/>
                <w:b/>
                <w:color w:val="FFFFFF"/>
                <w:sz w:val="17"/>
              </w:rPr>
              <w:t>Observed behavior, cause, and correction</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7"/>
              </w:rPr>
              <w:t>Post and comment ownership</w:t>
            </w:r>
          </w:p>
        </w:tc>
        <w:tc>
          <w:tcPr>
            <w:tcW w:type="dxa" w:w="7570"/>
            <w:vAlign w:val="center"/>
            <w:tcMar>
              <w:top w:w="80" w:type="dxa"/>
              <w:start w:w="100" w:type="dxa"/>
              <w:bottom w:w="80" w:type="dxa"/>
              <w:end w:w="100" w:type="dxa"/>
            </w:tcMar>
          </w:tcPr>
          <w:p>
            <w:pPr>
              <w:spacing w:after="0" w:line="245" w:lineRule="auto"/>
            </w:pPr>
            <w:r>
              <w:rPr>
                <w:rFonts w:ascii="Arial" w:hAnsi="Arial"/>
                <w:color w:val="1F2933"/>
                <w:sz w:val="17"/>
              </w:rPr>
              <w:t>The author comparison was inverted. Owners were blocked and other users could pass the check. The service now denies a change only when the signed-in username differs from the resource author.</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7"/>
              </w:rPr>
              <w:t>Email uniqueness</w:t>
            </w:r>
          </w:p>
        </w:tc>
        <w:tc>
          <w:tcPr>
            <w:tcW w:type="dxa" w:w="7570"/>
            <w:vAlign w:val="center"/>
            <w:tcMar>
              <w:top w:w="80" w:type="dxa"/>
              <w:start w:w="100" w:type="dxa"/>
              <w:bottom w:w="80" w:type="dxa"/>
              <w:end w:w="100" w:type="dxa"/>
            </w:tcMar>
            <w:shd w:fill="F3F6F9"/>
          </w:tcPr>
          <w:p>
            <w:pPr>
              <w:spacing w:after="0" w:line="245" w:lineRule="auto"/>
            </w:pPr>
            <w:r>
              <w:rPr>
                <w:rFonts w:ascii="Arial" w:hAnsi="Arial"/>
                <w:color w:val="1F2933"/>
                <w:sz w:val="17"/>
              </w:rPr>
              <w:t>The check allowed capitalization variants. Registration now lowercases the trimmed address with Locale.ROOT before lookup and storage.</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7"/>
              </w:rPr>
              <w:t>Missing post comments</w:t>
            </w:r>
          </w:p>
        </w:tc>
        <w:tc>
          <w:tcPr>
            <w:tcW w:type="dxa" w:w="7570"/>
            <w:vAlign w:val="center"/>
            <w:tcMar>
              <w:top w:w="80" w:type="dxa"/>
              <w:start w:w="100" w:type="dxa"/>
              <w:bottom w:w="80" w:type="dxa"/>
              <w:end w:w="100" w:type="dxa"/>
            </w:tcMar>
          </w:tcPr>
          <w:p>
            <w:pPr>
              <w:spacing w:after="0" w:line="245" w:lineRule="auto"/>
            </w:pPr>
            <w:r>
              <w:rPr>
                <w:rFonts w:ascii="Arial" w:hAnsi="Arial"/>
                <w:color w:val="1F2933"/>
                <w:sz w:val="17"/>
              </w:rPr>
              <w:t>Comments returned 200 with an empty result for an unknown post. The service now checks the parent and returns 404.</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7"/>
              </w:rPr>
              <w:t>Post-list query count</w:t>
            </w:r>
          </w:p>
        </w:tc>
        <w:tc>
          <w:tcPr>
            <w:tcW w:type="dxa" w:w="7570"/>
            <w:vAlign w:val="center"/>
            <w:tcMar>
              <w:top w:w="80" w:type="dxa"/>
              <w:start w:w="100" w:type="dxa"/>
              <w:bottom w:w="80" w:type="dxa"/>
              <w:end w:w="100" w:type="dxa"/>
            </w:tcMar>
            <w:shd w:fill="F3F6F9"/>
          </w:tcPr>
          <w:p>
            <w:pPr>
              <w:spacing w:after="0" w:line="245" w:lineRule="auto"/>
            </w:pPr>
            <w:r>
              <w:rPr>
                <w:rFonts w:ascii="Arial" w:hAnsi="Arial"/>
                <w:color w:val="1F2933"/>
                <w:sz w:val="17"/>
              </w:rPr>
              <w:t>Loading posts for five authors required eight SQL statements. An entity graph now fetches each author with its post.</w:t>
            </w:r>
          </w:p>
        </w:tc>
      </w:tr>
    </w:tbl>
    <w:p>
      <w:pPr>
        <w:spacing w:after="20"/>
      </w:pPr>
    </w:p>
    <w:p>
      <w:pPr>
        <w:pStyle w:val="Heading1"/>
      </w:pPr>
      <w:r>
        <w:t>Test sequence and result</w:t>
      </w:r>
    </w:p>
    <w:p>
      <w:pPr>
        <w:widowControl/>
      </w:pPr>
      <w:r>
        <w:t>Seven focused regression tests were first run against the controlled defects. All seven failed in the expected direction: owner updates were blocked, non-owner updates were allowed, case-insensitive duplicate email was accepted, an unknown post returned an empty success response, and the five-author list used eight SQL statements instead of one.</w:t>
      </w:r>
    </w:p>
    <w:tbl>
      <w:tblPr>
        <w:tblStyle w:val="TableGrid"/>
        <w:tblW w:type="dxa" w:w="9576"/>
        <w:tblLayout w:type="fixed"/>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912"/>
        <w:gridCol w:w="6664"/>
      </w:tblGrid>
      <w:tr>
        <w:trPr>
          <w:tblHeader w:val="true"/>
          <w:cantSplit/>
        </w:trPr>
        <w:tc>
          <w:tcPr>
            <w:tcW w:type="dxa" w:w="2912"/>
            <w:shd w:fill="17365D"/>
            <w:tcMar>
              <w:top w:w="80" w:type="dxa"/>
              <w:start w:w="100" w:type="dxa"/>
              <w:bottom w:w="80" w:type="dxa"/>
              <w:end w:w="100" w:type="dxa"/>
            </w:tcMar>
            <w:vAlign w:val="center"/>
          </w:tcPr>
          <w:p>
            <w:pPr>
              <w:spacing w:after="0"/>
            </w:pPr>
            <w:r>
              <w:rPr>
                <w:rFonts w:ascii="Arial" w:hAnsi="Arial"/>
                <w:b/>
                <w:color w:val="FFFFFF"/>
                <w:sz w:val="17"/>
              </w:rPr>
              <w:t>Run</w:t>
            </w:r>
          </w:p>
        </w:tc>
        <w:tc>
          <w:tcPr>
            <w:tcW w:type="dxa" w:w="6664"/>
            <w:shd w:fill="17365D"/>
            <w:tcMar>
              <w:top w:w="80" w:type="dxa"/>
              <w:start w:w="100" w:type="dxa"/>
              <w:bottom w:w="80" w:type="dxa"/>
              <w:end w:w="100" w:type="dxa"/>
            </w:tcMar>
            <w:vAlign w:val="center"/>
          </w:tcPr>
          <w:p>
            <w:pPr>
              <w:spacing w:after="0"/>
            </w:pPr>
            <w:r>
              <w:rPr>
                <w:rFonts w:ascii="Arial" w:hAnsi="Arial"/>
                <w:b/>
                <w:color w:val="FFFFFF"/>
                <w:sz w:val="17"/>
              </w:rPr>
              <w:t>Result</w:t>
            </w:r>
          </w:p>
        </w:tc>
      </w:tr>
      <w:tr>
        <w:trPr>
          <w:cantSplit/>
        </w:trPr>
        <w:tc>
          <w:tcPr>
            <w:tcW w:type="dxa" w:w="2912"/>
            <w:vAlign w:val="center"/>
            <w:tcMar>
              <w:top w:w="80" w:type="dxa"/>
              <w:start w:w="100" w:type="dxa"/>
              <w:bottom w:w="80" w:type="dxa"/>
              <w:end w:w="100" w:type="dxa"/>
            </w:tcMar>
          </w:tcPr>
          <w:p>
            <w:pPr>
              <w:spacing w:after="0" w:line="245" w:lineRule="auto"/>
            </w:pPr>
            <w:r>
              <w:rPr>
                <w:rFonts w:ascii="Arial" w:hAnsi="Arial"/>
                <w:color w:val="1F2933"/>
                <w:sz w:val="17"/>
              </w:rPr>
              <w:t>Controlled-defect regression run</w:t>
            </w:r>
          </w:p>
        </w:tc>
        <w:tc>
          <w:tcPr>
            <w:tcW w:type="dxa" w:w="6664"/>
            <w:vAlign w:val="center"/>
            <w:tcMar>
              <w:top w:w="80" w:type="dxa"/>
              <w:start w:w="100" w:type="dxa"/>
              <w:bottom w:w="80" w:type="dxa"/>
              <w:end w:w="100" w:type="dxa"/>
            </w:tcMar>
          </w:tcPr>
          <w:p>
            <w:pPr>
              <w:spacing w:after="0" w:line="245" w:lineRule="auto"/>
            </w:pPr>
            <w:r>
              <w:rPr>
                <w:rFonts w:ascii="Arial" w:hAnsi="Arial"/>
                <w:color w:val="1F2933"/>
                <w:sz w:val="17"/>
              </w:rPr>
              <w:t>7 regression tests; 7 expected failures observed.</w:t>
            </w:r>
          </w:p>
        </w:tc>
      </w:tr>
      <w:tr>
        <w:trPr>
          <w:cantSplit/>
        </w:trPr>
        <w:tc>
          <w:tcPr>
            <w:tcW w:type="dxa" w:w="2912"/>
            <w:vAlign w:val="center"/>
            <w:tcMar>
              <w:top w:w="80" w:type="dxa"/>
              <w:start w:w="100" w:type="dxa"/>
              <w:bottom w:w="80" w:type="dxa"/>
              <w:end w:w="100" w:type="dxa"/>
            </w:tcMar>
            <w:shd w:fill="F3F6F9"/>
          </w:tcPr>
          <w:p>
            <w:pPr>
              <w:spacing w:after="0" w:line="245" w:lineRule="auto"/>
            </w:pPr>
            <w:r>
              <w:rPr>
                <w:rFonts w:ascii="Arial" w:hAnsi="Arial"/>
                <w:color w:val="1F2933"/>
                <w:sz w:val="17"/>
              </w:rPr>
              <w:t>After corrections</w:t>
            </w:r>
          </w:p>
        </w:tc>
        <w:tc>
          <w:tcPr>
            <w:tcW w:type="dxa" w:w="6664"/>
            <w:vAlign w:val="center"/>
            <w:tcMar>
              <w:top w:w="80" w:type="dxa"/>
              <w:start w:w="100" w:type="dxa"/>
              <w:bottom w:w="80" w:type="dxa"/>
              <w:end w:w="100" w:type="dxa"/>
            </w:tcMar>
            <w:shd w:fill="F3F6F9"/>
          </w:tcPr>
          <w:p>
            <w:pPr>
              <w:spacing w:after="0" w:line="245" w:lineRule="auto"/>
            </w:pPr>
            <w:r>
              <w:rPr>
                <w:rFonts w:ascii="Arial" w:hAnsi="Arial"/>
                <w:color w:val="1F2933"/>
                <w:sz w:val="17"/>
              </w:rPr>
              <w:t>11 tests: 4 existing API tests and 7 regression tests; 0 failures, errors, or skipped.</w:t>
            </w:r>
          </w:p>
        </w:tc>
      </w:tr>
    </w:tbl>
    <w:p>
      <w:pPr>
        <w:spacing w:after="20"/>
      </w:pPr>
    </w:p>
    <w:p>
      <w:pPr>
        <w:widowControl/>
      </w:pPr>
      <w:r>
        <w:t>The query-count check clears and reads Hibernate statistics around a request that returns posts from five distinct authors. This verifies the database behavior as well as the JSON response.</w:t>
      </w:r>
    </w:p>
    <w:p>
      <w:pPr>
        <w:pStyle w:val="Heading1"/>
      </w:pPr>
      <w:r>
        <w:t>Run and scope</w:t>
      </w:r>
    </w:p>
    <w:p>
      <w:pPr>
        <w:widowControl/>
      </w:pPr>
      <w:r>
        <w:t>From the week-03-debugging folder, run the automated suite against the in-memory H2 database:</w:t>
      </w:r>
    </w:p>
    <w:p>
      <w:pPr>
        <w:spacing w:before="20" w:after="100"/>
        <w:ind w:left="173" w:right="115"/>
        <w:shd w:fill="F2F4F7"/>
      </w:pPr>
      <w:r>
        <w:rPr>
          <w:rFonts w:ascii="Consolas" w:hAnsi="Consolas"/>
          <w:sz w:val="17"/>
        </w:rPr>
        <w:t>mvnw.cmd test</w:t>
      </w:r>
    </w:p>
    <w:p>
      <w:pPr>
        <w:widowControl/>
      </w:pPr>
      <w:r>
        <w:t>The corrected files are UserService, CommentService, PostService, and PostRepository. The project ZIP includes the source, regression tests, README, debugging record, and this report. These checks cover the controlled issues in this local exercise; they are not a production load test or an external security audit.</w:t>
      </w: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17181"/>
        <w:sz w:val="16"/>
      </w:rPr>
      <w:t xml:space="preserve">Week 3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17181"/>
        <w:sz w:val="16"/>
      </w:rPr>
      <w:t>YuvaIntern  |  Junior Backend Developer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Debugging and Error Resolution</dc:title>
  <dc:subject>YuvaIntern Junior Backend Developer Week 3 report</dc:subject>
  <dc:creator>YuvaIntern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