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Performance Testing and Optimization</w:t>
      </w:r>
    </w:p>
    <w:p>
      <w:pPr>
        <w:spacing w:after="160"/>
      </w:pPr>
      <w:r>
        <w:rPr>
          <w:rFonts w:ascii="Arial" w:hAnsi="Arial"/>
          <w:color w:val="617181"/>
          <w:sz w:val="20"/>
        </w:rPr>
        <w:t>Post-list endpoint measurement report  |  4 October 2026</w:t>
      </w:r>
    </w:p>
    <w:p>
      <w:pPr>
        <w:pStyle w:val="Heading1"/>
      </w:pPr>
      <w:r>
        <w:t>Project summary</w:t>
      </w:r>
    </w:p>
    <w:p>
      <w:pPr>
        <w:widowControl/>
      </w:pPr>
      <w:r>
        <w:t>The post-list endpoint was measured before and after adding bounded pagination. The baseline GET /api/v1/posts route still returns every post. The Week 4 copy adds GET /api/v1/posts/page?page=0&amp;size=20, accepts sizes from 1 through 100, and returns a hasNext flag without changing the original route. On this local run, the paged response was smaller and latency improved.</w:t>
      </w:r>
    </w:p>
    <w:p>
      <w:pPr>
        <w:pStyle w:val="Heading1"/>
      </w:pPr>
      <w:r>
        <w:t>Test setup</w:t>
      </w:r>
    </w:p>
    <w:tbl>
      <w:tblPr>
        <w:tblStyle w:val="TableGrid"/>
        <w:tblW w:type="dxa" w:w="9576"/>
        <w:tblLayout w:type="fixed"/>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76"/>
        <w:gridCol w:w="7700"/>
      </w:tblGrid>
      <w:tr>
        <w:trPr>
          <w:tblHeader w:val="true"/>
          <w:cantSplit/>
        </w:trPr>
        <w:tc>
          <w:tcPr>
            <w:tcW w:type="dxa" w:w="1876"/>
            <w:shd w:fill="17365D"/>
            <w:tcMar>
              <w:top w:w="80" w:type="dxa"/>
              <w:start w:w="100" w:type="dxa"/>
              <w:bottom w:w="80" w:type="dxa"/>
              <w:end w:w="100" w:type="dxa"/>
            </w:tcMar>
            <w:vAlign w:val="center"/>
          </w:tcPr>
          <w:p>
            <w:pPr>
              <w:spacing w:after="0"/>
            </w:pPr>
            <w:r>
              <w:rPr>
                <w:rFonts w:ascii="Arial" w:hAnsi="Arial"/>
                <w:b/>
                <w:color w:val="FFFFFF"/>
                <w:sz w:val="17"/>
              </w:rPr>
              <w:t>Item</w:t>
            </w:r>
          </w:p>
        </w:tc>
        <w:tc>
          <w:tcPr>
            <w:tcW w:type="dxa" w:w="7700"/>
            <w:shd w:fill="17365D"/>
            <w:tcMar>
              <w:top w:w="80" w:type="dxa"/>
              <w:start w:w="100" w:type="dxa"/>
              <w:bottom w:w="80" w:type="dxa"/>
              <w:end w:w="100" w:type="dxa"/>
            </w:tcMar>
            <w:vAlign w:val="center"/>
          </w:tcPr>
          <w:p>
            <w:pPr>
              <w:spacing w:after="0"/>
            </w:pPr>
            <w:r>
              <w:rPr>
                <w:rFonts w:ascii="Arial" w:hAnsi="Arial"/>
                <w:b/>
                <w:color w:val="FFFFFF"/>
                <w:sz w:val="17"/>
              </w:rPr>
              <w:t>Recorded setup</w:t>
            </w:r>
          </w:p>
        </w:tc>
      </w:tr>
      <w:tr>
        <w:trPr>
          <w:cantSplit/>
        </w:trPr>
        <w:tc>
          <w:tcPr>
            <w:tcW w:type="dxa" w:w="1876"/>
            <w:vAlign w:val="center"/>
            <w:tcMar>
              <w:top w:w="80" w:type="dxa"/>
              <w:start w:w="100" w:type="dxa"/>
              <w:bottom w:w="80" w:type="dxa"/>
              <w:end w:w="100" w:type="dxa"/>
            </w:tcMar>
          </w:tcPr>
          <w:p>
            <w:pPr>
              <w:spacing w:after="0" w:line="245" w:lineRule="auto"/>
            </w:pPr>
            <w:r>
              <w:rPr>
                <w:rFonts w:ascii="Arial" w:hAnsi="Arial"/>
                <w:color w:val="1F2933"/>
                <w:sz w:val="17"/>
              </w:rPr>
              <w:t>Runtime</w:t>
            </w:r>
          </w:p>
        </w:tc>
        <w:tc>
          <w:tcPr>
            <w:tcW w:type="dxa" w:w="7700"/>
            <w:vAlign w:val="center"/>
            <w:tcMar>
              <w:top w:w="80" w:type="dxa"/>
              <w:start w:w="100" w:type="dxa"/>
              <w:bottom w:w="80" w:type="dxa"/>
              <w:end w:w="100" w:type="dxa"/>
            </w:tcMar>
          </w:tcPr>
          <w:p>
            <w:pPr>
              <w:spacing w:after="0" w:line="245" w:lineRule="auto"/>
            </w:pPr>
            <w:r>
              <w:rPr>
                <w:rFonts w:ascii="Arial" w:hAnsi="Arial"/>
                <w:color w:val="1F2933"/>
                <w:sz w:val="17"/>
              </w:rPr>
              <w:t>Java 21.0.11; Spring Boot 4.1.1; local Windows host.</w:t>
            </w:r>
          </w:p>
        </w:tc>
      </w:tr>
      <w:tr>
        <w:trPr>
          <w:cantSplit/>
        </w:trPr>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7"/>
              </w:rPr>
              <w:t>Database</w:t>
            </w:r>
          </w:p>
        </w:tc>
        <w:tc>
          <w:tcPr>
            <w:tcW w:type="dxa" w:w="7700"/>
            <w:vAlign w:val="center"/>
            <w:tcMar>
              <w:top w:w="80" w:type="dxa"/>
              <w:start w:w="100" w:type="dxa"/>
              <w:bottom w:w="80" w:type="dxa"/>
              <w:end w:w="100" w:type="dxa"/>
            </w:tcMar>
            <w:shd w:fill="F3F6F9"/>
          </w:tcPr>
          <w:p>
            <w:pPr>
              <w:spacing w:after="0" w:line="245" w:lineRule="auto"/>
            </w:pPr>
            <w:r>
              <w:rPr>
                <w:rFonts w:ascii="Arial" w:hAnsi="Arial"/>
                <w:color w:val="1F2933"/>
                <w:sz w:val="17"/>
              </w:rPr>
              <w:t>The same file-backed H2 database for both application versions.</w:t>
            </w:r>
          </w:p>
        </w:tc>
      </w:tr>
      <w:tr>
        <w:trPr>
          <w:cantSplit/>
        </w:trPr>
        <w:tc>
          <w:tcPr>
            <w:tcW w:type="dxa" w:w="1876"/>
            <w:vAlign w:val="center"/>
            <w:tcMar>
              <w:top w:w="80" w:type="dxa"/>
              <w:start w:w="100" w:type="dxa"/>
              <w:bottom w:w="80" w:type="dxa"/>
              <w:end w:w="100" w:type="dxa"/>
            </w:tcMar>
          </w:tcPr>
          <w:p>
            <w:pPr>
              <w:spacing w:after="0" w:line="245" w:lineRule="auto"/>
            </w:pPr>
            <w:r>
              <w:rPr>
                <w:rFonts w:ascii="Arial" w:hAnsi="Arial"/>
                <w:color w:val="1F2933"/>
                <w:sz w:val="17"/>
              </w:rPr>
              <w:t>Dataset</w:t>
            </w:r>
          </w:p>
        </w:tc>
        <w:tc>
          <w:tcPr>
            <w:tcW w:type="dxa" w:w="7700"/>
            <w:vAlign w:val="center"/>
            <w:tcMar>
              <w:top w:w="80" w:type="dxa"/>
              <w:start w:w="100" w:type="dxa"/>
              <w:bottom w:w="80" w:type="dxa"/>
              <w:end w:w="100" w:type="dxa"/>
            </w:tcMar>
          </w:tcPr>
          <w:p>
            <w:pPr>
              <w:spacing w:after="0" w:line="245" w:lineRule="auto"/>
            </w:pPr>
            <w:r>
              <w:rPr>
                <w:rFonts w:ascii="Arial" w:hAnsi="Arial"/>
                <w:color w:val="1F2933"/>
                <w:sz w:val="17"/>
              </w:rPr>
              <w:t>250 posts by one registered author; each body contained 3,999 characters.</w:t>
            </w:r>
          </w:p>
        </w:tc>
      </w:tr>
      <w:tr>
        <w:trPr>
          <w:cantSplit/>
        </w:trPr>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7"/>
              </w:rPr>
              <w:t>Workload</w:t>
            </w:r>
          </w:p>
        </w:tc>
        <w:tc>
          <w:tcPr>
            <w:tcW w:type="dxa" w:w="7700"/>
            <w:vAlign w:val="center"/>
            <w:tcMar>
              <w:top w:w="80" w:type="dxa"/>
              <w:start w:w="100" w:type="dxa"/>
              <w:bottom w:w="80" w:type="dxa"/>
              <w:end w:w="100" w:type="dxa"/>
            </w:tcMar>
            <w:shd w:fill="F3F6F9"/>
          </w:tcPr>
          <w:p>
            <w:pPr>
              <w:spacing w:after="0" w:line="245" w:lineRule="auto"/>
            </w:pPr>
            <w:r>
              <w:rPr>
                <w:rFonts w:ascii="Arial" w:hAnsi="Arial"/>
                <w:color w:val="1F2933"/>
                <w:sz w:val="17"/>
              </w:rPr>
              <w:t>20 warm-ups, then 1,000 GET requests at concurrency 8 for each version.</w:t>
            </w:r>
          </w:p>
        </w:tc>
      </w:tr>
      <w:tr>
        <w:trPr>
          <w:cantSplit/>
        </w:trPr>
        <w:tc>
          <w:tcPr>
            <w:tcW w:type="dxa" w:w="1876"/>
            <w:vAlign w:val="center"/>
            <w:tcMar>
              <w:top w:w="80" w:type="dxa"/>
              <w:start w:w="100" w:type="dxa"/>
              <w:bottom w:w="80" w:type="dxa"/>
              <w:end w:w="100" w:type="dxa"/>
            </w:tcMar>
          </w:tcPr>
          <w:p>
            <w:pPr>
              <w:spacing w:after="0" w:line="245" w:lineRule="auto"/>
            </w:pPr>
            <w:r>
              <w:rPr>
                <w:rFonts w:ascii="Arial" w:hAnsi="Arial"/>
                <w:color w:val="1F2933"/>
                <w:sz w:val="17"/>
              </w:rPr>
              <w:t>Measurements</w:t>
            </w:r>
          </w:p>
        </w:tc>
        <w:tc>
          <w:tcPr>
            <w:tcW w:type="dxa" w:w="7700"/>
            <w:vAlign w:val="center"/>
            <w:tcMar>
              <w:top w:w="80" w:type="dxa"/>
              <w:start w:w="100" w:type="dxa"/>
              <w:bottom w:w="80" w:type="dxa"/>
              <w:end w:w="100" w:type="dxa"/>
            </w:tcMar>
          </w:tcPr>
          <w:p>
            <w:pPr>
              <w:spacing w:after="0" w:line="245" w:lineRule="auto"/>
            </w:pPr>
            <w:r>
              <w:rPr>
                <w:rFonts w:ascii="Arial" w:hAnsi="Arial"/>
                <w:color w:val="1F2933"/>
                <w:sz w:val="17"/>
              </w:rPr>
              <w:t>HTTP status, response-body bytes, latency, throughput, and Java process memory and CPU.</w:t>
            </w:r>
          </w:p>
        </w:tc>
      </w:tr>
    </w:tbl>
    <w:p>
      <w:pPr>
        <w:spacing w:after="20"/>
      </w:pPr>
    </w:p>
    <w:p>
      <w:pPr>
        <w:pStyle w:val="Heading1"/>
      </w:pPr>
      <w:r>
        <w:t>Results</w:t>
      </w:r>
    </w:p>
    <w:tbl>
      <w:tblPr>
        <w:tblStyle w:val="TableGrid"/>
        <w:tblW w:type="dxa" w:w="9576"/>
        <w:tblLayout w:type="fixed"/>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006"/>
        <w:gridCol w:w="1876"/>
        <w:gridCol w:w="1876"/>
        <w:gridCol w:w="3817"/>
      </w:tblGrid>
      <w:tr>
        <w:trPr>
          <w:tblHeader w:val="true"/>
          <w:cantSplit/>
        </w:trPr>
        <w:tc>
          <w:tcPr>
            <w:tcW w:type="dxa" w:w="2006"/>
            <w:shd w:fill="17365D"/>
            <w:tcMar>
              <w:top w:w="80" w:type="dxa"/>
              <w:start w:w="100" w:type="dxa"/>
              <w:bottom w:w="80" w:type="dxa"/>
              <w:end w:w="100" w:type="dxa"/>
            </w:tcMar>
            <w:vAlign w:val="center"/>
          </w:tcPr>
          <w:p>
            <w:pPr>
              <w:spacing w:after="0"/>
            </w:pPr>
            <w:r>
              <w:rPr>
                <w:rFonts w:ascii="Arial" w:hAnsi="Arial"/>
                <w:b/>
                <w:color w:val="FFFFFF"/>
                <w:sz w:val="16"/>
              </w:rPr>
              <w:t>Measure</w:t>
            </w:r>
          </w:p>
        </w:tc>
        <w:tc>
          <w:tcPr>
            <w:tcW w:type="dxa" w:w="1876"/>
            <w:shd w:fill="17365D"/>
            <w:tcMar>
              <w:top w:w="80" w:type="dxa"/>
              <w:start w:w="100" w:type="dxa"/>
              <w:bottom w:w="80" w:type="dxa"/>
              <w:end w:w="100" w:type="dxa"/>
            </w:tcMar>
            <w:vAlign w:val="center"/>
          </w:tcPr>
          <w:p>
            <w:pPr>
              <w:spacing w:after="0"/>
            </w:pPr>
            <w:r>
              <w:rPr>
                <w:rFonts w:ascii="Arial" w:hAnsi="Arial"/>
                <w:b/>
                <w:color w:val="FFFFFF"/>
                <w:sz w:val="16"/>
              </w:rPr>
              <w:t>Baseline all posts</w:t>
            </w:r>
          </w:p>
        </w:tc>
        <w:tc>
          <w:tcPr>
            <w:tcW w:type="dxa" w:w="1876"/>
            <w:shd w:fill="17365D"/>
            <w:tcMar>
              <w:top w:w="80" w:type="dxa"/>
              <w:start w:w="100" w:type="dxa"/>
              <w:bottom w:w="80" w:type="dxa"/>
              <w:end w:w="100" w:type="dxa"/>
            </w:tcMar>
            <w:vAlign w:val="center"/>
          </w:tcPr>
          <w:p>
            <w:pPr>
              <w:spacing w:after="0"/>
            </w:pPr>
            <w:r>
              <w:rPr>
                <w:rFonts w:ascii="Arial" w:hAnsi="Arial"/>
                <w:b/>
                <w:color w:val="FFFFFF"/>
                <w:sz w:val="16"/>
              </w:rPr>
              <w:t>Paged route</w:t>
            </w:r>
          </w:p>
        </w:tc>
        <w:tc>
          <w:tcPr>
            <w:tcW w:type="dxa" w:w="3817"/>
            <w:shd w:fill="17365D"/>
            <w:tcMar>
              <w:top w:w="80" w:type="dxa"/>
              <w:start w:w="100" w:type="dxa"/>
              <w:bottom w:w="80" w:type="dxa"/>
              <w:end w:w="100" w:type="dxa"/>
            </w:tcMar>
            <w:vAlign w:val="center"/>
          </w:tcPr>
          <w:p>
            <w:pPr>
              <w:spacing w:after="0"/>
            </w:pPr>
            <w:r>
              <w:rPr>
                <w:rFonts w:ascii="Arial" w:hAnsi="Arial"/>
                <w:b/>
                <w:color w:val="FFFFFF"/>
                <w:sz w:val="16"/>
              </w:rPr>
              <w:t>Change</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6"/>
              </w:rPr>
              <w:t>Successful responses</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1,000 / 1,000</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1,000 / 1,000</w:t>
            </w:r>
          </w:p>
        </w:tc>
        <w:tc>
          <w:tcPr>
            <w:tcW w:type="dxa" w:w="3817"/>
            <w:vAlign w:val="center"/>
            <w:tcMar>
              <w:top w:w="80" w:type="dxa"/>
              <w:start w:w="100" w:type="dxa"/>
              <w:bottom w:w="80" w:type="dxa"/>
              <w:end w:w="100" w:type="dxa"/>
            </w:tcMar>
          </w:tcPr>
          <w:p>
            <w:pPr>
              <w:spacing w:after="0" w:line="245" w:lineRule="auto"/>
            </w:pPr>
            <w:r>
              <w:rPr>
                <w:rFonts w:ascii="Arial" w:hAnsi="Arial"/>
                <w:color w:val="1F2933"/>
                <w:sz w:val="16"/>
              </w:rPr>
              <w:t>No failed requests</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6"/>
              </w:rPr>
              <w:t>Mean response body</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1,046,331 bytes</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83,761 bytes</w:t>
            </w:r>
          </w:p>
        </w:tc>
        <w:tc>
          <w:tcPr>
            <w:tcW w:type="dxa" w:w="3817"/>
            <w:vAlign w:val="center"/>
            <w:tcMar>
              <w:top w:w="80" w:type="dxa"/>
              <w:start w:w="100" w:type="dxa"/>
              <w:bottom w:w="80" w:type="dxa"/>
              <w:end w:w="100" w:type="dxa"/>
            </w:tcMar>
            <w:shd w:fill="F3F6F9"/>
          </w:tcPr>
          <w:p>
            <w:pPr>
              <w:spacing w:after="0" w:line="245" w:lineRule="auto"/>
            </w:pPr>
            <w:r>
              <w:rPr>
                <w:rFonts w:ascii="Arial" w:hAnsi="Arial"/>
                <w:color w:val="1F2933"/>
                <w:sz w:val="16"/>
              </w:rPr>
              <w:t>91.99% smaller</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6"/>
              </w:rPr>
              <w:t>Mean latency</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50.747 ms</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18.648 ms</w:t>
            </w:r>
          </w:p>
        </w:tc>
        <w:tc>
          <w:tcPr>
            <w:tcW w:type="dxa" w:w="3817"/>
            <w:vAlign w:val="center"/>
            <w:tcMar>
              <w:top w:w="80" w:type="dxa"/>
              <w:start w:w="100" w:type="dxa"/>
              <w:bottom w:w="80" w:type="dxa"/>
              <w:end w:w="100" w:type="dxa"/>
            </w:tcMar>
          </w:tcPr>
          <w:p>
            <w:pPr>
              <w:spacing w:after="0" w:line="245" w:lineRule="auto"/>
            </w:pPr>
            <w:r>
              <w:rPr>
                <w:rFonts w:ascii="Arial" w:hAnsi="Arial"/>
                <w:color w:val="1F2933"/>
                <w:sz w:val="16"/>
              </w:rPr>
              <w:t>63.25% lower</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6"/>
              </w:rPr>
              <w:t>Median latency</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46.449 ms</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13.616 ms</w:t>
            </w:r>
          </w:p>
        </w:tc>
        <w:tc>
          <w:tcPr>
            <w:tcW w:type="dxa" w:w="3817"/>
            <w:vAlign w:val="center"/>
            <w:tcMar>
              <w:top w:w="80" w:type="dxa"/>
              <w:start w:w="100" w:type="dxa"/>
              <w:bottom w:w="80" w:type="dxa"/>
              <w:end w:w="100" w:type="dxa"/>
            </w:tcMar>
            <w:shd w:fill="F3F6F9"/>
          </w:tcPr>
          <w:p>
            <w:pPr>
              <w:spacing w:after="0" w:line="245" w:lineRule="auto"/>
            </w:pPr>
            <w:r>
              <w:rPr>
                <w:rFonts w:ascii="Arial" w:hAnsi="Arial"/>
                <w:color w:val="1F2933"/>
                <w:sz w:val="16"/>
              </w:rPr>
              <w:t>70.68% lower</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6"/>
              </w:rPr>
              <w:t>95th percentile</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87.437 ms</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50.551 ms</w:t>
            </w:r>
          </w:p>
        </w:tc>
        <w:tc>
          <w:tcPr>
            <w:tcW w:type="dxa" w:w="3817"/>
            <w:vAlign w:val="center"/>
            <w:tcMar>
              <w:top w:w="80" w:type="dxa"/>
              <w:start w:w="100" w:type="dxa"/>
              <w:bottom w:w="80" w:type="dxa"/>
              <w:end w:w="100" w:type="dxa"/>
            </w:tcMar>
          </w:tcPr>
          <w:p>
            <w:pPr>
              <w:spacing w:after="0" w:line="245" w:lineRule="auto"/>
            </w:pPr>
            <w:r>
              <w:rPr>
                <w:rFonts w:ascii="Arial" w:hAnsi="Arial"/>
                <w:color w:val="1F2933"/>
                <w:sz w:val="16"/>
              </w:rPr>
              <w:t>42.19% lower</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6"/>
              </w:rPr>
              <w:t>Throughput</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156.07 req/s</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424.50 req/s</w:t>
            </w:r>
          </w:p>
        </w:tc>
        <w:tc>
          <w:tcPr>
            <w:tcW w:type="dxa" w:w="3817"/>
            <w:vAlign w:val="center"/>
            <w:tcMar>
              <w:top w:w="80" w:type="dxa"/>
              <w:start w:w="100" w:type="dxa"/>
              <w:bottom w:w="80" w:type="dxa"/>
              <w:end w:w="100" w:type="dxa"/>
            </w:tcMar>
            <w:shd w:fill="F3F6F9"/>
          </w:tcPr>
          <w:p>
            <w:pPr>
              <w:spacing w:after="0" w:line="245" w:lineRule="auto"/>
            </w:pPr>
            <w:r>
              <w:rPr>
                <w:rFonts w:ascii="Arial" w:hAnsi="Arial"/>
                <w:color w:val="1F2933"/>
                <w:sz w:val="16"/>
              </w:rPr>
              <w:t>2.72 times</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6"/>
              </w:rPr>
              <w:t>Average working set</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284.04 MB</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271.75 MB</w:t>
            </w:r>
          </w:p>
        </w:tc>
        <w:tc>
          <w:tcPr>
            <w:tcW w:type="dxa" w:w="3817"/>
            <w:vAlign w:val="center"/>
            <w:tcMar>
              <w:top w:w="80" w:type="dxa"/>
              <w:start w:w="100" w:type="dxa"/>
              <w:bottom w:w="80" w:type="dxa"/>
              <w:end w:w="100" w:type="dxa"/>
            </w:tcMar>
          </w:tcPr>
          <w:p>
            <w:pPr>
              <w:spacing w:after="0" w:line="245" w:lineRule="auto"/>
            </w:pPr>
            <w:r>
              <w:rPr>
                <w:rFonts w:ascii="Arial" w:hAnsi="Arial"/>
                <w:color w:val="1F2933"/>
                <w:sz w:val="16"/>
              </w:rPr>
              <w:t>4.33% lower</w:t>
            </w:r>
          </w:p>
        </w:tc>
      </w:tr>
      <w:tr>
        <w:trPr>
          <w:cantSplit/>
        </w:trPr>
        <w:tc>
          <w:tcPr>
            <w:tcW w:type="dxa" w:w="2006"/>
            <w:vAlign w:val="center"/>
            <w:tcMar>
              <w:top w:w="80" w:type="dxa"/>
              <w:start w:w="100" w:type="dxa"/>
              <w:bottom w:w="80" w:type="dxa"/>
              <w:end w:w="100" w:type="dxa"/>
            </w:tcMar>
            <w:shd w:fill="F3F6F9"/>
          </w:tcPr>
          <w:p>
            <w:pPr>
              <w:spacing w:after="0" w:line="245" w:lineRule="auto"/>
            </w:pPr>
            <w:r>
              <w:rPr>
                <w:rFonts w:ascii="Arial" w:hAnsi="Arial"/>
                <w:color w:val="1F2933"/>
                <w:sz w:val="16"/>
              </w:rPr>
              <w:t>Peak working set</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289.70 MB</w:t>
            </w:r>
          </w:p>
        </w:tc>
        <w:tc>
          <w:tcPr>
            <w:tcW w:type="dxa" w:w="1876"/>
            <w:vAlign w:val="center"/>
            <w:tcMar>
              <w:top w:w="80" w:type="dxa"/>
              <w:start w:w="100" w:type="dxa"/>
              <w:bottom w:w="80" w:type="dxa"/>
              <w:end w:w="100" w:type="dxa"/>
            </w:tcMar>
            <w:shd w:fill="F3F6F9"/>
          </w:tcPr>
          <w:p>
            <w:pPr>
              <w:spacing w:after="0" w:line="245" w:lineRule="auto"/>
            </w:pPr>
            <w:r>
              <w:rPr>
                <w:rFonts w:ascii="Arial" w:hAnsi="Arial"/>
                <w:color w:val="1F2933"/>
                <w:sz w:val="16"/>
              </w:rPr>
              <w:t>275.43 MB</w:t>
            </w:r>
          </w:p>
        </w:tc>
        <w:tc>
          <w:tcPr>
            <w:tcW w:type="dxa" w:w="3817"/>
            <w:vAlign w:val="center"/>
            <w:tcMar>
              <w:top w:w="80" w:type="dxa"/>
              <w:start w:w="100" w:type="dxa"/>
              <w:bottom w:w="80" w:type="dxa"/>
              <w:end w:w="100" w:type="dxa"/>
            </w:tcMar>
            <w:shd w:fill="F3F6F9"/>
          </w:tcPr>
          <w:p>
            <w:pPr>
              <w:spacing w:after="0" w:line="245" w:lineRule="auto"/>
            </w:pPr>
            <w:r>
              <w:rPr>
                <w:rFonts w:ascii="Arial" w:hAnsi="Arial"/>
                <w:color w:val="1F2933"/>
                <w:sz w:val="16"/>
              </w:rPr>
              <w:t>4.93% lower</w:t>
            </w:r>
          </w:p>
        </w:tc>
      </w:tr>
      <w:tr>
        <w:trPr>
          <w:cantSplit/>
        </w:trPr>
        <w:tc>
          <w:tcPr>
            <w:tcW w:type="dxa" w:w="2006"/>
            <w:vAlign w:val="center"/>
            <w:tcMar>
              <w:top w:w="80" w:type="dxa"/>
              <w:start w:w="100" w:type="dxa"/>
              <w:bottom w:w="80" w:type="dxa"/>
              <w:end w:w="100" w:type="dxa"/>
            </w:tcMar>
          </w:tcPr>
          <w:p>
            <w:pPr>
              <w:spacing w:after="0" w:line="245" w:lineRule="auto"/>
            </w:pPr>
            <w:r>
              <w:rPr>
                <w:rFonts w:ascii="Arial" w:hAnsi="Arial"/>
                <w:color w:val="1F2933"/>
                <w:sz w:val="16"/>
              </w:rPr>
              <w:t>Average host CPU share</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22.46%</w:t>
            </w:r>
          </w:p>
        </w:tc>
        <w:tc>
          <w:tcPr>
            <w:tcW w:type="dxa" w:w="1876"/>
            <w:vAlign w:val="center"/>
            <w:tcMar>
              <w:top w:w="80" w:type="dxa"/>
              <w:start w:w="100" w:type="dxa"/>
              <w:bottom w:w="80" w:type="dxa"/>
              <w:end w:w="100" w:type="dxa"/>
            </w:tcMar>
          </w:tcPr>
          <w:p>
            <w:pPr>
              <w:spacing w:after="0" w:line="245" w:lineRule="auto"/>
            </w:pPr>
            <w:r>
              <w:rPr>
                <w:rFonts w:ascii="Arial" w:hAnsi="Arial"/>
                <w:color w:val="1F2933"/>
                <w:sz w:val="16"/>
              </w:rPr>
              <w:t>22.99%</w:t>
            </w:r>
          </w:p>
        </w:tc>
        <w:tc>
          <w:tcPr>
            <w:tcW w:type="dxa" w:w="3817"/>
            <w:vAlign w:val="center"/>
            <w:tcMar>
              <w:top w:w="80" w:type="dxa"/>
              <w:start w:w="100" w:type="dxa"/>
              <w:bottom w:w="80" w:type="dxa"/>
              <w:end w:w="100" w:type="dxa"/>
            </w:tcMar>
          </w:tcPr>
          <w:p>
            <w:pPr>
              <w:spacing w:after="0" w:line="245" w:lineRule="auto"/>
            </w:pPr>
            <w:r>
              <w:rPr>
                <w:rFonts w:ascii="Arial" w:hAnsi="Arial"/>
                <w:color w:val="1F2933"/>
                <w:sz w:val="16"/>
              </w:rPr>
              <w:t>Similar in this sample</w:t>
            </w:r>
          </w:p>
        </w:tc>
      </w:tr>
    </w:tbl>
    <w:p>
      <w:pPr>
        <w:spacing w:after="20"/>
      </w:pPr>
    </w:p>
    <w:p>
      <w:pPr>
        <w:pStyle w:val="Heading1"/>
      </w:pPr>
      <w:r>
        <w:t>Interpretation and limits</w:t>
      </w:r>
    </w:p>
    <w:p>
      <w:pPr>
        <w:widowControl/>
      </w:pPr>
      <w:r>
        <w:t>The largest change is the response body size: the page endpoint returns up to 20 posts instead of serializing all 250. That bounds the collection response and reduces the amount of JSON sent to each client. The run also showed lower mean and p95 latency and higher throughput. The CPU samples were close, so the measured gain should not be described as a CPU reduction.</w:t>
      </w:r>
    </w:p>
    <w:p>
      <w:pPr>
        <w:widowControl/>
      </w:pPr>
      <w:r>
        <w:t>This was a local comparison on one machine, one H2 database, one author, one page size, and one concurrency level. The responses intentionally contain different numbers of records, so this compares an unbounded collection with a bounded page rather than identical payloads. The original route remains for compatibility and can still return a large collection. The 6-test Week 4 suite, load-test script, and raw JSON and CSV samples are included in the project ZIP; the README explains how to repeat the run.</w:t>
      </w: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17181"/>
        <w:sz w:val="16"/>
      </w:rPr>
      <w:t xml:space="preserve">Week 4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17181"/>
        <w:sz w:val="16"/>
      </w:rPr>
      <w:t>YuvaIntern  |  Junior Backend Developer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Performance Testing and Optimization</dc:title>
  <dc:subject>YuvaIntern Junior Backend Developer Week 4 report</dc:subject>
  <dc:creator>YuvaIntern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