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CargoEz Backend — Architecture Summary</w:t>
      </w:r>
    </w:p>
    <w:p>
      <w:r>
        <w:t>Prepared for: Technical Lead Review</w:t>
      </w:r>
    </w:p>
    <w:p>
      <w:r>
        <w:t>Date: March 2026</w:t>
      </w:r>
    </w:p>
    <w:p/>
    <w:p>
      <w:pPr>
        <w:pStyle w:val="Heading2"/>
      </w:pPr>
      <w:r>
        <w:t>1. Monorepo &amp; Build System</w:t>
      </w:r>
    </w:p>
    <w:p>
      <w:pPr>
        <w:pStyle w:val="ListBullet"/>
      </w:pPr>
      <w:r>
        <w:t>Nx 22 monorepo with pnpm 10 workspaces</w:t>
      </w:r>
    </w:p>
    <w:p>
      <w:pPr>
        <w:pStyle w:val="ListBullet"/>
      </w:pPr>
      <w:r>
        <w:t>Smart caching, affected builds, and dependency graph visualization</w:t>
      </w:r>
    </w:p>
    <w:p>
      <w:pPr>
        <w:pStyle w:val="ListBullet"/>
      </w:pPr>
      <w:r>
        <w:t>7 projects: 3 applications + 4 shared libraries</w:t>
      </w:r>
    </w:p>
    <w:p>
      <w:pPr>
        <w:pStyle w:val="Heading2"/>
      </w:pPr>
      <w:r>
        <w:t>2. Framework</w:t>
      </w:r>
    </w:p>
    <w:p>
      <w:pPr>
        <w:pStyle w:val="ListBullet"/>
      </w:pPr>
      <w:r>
        <w:t>NestJS 11 with TypeScript 5.x</w:t>
      </w:r>
    </w:p>
    <w:p>
      <w:pPr>
        <w:pStyle w:val="ListBullet"/>
      </w:pPr>
      <w:r>
        <w:t>Decorator-based DI, global guards, pipes, filters, interceptors</w:t>
      </w:r>
    </w:p>
    <w:p>
      <w:pPr>
        <w:pStyle w:val="ListBullet"/>
      </w:pPr>
      <w:r>
        <w:t>Each service is a standalone NestJS application, independently deployable</w:t>
      </w:r>
    </w:p>
    <w:p>
      <w:pPr>
        <w:pStyle w:val="Heading2"/>
      </w:pPr>
      <w:r>
        <w:t>3. Clean Architecture (per service)</w:t>
      </w:r>
    </w:p>
    <w:p>
      <w:pPr>
        <w:pStyle w:val="ListBullet"/>
      </w:pPr>
      <w:r>
        <w:t>4-layer separation enforced in every microservice:</w:t>
      </w:r>
    </w:p>
    <w:p>
      <w:pPr>
        <w:pStyle w:val="ListBullet2"/>
        <w:ind w:left="1080"/>
      </w:pPr>
      <w:r>
        <w:t>Domain — pure TypeScript interfaces (entities, repository contracts) — zero framework imports</w:t>
      </w:r>
    </w:p>
    <w:p>
      <w:pPr>
        <w:pStyle w:val="ListBullet2"/>
        <w:ind w:left="1080"/>
      </w:pPr>
      <w:r>
        <w:t>Application — use cases with single execute() method, depends only on domain</w:t>
      </w:r>
    </w:p>
    <w:p>
      <w:pPr>
        <w:pStyle w:val="ListBullet2"/>
        <w:ind w:left="1080"/>
      </w:pPr>
      <w:r>
        <w:t>Infrastructure — concrete repository implementations (Knex), extends BaseRepository&lt;T&gt;</w:t>
      </w:r>
    </w:p>
    <w:p>
      <w:pPr>
        <w:pStyle w:val="ListBullet2"/>
        <w:ind w:left="1080"/>
      </w:pPr>
      <w:r>
        <w:t>Presentation — controllers, DTOs, NestJS module wiring</w:t>
      </w:r>
    </w:p>
    <w:p>
      <w:pPr>
        <w:pStyle w:val="ListBullet"/>
      </w:pPr>
      <w:r>
        <w:t>Dependency rule: Presentation → Application → Domain ← Infrastructure</w:t>
      </w:r>
    </w:p>
    <w:p>
      <w:pPr>
        <w:pStyle w:val="ListBullet"/>
      </w:pPr>
      <w:r>
        <w:t>Use cases depend on domain interfaces; NestJS DI injects infrastructure implementations via tokens</w:t>
      </w:r>
    </w:p>
    <w:p>
      <w:pPr>
        <w:pStyle w:val="Heading2"/>
      </w:pPr>
      <w:r>
        <w:t>4. Microservices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user-service</w:t>
            </w:r>
          </w:p>
        </w:tc>
        <w:tc>
          <w:tcPr>
            <w:tcW w:type="dxa" w:w="2160"/>
          </w:tcPr>
          <w:p>
            <w:r>
              <w:t>3001</w:t>
            </w:r>
          </w:p>
        </w:tc>
        <w:tc>
          <w:tcPr>
            <w:tcW w:type="dxa" w:w="2160"/>
          </w:tcPr>
          <w:p>
            <w:r>
              <w:t>user_service_db</w:t>
            </w:r>
          </w:p>
        </w:tc>
        <w:tc>
          <w:tcPr>
            <w:tcW w:type="dxa" w:w="2160"/>
          </w:tcPr>
          <w:p>
            <w:r>
              <w:t>User CRUD + /users/me</w:t>
            </w:r>
          </w:p>
        </w:tc>
      </w:tr>
      <w:tr>
        <w:tc>
          <w:tcPr>
            <w:tcW w:type="dxa" w:w="2160"/>
          </w:tcPr>
          <w:p>
            <w:r>
              <w:t>shared-db-example</w:t>
            </w:r>
          </w:p>
        </w:tc>
        <w:tc>
          <w:tcPr>
            <w:tcW w:type="dxa" w:w="2160"/>
          </w:tcPr>
          <w:p>
            <w:r>
              <w:t>3005</w:t>
            </w:r>
          </w:p>
        </w:tc>
        <w:tc>
          <w:tcPr>
            <w:tcW w:type="dxa" w:w="2160"/>
          </w:tcPr>
          <w:p>
            <w:r>
              <w:t>master_db</w:t>
            </w:r>
          </w:p>
        </w:tc>
        <w:tc>
          <w:tcPr>
            <w:tcW w:type="dxa" w:w="2160"/>
          </w:tcPr>
          <w:p>
            <w:r>
              <w:t>Country CRUD (reference data)</w:t>
            </w:r>
          </w:p>
        </w:tc>
      </w:tr>
      <w:tr>
        <w:tc>
          <w:tcPr>
            <w:tcW w:type="dxa" w:w="2160"/>
          </w:tcPr>
          <w:p>
            <w:r>
              <w:t>api-portal</w:t>
            </w:r>
          </w:p>
        </w:tc>
        <w:tc>
          <w:tcPr>
            <w:tcW w:type="dxa" w:w="2160"/>
          </w:tcPr>
          <w:p>
            <w:r>
              <w:t>4000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Swagger UI aggregator + reverse proxy</w:t>
            </w:r>
          </w:p>
        </w:tc>
      </w:tr>
    </w:tbl>
    <w:p/>
    <w:p>
      <w:pPr>
        <w:pStyle w:val="Heading2"/>
      </w:pPr>
      <w:r>
        <w:t>5. API Portal (Gateway)</w:t>
      </w:r>
    </w:p>
    <w:p>
      <w:pPr>
        <w:pStyle w:val="ListBullet"/>
      </w:pPr>
      <w:r>
        <w:t>Express.js app serving as reverse proxy using http-proxy-middleware</w:t>
      </w:r>
    </w:p>
    <w:p>
      <w:pPr>
        <w:pStyle w:val="ListBullet"/>
      </w:pPr>
      <w:r>
        <w:t>Swagger UI with service selector dropdown — each service's OpenAPI spec fetched at runtime</w:t>
      </w:r>
    </w:p>
    <w:p>
      <w:pPr>
        <w:pStyle w:val="ListBullet"/>
      </w:pPr>
      <w:r>
        <w:t>All "Try it out" calls proxied transparently to the correct microservice</w:t>
      </w:r>
    </w:p>
    <w:p>
      <w:pPr>
        <w:pStyle w:val="Heading2"/>
      </w:pPr>
      <w:r>
        <w:t>6. Shared Libraries (@cargoez/*)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@cargoez/domain</w:t>
            </w:r>
          </w:p>
        </w:tc>
        <w:tc>
          <w:tcPr>
            <w:tcW w:type="dxa" w:w="4320"/>
          </w:tcPr>
          <w:p>
            <w:r>
              <w:t>BaseEntity, IBaseRepository, pagination types</w:t>
            </w:r>
          </w:p>
        </w:tc>
      </w:tr>
      <w:tr>
        <w:tc>
          <w:tcPr>
            <w:tcW w:type="dxa" w:w="4320"/>
          </w:tcPr>
          <w:p>
            <w:r>
              <w:t>@cargoez/api</w:t>
            </w:r>
          </w:p>
        </w:tc>
        <w:tc>
          <w:tcPr>
            <w:tcW w:type="dxa" w:w="4320"/>
          </w:tcPr>
          <w:p>
            <w:r>
              <w:t>ApiResponse envelope, MessageCode/MessageCatalog, typed exceptions</w:t>
            </w:r>
          </w:p>
        </w:tc>
      </w:tr>
      <w:tr>
        <w:tc>
          <w:tcPr>
            <w:tcW w:type="dxa" w:w="4320"/>
          </w:tcPr>
          <w:p>
            <w:r>
              <w:t>@cargoez/shared</w:t>
            </w:r>
          </w:p>
        </w:tc>
        <w:tc>
          <w:tcPr>
            <w:tcW w:type="dxa" w:w="4320"/>
          </w:tcPr>
          <w:p>
            <w:r>
              <w:t>DatabaseModule with per-service connection support via connectionPrefix</w:t>
            </w:r>
          </w:p>
        </w:tc>
      </w:tr>
      <w:tr>
        <w:tc>
          <w:tcPr>
            <w:tcW w:type="dxa" w:w="4320"/>
          </w:tcPr>
          <w:p>
            <w:r>
              <w:t>@cargoez/infrastructure</w:t>
            </w:r>
          </w:p>
        </w:tc>
        <w:tc>
          <w:tcPr>
            <w:tcW w:type="dxa" w:w="4320"/>
          </w:tcPr>
          <w:p>
            <w:r>
              <w:t>Auth guards, request context, BaseRepository, real-time gateway, logger, exception filter</w:t>
            </w:r>
          </w:p>
        </w:tc>
      </w:tr>
    </w:tbl>
    <w:p/>
    <w:p>
      <w:pPr>
        <w:pStyle w:val="Heading2"/>
      </w:pPr>
      <w:r>
        <w:t>7. Database</w:t>
      </w:r>
    </w:p>
    <w:p>
      <w:pPr>
        <w:pStyle w:val="ListBullet"/>
      </w:pPr>
      <w:r>
        <w:t>PostgreSQL 16+ with Knex.js (query builder + migrations)</w:t>
      </w:r>
    </w:p>
    <w:p>
      <w:pPr>
        <w:pStyle w:val="ListBullet"/>
      </w:pPr>
      <w:r>
        <w:t>Per-service database isolation — each service has its own database</w:t>
      </w:r>
    </w:p>
    <w:p>
      <w:pPr>
        <w:pStyle w:val="ListBullet"/>
      </w:pPr>
      <w:r>
        <w:t>Per-service connection strings — each service can connect to a completely different DB server via {PREFIX}_DB_HOST/PORT/USER/PASSWORD/NAME env vars, with fallback to shared defaults</w:t>
      </w:r>
    </w:p>
    <w:p>
      <w:pPr>
        <w:pStyle w:val="Heading2"/>
      </w:pPr>
      <w:r>
        <w:t>8. Authentication &amp; Authorization</w:t>
      </w:r>
    </w:p>
    <w:p>
      <w:pPr>
        <w:pStyle w:val="ListBullet"/>
      </w:pPr>
      <w:r>
        <w:t>Keycloak 26.x (OAuth 2.0 / OIDC)</w:t>
      </w:r>
    </w:p>
    <w:p>
      <w:pPr>
        <w:pStyle w:val="ListBullet"/>
      </w:pPr>
      <w:r>
        <w:t>JWKS-based JWT verification — each service independently verifies tokens using Keycloak's public keys (cached, no shared secrets)</w:t>
      </w:r>
    </w:p>
    <w:p>
      <w:pPr>
        <w:pStyle w:val="ListBullet"/>
      </w:pPr>
      <w:r>
        <w:t>4 Keycloak clients configured:</w:t>
      </w:r>
    </w:p>
    <w:p>
      <w:pPr>
        <w:pStyle w:val="ListBullet2"/>
        <w:ind w:left="1080"/>
      </w:pPr>
      <w:r>
        <w:t>cargoez-api — ROPC grant for Postman/API testing</w:t>
      </w:r>
    </w:p>
    <w:p>
      <w:pPr>
        <w:pStyle w:val="ListBullet2"/>
        <w:ind w:left="1080"/>
      </w:pPr>
      <w:r>
        <w:t>cargoez-web — Authorization Code + PKCE for frontend web apps</w:t>
      </w:r>
    </w:p>
    <w:p>
      <w:pPr>
        <w:pStyle w:val="ListBullet2"/>
        <w:ind w:left="1080"/>
      </w:pPr>
      <w:r>
        <w:t>cargoez-mobile — Authorization Code + PKCE for mobile apps</w:t>
      </w:r>
    </w:p>
    <w:p>
      <w:pPr>
        <w:pStyle w:val="ListBullet2"/>
        <w:ind w:left="1080"/>
      </w:pPr>
      <w:r>
        <w:t>cargoez-service — Client Credentials for service-to-service</w:t>
      </w:r>
    </w:p>
    <w:p>
      <w:pPr>
        <w:pStyle w:val="ListBullet"/>
      </w:pPr>
      <w:r>
        <w:t>Role-based access control — @Roles('admin') decorator + global RolesGuard</w:t>
      </w:r>
    </w:p>
    <w:p>
      <w:pPr>
        <w:pStyle w:val="ListBullet"/>
      </w:pPr>
      <w:r>
        <w:t>3 realm roles: admin, manager, user</w:t>
      </w:r>
    </w:p>
    <w:p>
      <w:pPr>
        <w:pStyle w:val="Heading2"/>
      </w:pPr>
      <w:r>
        <w:t>9. Request Context (Server-Side Session)</w:t>
      </w:r>
    </w:p>
    <w:p>
      <w:pPr>
        <w:pStyle w:val="ListBullet"/>
      </w:pPr>
      <w:r>
        <w:t>AsyncLocalStorage-based per-request context propagation</w:t>
      </w:r>
    </w:p>
    <w:p>
      <w:pPr>
        <w:pStyle w:val="ListBullet"/>
      </w:pPr>
      <w:r>
        <w:t>ContextInterceptor extracts JWT claims → populates RequestContext (userId, email, roles, tenantId, requestId)</w:t>
      </w:r>
    </w:p>
    <w:p>
      <w:pPr>
        <w:pStyle w:val="ListBullet"/>
      </w:pPr>
      <w:r>
        <w:t>Available anywhere in the call chain via getContext() — no manual passing required</w:t>
      </w:r>
    </w:p>
    <w:p>
      <w:pPr>
        <w:pStyle w:val="ListBullet"/>
      </w:pPr>
      <w:r>
        <w:t>BaseRepository auto-populates audit fields (createdBy, modifiedBy, tenantId) from context</w:t>
      </w:r>
    </w:p>
    <w:p>
      <w:pPr>
        <w:pStyle w:val="Heading2"/>
      </w:pPr>
      <w:r>
        <w:t>10. Real-Time Data Sync</w:t>
      </w:r>
    </w:p>
    <w:p>
      <w:pPr>
        <w:pStyle w:val="ListBullet"/>
      </w:pPr>
      <w:r>
        <w:t>Socket.IO WebSocket gateway with JWT-authenticated connections</w:t>
      </w:r>
    </w:p>
    <w:p>
      <w:pPr>
        <w:pStyle w:val="ListBullet"/>
      </w:pPr>
      <w:r>
        <w:t>BaseRepository auto-emits DomainEvent on every create/update/delete</w:t>
      </w:r>
    </w:p>
    <w:p>
      <w:pPr>
        <w:pStyle w:val="ListBullet"/>
      </w:pPr>
      <w:r>
        <w:t>RealtimeGateway broadcasts events to room-based subscriptions (entity:users, entity:users:&lt;id&gt;, tenant:&lt;id&gt;)</w:t>
      </w:r>
    </w:p>
    <w:p>
      <w:pPr>
        <w:pStyle w:val="ListBullet"/>
      </w:pPr>
      <w:r>
        <w:t>Frontend clients receive live data-changed events without polling</w:t>
      </w:r>
    </w:p>
    <w:p>
      <w:pPr>
        <w:pStyle w:val="Heading2"/>
      </w:pPr>
      <w:r>
        <w:t>11. CORS &amp; Frontend Micro-Frontend Support</w:t>
      </w:r>
    </w:p>
    <w:p>
      <w:pPr>
        <w:pStyle w:val="ListBullet"/>
      </w:pPr>
      <w:r>
        <w:t>Explicit CORS origin whitelist on all services, API Portal, and WebSocket gateway (no wildcard *)</w:t>
      </w:r>
    </w:p>
    <w:p>
      <w:pPr>
        <w:pStyle w:val="ListBullet"/>
      </w:pPr>
      <w:r>
        <w:t>Supports Vite Module Federation micro-frontend architecture:</w:t>
      </w:r>
    </w:p>
    <w:p>
      <w:pPr>
        <w:pStyle w:val="ListBullet2"/>
        <w:ind w:left="1080"/>
      </w:pPr>
      <w:r>
        <w:t>Shell (:5173), Contacts (:5174), Freight (:5175), Books (:5176), Admin (:5177)</w:t>
      </w:r>
    </w:p>
    <w:p>
      <w:pPr>
        <w:pStyle w:val="ListBullet"/>
      </w:pPr>
      <w:r>
        <w:t>Keycloak cargoez-web client configured with redirect URIs and web origins for all ports</w:t>
      </w:r>
    </w:p>
    <w:p>
      <w:pPr>
        <w:pStyle w:val="Heading2"/>
      </w:pPr>
      <w:r>
        <w:t>12. Unified API Response Envelope</w:t>
      </w:r>
    </w:p>
    <w:p>
      <w:pPr>
        <w:pStyle w:val="ListBullet"/>
      </w:pPr>
      <w:r>
        <w:t>Every response (success/error) uses a consistent ApiResponse&lt;T&gt; format: { success, messageCode, message, data?, errors? }</w:t>
      </w:r>
    </w:p>
    <w:p>
      <w:pPr>
        <w:pStyle w:val="ListBullet"/>
      </w:pPr>
      <w:r>
        <w:t>Centralized MessageCatalog maps codes to HTTP statuses and messages</w:t>
      </w:r>
    </w:p>
    <w:p>
      <w:pPr>
        <w:pStyle w:val="ListBullet"/>
      </w:pPr>
      <w:r>
        <w:t>422 Unprocessable Entity for validation errors (not 400)</w:t>
      </w:r>
    </w:p>
    <w:p>
      <w:pPr>
        <w:pStyle w:val="ListBullet"/>
      </w:pPr>
      <w:r>
        <w:t>GlobalExceptionFilter catches all unhandled exceptions</w:t>
      </w:r>
    </w:p>
    <w:p>
      <w:pPr>
        <w:pStyle w:val="Heading2"/>
      </w:pPr>
      <w:r>
        <w:t>13. Standardized Patterns Across Services</w:t>
      </w:r>
    </w:p>
    <w:p>
      <w:pPr>
        <w:pStyle w:val="ListBullet"/>
      </w:pPr>
      <w:r>
        <w:t>Consistent bootstrap: ValidationPipe → GlobalExceptionFilter → ContextInterceptor → Swagger setup</w:t>
      </w:r>
    </w:p>
    <w:p>
      <w:pPr>
        <w:pStyle w:val="ListBullet"/>
      </w:pPr>
      <w:r>
        <w:t>Consistent pagination: page, limit, sortBy, sortOrder, search query params</w:t>
      </w:r>
    </w:p>
    <w:p>
      <w:pPr>
        <w:pStyle w:val="ListBullet"/>
      </w:pPr>
      <w:r>
        <w:t>Default sort: createdAt DESC (recently updated first)</w:t>
      </w:r>
    </w:p>
    <w:p>
      <w:pPr>
        <w:pStyle w:val="ListBullet"/>
      </w:pPr>
      <w:r>
        <w:t>Consistent file naming conventions across all layers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