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aptionedFigure"/>
      </w:pPr>
      <w:r>
        <w:drawing>
          <wp:inline>
            <wp:extent cx="3094892" cy="869639"/>
            <wp:effectExtent b="0" l="0" r="0" t="0"/>
            <wp:docPr descr="ASU Logo" title="" id="21" name="Picture"/>
            <a:graphic>
              <a:graphicData uri="http://schemas.openxmlformats.org/drawingml/2006/picture">
                <pic:pic>
                  <pic:nvPicPr>
                    <pic:cNvPr descr="./asu_log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4892" cy="8696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ASU Logo</w:t>
      </w:r>
    </w:p>
    <w:bookmarkStart w:id="37" w:name="Xd62ebc930dcf3a98105ea946c2ae81016af3bd2"/>
    <w:p>
      <w:pPr>
        <w:pStyle w:val="Heading1"/>
      </w:pPr>
      <w:r>
        <w:t xml:space="preserve">Autonomous OSINT Investigation Swarm: A Multi-Agent AI System for Financial Risk Assessment</w:t>
      </w:r>
    </w:p>
    <w:p>
      <w:pPr>
        <w:pStyle w:val="FirstParagraph"/>
      </w:pPr>
      <w:r>
        <w:rPr>
          <w:bCs/>
          <w:b/>
        </w:rPr>
        <w:t xml:space="preserve">FSE 570 Data Science Capstone Project</w:t>
      </w:r>
      <w:r>
        <w:br/>
      </w:r>
      <w:r>
        <w:rPr>
          <w:bCs/>
          <w:b/>
        </w:rPr>
        <w:t xml:space="preserve">Team Members:</w:t>
      </w:r>
      <w:r>
        <w:t xml:space="preserve"> </w:t>
      </w:r>
      <w:r>
        <w:t xml:space="preserve">Taljinder Singh, Aditya Pokharna, Raj Kumar Mahto, Arnab Mitra, Jacob Kuriakose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April 23, 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Start w:id="23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This paper presents the Autonomous Open-Source Intelligence (OSINT) Investigation Swarm, a multi-agent AI framework designed to accelerate corporate Anti-Money Laundering (AML) and financial risk assessment workflows. Leveraging a Model Context Protocol (MCP) cache-first architecture, the system queries four diverse, large-scale public data sources—SEC EDGAR, OFAC SDN, CourtListener, and GDELT—to synthesize actionable risk reports. The integration of advanced Machine Learning methodologies, specifically a Large Language Model (Llama 3.1) for strict policy orchestration and a Reflexion layer for gap detection and cross-validation, allows the system to achieve a ~3,100x speedup in investigation time compared to manual analyst workflows. NetworkX-driven graph analytics provide deep relational insights, achieving a 98% citation integrity rate. The developed application drastically reduces the burden of compliance, proving highly applicable to modern banking and financial security operations.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23"/>
    <w:bookmarkStart w:id="24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Financial institutions face increasing regulatory scrutiny, demanding exhaustive Anti-Money Laundering (AML) and Know Your Customer (KYC) investigations. Traditionally, a compliance analyst spends approximately 2.5 hours aggregating evidence across disparate governmental and news databases. This manual workflow is highly susceptible to human error, coverage gaps, and slow turnaround times.</w:t>
      </w:r>
    </w:p>
    <w:p>
      <w:pPr>
        <w:pStyle w:val="BodyText"/>
      </w:pPr>
      <w:r>
        <w:t xml:space="preserve">This project introduces the</w:t>
      </w:r>
      <w:r>
        <w:t xml:space="preserve"> </w:t>
      </w:r>
      <w:r>
        <w:rPr>
          <w:bCs/>
          <w:b/>
        </w:rPr>
        <w:t xml:space="preserve">Autonomous OSINT Investigation Swarm</w:t>
      </w:r>
      <w:r>
        <w:t xml:space="preserve">, a modular, multi-agent AI application designed to automate this exact workflow. By receiving a plain-English query, the system dynamically orchestrates data retrieval, executes cross-source validation, constructs a knowledge graph of relational risks, and generates an audit-ready narrative report—all in under four seconds. The solution emphasizes source-grounded determinism alongside advanced Large Language Model (LLM) orchestration, ensuring that all findings are fully auditable and legally defensible.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24"/>
    <w:bookmarkStart w:id="27" w:name="data-sources-and-data-analysis"/>
    <w:p>
      <w:pPr>
        <w:pStyle w:val="Heading2"/>
      </w:pPr>
      <w:r>
        <w:t xml:space="preserve">2. Data Sources and Data Analysis</w:t>
      </w:r>
    </w:p>
    <w:p>
      <w:pPr>
        <w:pStyle w:val="FirstParagraph"/>
      </w:pPr>
      <w:r>
        <w:t xml:space="preserve">The system integrates four highly heterogeneous data sources to generate a comprehensive risk profile. These sources span structured government filings, semi-structured court dockets, raw XML sanctions lists, and unstructured global media.</w:t>
      </w:r>
    </w:p>
    <w:bookmarkStart w:id="25" w:name="heterogeneous-data-integration"/>
    <w:p>
      <w:pPr>
        <w:pStyle w:val="Heading3"/>
      </w:pPr>
      <w:r>
        <w:t xml:space="preserve">2.1 Heterogeneous Data Integration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SEC EDGAR (US Public Company Filings):</w:t>
      </w:r>
      <w:r>
        <w:t xml:space="preserve"> </w:t>
      </w:r>
      <w:r>
        <w:t xml:space="preserve">Provides corporate governance data via JSON API. It acts as the anchor for corporate risk assessment, supplying 10-K, 8-K, Form 4, and DEF 14A disclosures.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OFAC SDN (US Treasury Sanctions List):</w:t>
      </w:r>
      <w:r>
        <w:t xml:space="preserve"> </w:t>
      </w:r>
      <w:r>
        <w:t xml:space="preserve">A 27 MB structured XML dataset containing 18,712 sanctioned entities globally.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CourtListener (RECAP):</w:t>
      </w:r>
      <w:r>
        <w:t xml:space="preserve"> </w:t>
      </w:r>
      <w:r>
        <w:t xml:space="preserve">Provides access to US federal court dockets via REST API, critical for identifying active or past corporate litigation.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GDELT DOC 2.0:</w:t>
      </w:r>
      <w:r>
        <w:t xml:space="preserve"> </w:t>
      </w:r>
      <w:r>
        <w:t xml:space="preserve">A global database of adverse media and news events.</w:t>
      </w:r>
    </w:p>
    <w:bookmarkEnd w:id="25"/>
    <w:bookmarkStart w:id="26" w:name="data-cleaning-preprocessing-and-handling"/>
    <w:p>
      <w:pPr>
        <w:pStyle w:val="Heading3"/>
      </w:pPr>
      <w:r>
        <w:t xml:space="preserve">2.2 Data Cleaning, Preprocessing, and Handling</w:t>
      </w:r>
    </w:p>
    <w:p>
      <w:pPr>
        <w:pStyle w:val="FirstParagraph"/>
      </w:pPr>
      <w:r>
        <w:t xml:space="preserve">To ensure high-performance execution without API rate-limit bottlenecks, the system employs a</w:t>
      </w:r>
      <w:r>
        <w:t xml:space="preserve"> </w:t>
      </w:r>
      <w:r>
        <w:rPr>
          <w:bCs/>
          <w:b/>
        </w:rPr>
        <w:t xml:space="preserve">Model Context Protocol (MCP) cache-first layer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Caching Mechanism:</w:t>
      </w:r>
      <w:r>
        <w:t xml:space="preserve"> </w:t>
      </w:r>
      <w:r>
        <w:t xml:space="preserve">All retrieved data is stored locally in</w:t>
      </w:r>
      <w:r>
        <w:t xml:space="preserve"> </w:t>
      </w:r>
      <w:r>
        <w:rPr>
          <w:rStyle w:val="VerbatimChar"/>
        </w:rPr>
        <w:t xml:space="preserve">.json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.xml</w:t>
      </w:r>
      <w:r>
        <w:t xml:space="preserve"> </w:t>
      </w:r>
      <w:r>
        <w:t xml:space="preserve">formats. If a query matches an existing entity, data is instantly loaded from the cache.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Preprocessing: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GdeltProcessor</w:t>
      </w:r>
      <w:r>
        <w:t xml:space="preserve"> </w:t>
      </w:r>
      <w:r>
        <w:t xml:space="preserve">rigorously filters news items, discarding non-English articles to reduce noise. It also applies a relevance threshold based on the co-occurrence of the entity name and risk keywords (e.g.,</w:t>
      </w:r>
      <w:r>
        <w:t xml:space="preserve"> </w:t>
      </w:r>
      <w:r>
        <w:t xml:space="preserve">“</w:t>
      </w:r>
      <w:r>
        <w:t xml:space="preserve">fraud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penalty</w:t>
      </w:r>
      <w:r>
        <w:t xml:space="preserve">”</w:t>
      </w:r>
      <w:r>
        <w:t xml:space="preserve">) within the headline.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Entity Resolution:</w:t>
      </w:r>
      <w:r>
        <w:t xml:space="preserve"> </w:t>
      </w:r>
      <w:r>
        <w:t xml:space="preserve">To normalize data across sources, the system resolves any plain-English company name (e.g.,</w:t>
      </w:r>
      <w:r>
        <w:t xml:space="preserve"> </w:t>
      </w:r>
      <w:r>
        <w:t xml:space="preserve">“</w:t>
      </w:r>
      <w:r>
        <w:t xml:space="preserve">Microsoft</w:t>
      </w:r>
      <w:r>
        <w:t xml:space="preserve">”</w:t>
      </w:r>
      <w:r>
        <w:t xml:space="preserve">) to its official SEC Central Index Key (CIK) using EDGAR’s full-text search index, enabling automated normalization across all retrieved records.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26"/>
    <w:bookmarkEnd w:id="27"/>
    <w:bookmarkStart w:id="30" w:name="methodology-and-application"/>
    <w:p>
      <w:pPr>
        <w:pStyle w:val="Heading2"/>
      </w:pPr>
      <w:r>
        <w:t xml:space="preserve">3. Methodology and Application</w:t>
      </w:r>
    </w:p>
    <w:p>
      <w:pPr>
        <w:pStyle w:val="FirstParagraph"/>
      </w:pPr>
      <w:r>
        <w:t xml:space="preserve">The architecture is divided into a deterministic evidence retrieval pipeline and a probabilistic LLM-orchestrated synthesis layer. This dual-layered approach maximizes accuracy and minimizes hallucinations.</w:t>
      </w:r>
    </w:p>
    <w:bookmarkStart w:id="28" w:name="multi-agent-architecture"/>
    <w:p>
      <w:pPr>
        <w:pStyle w:val="Heading3"/>
      </w:pPr>
      <w:r>
        <w:t xml:space="preserve">3.1 Multi-Agent Architecture</w:t>
      </w:r>
    </w:p>
    <w:p>
      <w:pPr>
        <w:pStyle w:val="FirstParagraph"/>
      </w:pPr>
      <w:r>
        <w:t xml:space="preserve">The system employs three specialized AI agents managed by a central</w:t>
      </w:r>
      <w:r>
        <w:t xml:space="preserve"> </w:t>
      </w:r>
      <w:r>
        <w:rPr>
          <w:bCs/>
          <w:b/>
        </w:rPr>
        <w:t xml:space="preserve">Lead Agent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Corporate Agent:</w:t>
      </w:r>
      <w:r>
        <w:t xml:space="preserve"> </w:t>
      </w:r>
      <w:r>
        <w:t xml:space="preserve">Ingests SEC EDGAR data, calculating tiered confidence scores based on filing materiality (e.g., 8-K scores 0.95; Form 4 scores 0.75).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Legal Agent:</w:t>
      </w:r>
      <w:r>
        <w:t xml:space="preserve"> </w:t>
      </w:r>
      <w:r>
        <w:t xml:space="preserve">Executes exact and fuzzy matching algorithms against the OFAC sanctions XML and CourtListener APIs. Suffixes like</w:t>
      </w:r>
      <w:r>
        <w:t xml:space="preserve"> </w:t>
      </w:r>
      <w:r>
        <w:t xml:space="preserve">“</w:t>
      </w:r>
      <w:r>
        <w:t xml:space="preserve">Inc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LLC</w:t>
      </w:r>
      <w:r>
        <w:t xml:space="preserve">”</w:t>
      </w:r>
      <w:r>
        <w:t xml:space="preserve"> </w:t>
      </w:r>
      <w:r>
        <w:t xml:space="preserve">are stripped prior to comparison to minimize false negatives, while rigid false-positive guards prevent generic matches.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Social Graph Agent:</w:t>
      </w:r>
      <w:r>
        <w:t xml:space="preserve"> </w:t>
      </w:r>
      <w:r>
        <w:t xml:space="preserve">Retrieves and scores adverse media from GDELT, prioritizing high-signal alerts.</w:t>
      </w:r>
    </w:p>
    <w:bookmarkEnd w:id="28"/>
    <w:bookmarkStart w:id="29" w:name="Xdbd1f04483ac339fd35bcff48352cb4c1c2315f"/>
    <w:p>
      <w:pPr>
        <w:pStyle w:val="Heading3"/>
      </w:pPr>
      <w:r>
        <w:t xml:space="preserve">3.2 Advanced Machine Learning and Validation Techniques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LLM Orchestration (Llama 3.1):</w:t>
      </w:r>
      <w:r>
        <w:t xml:space="preserve"> </w:t>
      </w:r>
      <w:r>
        <w:t xml:space="preserve">Llama 3.1-8b-instant provides strict, bounded planning. The LLM dictates tool selection (</w:t>
      </w:r>
      <w:r>
        <w:rPr>
          <w:rStyle w:val="VerbatimChar"/>
        </w:rPr>
        <w:t xml:space="preserve">action_policy</w:t>
      </w:r>
      <w:r>
        <w:t xml:space="preserve">), follows stopping criteria (</w:t>
      </w:r>
      <w:r>
        <w:rPr>
          <w:rStyle w:val="VerbatimChar"/>
        </w:rPr>
        <w:t xml:space="preserve">orchestrator</w:t>
      </w:r>
      <w:r>
        <w:t xml:space="preserve">), and generates the final narrative. To prevent hallucinations, the LLM is restricted to observing aggregated metrics, strictly isolated from raw evidence generation.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Reflexion Layer:</w:t>
      </w:r>
      <w:r>
        <w:t xml:space="preserve"> </w:t>
      </w:r>
      <w:r>
        <w:t xml:space="preserve">An automated self-correction and validation module. It executes cross-checks (flagging conflicting evidence summaries on the same date) and gap detection (identifying missing data lanes).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Knowledge Graph Analytics:</w:t>
      </w:r>
      <w:r>
        <w:t xml:space="preserve"> </w:t>
      </w:r>
      <w:r>
        <w:t xml:space="preserve">The pipeline constructs a deterministic graph of the entity and its evidence using</w:t>
      </w:r>
      <w:r>
        <w:t xml:space="preserve"> </w:t>
      </w:r>
      <w:r>
        <w:rPr>
          <w:bCs/>
          <w:b/>
        </w:rPr>
        <w:t xml:space="preserve">NetworkX</w:t>
      </w:r>
      <w:r>
        <w:t xml:space="preserve">. It calculates</w:t>
      </w:r>
      <w:r>
        <w:t xml:space="preserve"> </w:t>
      </w:r>
      <w:r>
        <w:rPr>
          <w:bCs/>
          <w:b/>
        </w:rPr>
        <w:t xml:space="preserve">degree centrality</w:t>
      </w:r>
      <w:r>
        <w:t xml:space="preserve"> </w:t>
      </w:r>
      <w:r>
        <w:t xml:space="preserve">and connected components, effectively mapping out tightly-linked risk clusters and identifying the hub nodes of systemic issues.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29"/>
    <w:bookmarkEnd w:id="30"/>
    <w:bookmarkStart w:id="34" w:name="Xc56d250fe796590c994403189b296b0edbcc84a"/>
    <w:p>
      <w:pPr>
        <w:pStyle w:val="Heading2"/>
      </w:pPr>
      <w:r>
        <w:t xml:space="preserve">4. Results, Visualizations, and Recommendations</w:t>
      </w:r>
    </w:p>
    <w:bookmarkStart w:id="31" w:name="X93f1aaab103e28e793a74a46c57b20a862e9864"/>
    <w:p>
      <w:pPr>
        <w:pStyle w:val="Heading3"/>
      </w:pPr>
      <w:r>
        <w:t xml:space="preserve">4.1 System Performance and Evaluation Metrics</w:t>
      </w:r>
    </w:p>
    <w:p>
      <w:pPr>
        <w:pStyle w:val="FirstParagraph"/>
      </w:pPr>
      <w:r>
        <w:t xml:space="preserve">Extensive evaluation across five diverse public companies (Tesla, Ford, Boeing, Alphabet, JPMorgan) yielded the following results: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Investigation Speedup:</w:t>
      </w:r>
      <w:r>
        <w:t xml:space="preserve"> </w:t>
      </w:r>
      <w:r>
        <w:t xml:space="preserve">Average runtime is 2.67 seconds per entity, producing ~1,010 evidence rows. This represents a</w:t>
      </w:r>
      <w:r>
        <w:t xml:space="preserve"> </w:t>
      </w:r>
      <w:r>
        <w:rPr>
          <w:bCs/>
          <w:b/>
        </w:rPr>
        <w:t xml:space="preserve">3,100x speedup</w:t>
      </w:r>
      <w:r>
        <w:t xml:space="preserve"> </w:t>
      </w:r>
      <w:r>
        <w:t xml:space="preserve">over the manual benchmark of ~2.5 hours.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Citation Integrity:</w:t>
      </w:r>
      <w:r>
        <w:t xml:space="preserve"> </w:t>
      </w:r>
      <w:r>
        <w:t xml:space="preserve">The system achieves a</w:t>
      </w:r>
      <w:r>
        <w:t xml:space="preserve"> </w:t>
      </w:r>
      <w:r>
        <w:rPr>
          <w:bCs/>
          <w:b/>
        </w:rPr>
        <w:t xml:space="preserve">97.7% average citation rate</w:t>
      </w:r>
      <w:r>
        <w:t xml:space="preserve">, maintaining strict auditability.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Adverse Media Signal Rate:</w:t>
      </w:r>
      <w:r>
        <w:t xml:space="preserve"> </w:t>
      </w:r>
      <w:r>
        <w:t xml:space="preserve">The targeted GDELT processing achieved a 74% average signal rate, peaking at 100% relevance for JPMorgan.</w:t>
      </w:r>
    </w:p>
    <w:bookmarkEnd w:id="31"/>
    <w:bookmarkStart w:id="32" w:name="visual-outputs-and-dashboarding"/>
    <w:p>
      <w:pPr>
        <w:pStyle w:val="Heading3"/>
      </w:pPr>
      <w:r>
        <w:t xml:space="preserve">4.2 Visual Outputs and Dashboarding</w:t>
      </w:r>
    </w:p>
    <w:p>
      <w:pPr>
        <w:pStyle w:val="FirstParagraph"/>
      </w:pPr>
      <w:r>
        <w:t xml:space="preserve">The results are presented via a Flask web application, featuring: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Risk Dashboards:</w:t>
      </w:r>
      <w:r>
        <w:t xml:space="preserve"> </w:t>
      </w:r>
      <w:r>
        <w:t xml:space="preserve">Presenting unified confidence scores across Governance, Regulatory, Legal, and Network categories.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Interactive Knowledge Graphs:</w:t>
      </w:r>
      <w:r>
        <w:t xml:space="preserve"> </w:t>
      </w:r>
      <w:r>
        <w:t xml:space="preserve">A dynamic</w:t>
      </w:r>
      <w:r>
        <w:t xml:space="preserve"> </w:t>
      </w:r>
      <w:r>
        <w:rPr>
          <w:rStyle w:val="VerbatimChar"/>
        </w:rPr>
        <w:t xml:space="preserve">vis-network</w:t>
      </w:r>
      <w:r>
        <w:t xml:space="preserve"> </w:t>
      </w:r>
      <w:r>
        <w:t xml:space="preserve">canvas visualizes the NetworkX graph. Nodes are color-coded by source (Blue for SEC, Red for Sanctions, etc.), allowing analysts to visually isolate dense risk clusters.</w:t>
      </w:r>
    </w:p>
    <w:bookmarkEnd w:id="32"/>
    <w:bookmarkStart w:id="33" w:name="X7df1446863d4730e14a2fa0432695dbe1ebb7a1"/>
    <w:p>
      <w:pPr>
        <w:pStyle w:val="Heading3"/>
      </w:pPr>
      <w:r>
        <w:t xml:space="preserve">4.3 Actionable Recommendations for Compliance Teams</w:t>
      </w:r>
    </w:p>
    <w:p>
      <w:pPr>
        <w:pStyle w:val="FirstParagraph"/>
      </w:pPr>
      <w:r>
        <w:t xml:space="preserve">Based on the data output, we recommend that financial institutions adopting this architecture: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Implement Automated Pre-Screening:</w:t>
      </w:r>
      <w:r>
        <w:t xml:space="preserve"> </w:t>
      </w:r>
      <w:r>
        <w:t xml:space="preserve">Route all Level 1 KYC/AML checks through the OSINT Swarm. Analysts should only intervene when the Risk Category confidence scores exceed 0.80 or when specific Reflexion gaps are triggered.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Utilize Graph Centrality for Deep Investigations:</w:t>
      </w:r>
      <w:r>
        <w:t xml:space="preserve"> </w:t>
      </w:r>
      <w:r>
        <w:t xml:space="preserve">Instead of reading linear evidence, compliance teams should prioritize review of the</w:t>
      </w:r>
      <w:r>
        <w:t xml:space="preserve"> </w:t>
      </w:r>
      <w:r>
        <w:t xml:space="preserve">“</w:t>
      </w:r>
      <w:r>
        <w:t xml:space="preserve">Top 5 Most-Connected Nodes</w:t>
      </w:r>
      <w:r>
        <w:t xml:space="preserve">”</w:t>
      </w:r>
      <w:r>
        <w:t xml:space="preserve"> </w:t>
      </w:r>
      <w:r>
        <w:t xml:space="preserve">generated by the NetworkX analysis, as these represent recursive or compounding risk events.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Audit Trail Archiving:</w:t>
      </w:r>
      <w:r>
        <w:t xml:space="preserve"> </w:t>
      </w:r>
      <w:r>
        <w:t xml:space="preserve">Maintain the JSON-lines audit trail output for regulatory compliance reviews, ensuring full transparency of the AI’s decision-making process.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33"/>
    <w:bookmarkEnd w:id="34"/>
    <w:bookmarkStart w:id="35" w:name="conclusion"/>
    <w:p>
      <w:pPr>
        <w:pStyle w:val="Heading2"/>
      </w:pPr>
      <w:r>
        <w:t xml:space="preserve">5. Conclusion</w:t>
      </w:r>
    </w:p>
    <w:p>
      <w:pPr>
        <w:pStyle w:val="FirstParagraph"/>
      </w:pPr>
      <w:r>
        <w:t xml:space="preserve">The Autonomous OSINT Investigation Swarm successfully bridges the gap between deterministic legal auditing and probabilistic AI orchestration. By fusing highly reliable data retrieval pipelines with Llama 3.1-powered synthesis and NetworkX graph analysis, the system dramatically accelerates AML operations. The framework not only demonstrates a 3,100x reduction in task duration but also maintains the strict 98% evidentiary citation integrity required in real-world financial risk management environments.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35"/>
    <w:bookmarkStart w:id="36" w:name="references"/>
    <w:p>
      <w:pPr>
        <w:pStyle w:val="Heading2"/>
      </w:pPr>
      <w:r>
        <w:t xml:space="preserve">References</w:t>
      </w:r>
    </w:p>
    <w:p>
      <w:pPr>
        <w:numPr>
          <w:ilvl w:val="0"/>
          <w:numId w:val="1003"/>
        </w:numPr>
        <w:pStyle w:val="Compact"/>
      </w:pPr>
      <w:r>
        <w:t xml:space="preserve">Securities and Exchange Commission (SEC) EDGAR Database API.</w:t>
      </w:r>
      <w:r>
        <w:t xml:space="preserve"> </w:t>
      </w:r>
      <w:r>
        <w:rPr>
          <w:iCs/>
          <w:i/>
        </w:rPr>
        <w:t xml:space="preserve">https://data.sec.gov</w:t>
      </w:r>
    </w:p>
    <w:p>
      <w:pPr>
        <w:numPr>
          <w:ilvl w:val="0"/>
          <w:numId w:val="1003"/>
        </w:numPr>
        <w:pStyle w:val="Compact"/>
      </w:pPr>
      <w:r>
        <w:t xml:space="preserve">US Department of the Treasury. Office of Foreign Assets Control (OFAC) Specially Designated Nationals List.</w:t>
      </w:r>
      <w:r>
        <w:t xml:space="preserve"> </w:t>
      </w:r>
      <w:r>
        <w:rPr>
          <w:iCs/>
          <w:i/>
        </w:rPr>
        <w:t xml:space="preserve">https://www.treasury.gov/ofac</w:t>
      </w:r>
    </w:p>
    <w:p>
      <w:pPr>
        <w:numPr>
          <w:ilvl w:val="0"/>
          <w:numId w:val="1003"/>
        </w:numPr>
        <w:pStyle w:val="Compact"/>
      </w:pPr>
      <w:r>
        <w:t xml:space="preserve">Free Law Project. CourtListener RECAP API.</w:t>
      </w:r>
      <w:r>
        <w:t xml:space="preserve"> </w:t>
      </w:r>
      <w:r>
        <w:rPr>
          <w:iCs/>
          <w:i/>
        </w:rPr>
        <w:t xml:space="preserve">https://www.courtlistener.com</w:t>
      </w:r>
    </w:p>
    <w:p>
      <w:pPr>
        <w:numPr>
          <w:ilvl w:val="0"/>
          <w:numId w:val="1003"/>
        </w:numPr>
        <w:pStyle w:val="Compact"/>
      </w:pPr>
      <w:r>
        <w:t xml:space="preserve">The GDELT Project. Global Database of Events, Language, and Tone DOC 2.0 API.</w:t>
      </w:r>
      <w:r>
        <w:t xml:space="preserve"> </w:t>
      </w:r>
      <w:r>
        <w:rPr>
          <w:iCs/>
          <w:i/>
        </w:rPr>
        <w:t xml:space="preserve">https://api.gdeltproject.org</w:t>
      </w:r>
    </w:p>
    <w:p>
      <w:pPr>
        <w:numPr>
          <w:ilvl w:val="0"/>
          <w:numId w:val="1003"/>
        </w:numPr>
        <w:pStyle w:val="Compact"/>
      </w:pPr>
      <w:r>
        <w:t xml:space="preserve">NetworkX Graph Analytics Documentation.</w:t>
      </w:r>
      <w:r>
        <w:t xml:space="preserve"> </w:t>
      </w:r>
      <w:r>
        <w:rPr>
          <w:iCs/>
          <w:i/>
        </w:rPr>
        <w:t xml:space="preserve">https://networkx.org</w:t>
      </w:r>
    </w:p>
    <w:p>
      <w:pPr>
        <w:numPr>
          <w:ilvl w:val="0"/>
          <w:numId w:val="1003"/>
        </w:numPr>
        <w:pStyle w:val="Compact"/>
      </w:pPr>
      <w:r>
        <w:t xml:space="preserve">Groq Llama 3.1-8b API Integration.</w:t>
      </w:r>
      <w:r>
        <w:t xml:space="preserve"> </w:t>
      </w:r>
      <w:r>
        <w:rPr>
          <w:iCs/>
          <w:i/>
        </w:rPr>
        <w:t xml:space="preserve">https://console.groq.com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2026-04-22T21:56:46Z</dcterms:created>
  <dcterms:modified xsi:type="dcterms:W3CDTF">2026-04-22T21:56:46Z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