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6"/>
        </w:rPr>
        <w:t>BlotQuant: An Automated Western Blot</w:t>
        <w:br/>
        <w:t>Quantification and Authenticity Verification Platform</w:t>
      </w:r>
    </w:p>
    <w:p/>
    <w:p>
      <w:pPr>
        <w:jc w:val="center"/>
      </w:pPr>
      <w:r>
        <w:rPr>
          <w:rFonts w:ascii="Times New Roman" w:hAnsi="Times New Roman"/>
          <w:sz w:val="24"/>
        </w:rPr>
        <w:t>A Project Report</w:t>
      </w:r>
    </w:p>
    <w:p>
      <w:pPr>
        <w:jc w:val="center"/>
      </w:pPr>
      <w:r>
        <w:rPr>
          <w:rFonts w:ascii="Times New Roman" w:hAnsi="Times New Roman"/>
          <w:sz w:val="24"/>
        </w:rPr>
        <w:t>Submitted in Partial Fulfillment of the Requirements</w:t>
      </w:r>
    </w:p>
    <w:p>
      <w:pPr>
        <w:jc w:val="center"/>
      </w:pPr>
      <w:r>
        <w:rPr>
          <w:rFonts w:ascii="Times New Roman" w:hAnsi="Times New Roman"/>
          <w:sz w:val="24"/>
        </w:rPr>
        <w:t>for the Degree of Bachelor of Technology</w:t>
      </w:r>
    </w:p>
    <w:p/>
    <w:p>
      <w:pPr>
        <w:jc w:val="center"/>
      </w:pPr>
      <w:r>
        <w:rPr>
          <w:rFonts w:ascii="Times New Roman" w:hAnsi="Times New Roman"/>
          <w:sz w:val="24"/>
        </w:rPr>
        <w:t>Department of Computer Science and Engineering</w:t>
      </w:r>
    </w:p>
    <w:p>
      <w:pPr>
        <w:jc w:val="center"/>
      </w:pPr>
      <w:r>
        <w:rPr>
          <w:rFonts w:ascii="Times New Roman" w:hAnsi="Times New Roman"/>
          <w:sz w:val="24"/>
        </w:rPr>
        <w:t>2025-2026</w:t>
      </w:r>
    </w:p>
    <w:p/>
    <w:p>
      <w:r>
        <w:br w:type="page"/>
      </w:r>
    </w:p>
    <w:p>
      <w:pPr>
        <w:pStyle w:val="Heading1"/>
      </w:pPr>
      <w:r>
        <w:rPr>
          <w:rFonts w:ascii="Times New Roman" w:hAnsi="Times New Roman"/>
          <w:color w:val="000000"/>
        </w:rPr>
        <w:t>Certificate</w:t>
      </w:r>
    </w:p>
    <w:p>
      <w:pPr>
        <w:spacing w:after="120"/>
        <w:ind w:firstLine="720"/>
        <w:jc w:val="both"/>
      </w:pPr>
      <w:r>
        <w:rPr>
          <w:rFonts w:ascii="Times New Roman" w:hAnsi="Times New Roman"/>
          <w:sz w:val="24"/>
        </w:rPr>
        <w:t>This is to certify that the project report entitled "BlotQuant: An Automated Western Blot Quantification and Authenticity Verification Platform" is a bonafide record of work carried out during the academic year 2025-2026. The work presented in this report has been done independently under proper guidance and supervision.</w:t>
      </w:r>
    </w:p>
    <w:p/>
    <w:p>
      <w:pPr>
        <w:spacing w:after="120"/>
        <w:ind w:firstLine="720"/>
        <w:jc w:val="both"/>
      </w:pPr>
      <w:r>
        <w:rPr>
          <w:rFonts w:ascii="Times New Roman" w:hAnsi="Times New Roman"/>
          <w:sz w:val="24"/>
        </w:rPr>
        <w:t>Date: April 2026</w:t>
      </w:r>
    </w:p>
    <w:p>
      <w:pPr>
        <w:spacing w:after="120"/>
        <w:ind w:firstLine="720"/>
        <w:jc w:val="both"/>
      </w:pPr>
      <w:r>
        <w:rPr>
          <w:rFonts w:ascii="Times New Roman" w:hAnsi="Times New Roman"/>
          <w:sz w:val="24"/>
        </w:rPr>
        <w:t xml:space="preserve">Place: </w:t>
      </w:r>
    </w:p>
    <w:p>
      <w:r>
        <w:br w:type="page"/>
      </w:r>
    </w:p>
    <w:p>
      <w:pPr>
        <w:pStyle w:val="Heading1"/>
      </w:pPr>
      <w:r>
        <w:rPr>
          <w:rFonts w:ascii="Times New Roman" w:hAnsi="Times New Roman"/>
          <w:color w:val="000000"/>
        </w:rPr>
        <w:t>Acknowledgement</w:t>
      </w:r>
    </w:p>
    <w:p>
      <w:pPr>
        <w:spacing w:after="120"/>
        <w:ind w:firstLine="720"/>
        <w:jc w:val="both"/>
      </w:pPr>
      <w:r>
        <w:rPr>
          <w:rFonts w:ascii="Times New Roman" w:hAnsi="Times New Roman"/>
          <w:sz w:val="24"/>
        </w:rPr>
        <w:t>We would like to express our sincere gratitude to our project guide for providing consistent support and encouragement throughout the duration of this project. Their technical insights and critical feedback were instrumental in shaping the direction of this work.</w:t>
      </w:r>
    </w:p>
    <w:p>
      <w:pPr>
        <w:spacing w:after="120"/>
        <w:ind w:firstLine="720"/>
        <w:jc w:val="both"/>
      </w:pPr>
      <w:r>
        <w:rPr>
          <w:rFonts w:ascii="Times New Roman" w:hAnsi="Times New Roman"/>
          <w:sz w:val="24"/>
        </w:rPr>
        <w:t>We are also thankful to the Head of the Department and the institution for granting us access to the computational resources and laboratory facilities that made this project feasible.</w:t>
      </w:r>
    </w:p>
    <w:p>
      <w:pPr>
        <w:spacing w:after="120"/>
        <w:ind w:firstLine="720"/>
        <w:jc w:val="both"/>
      </w:pPr>
      <w:r>
        <w:rPr>
          <w:rFonts w:ascii="Times New Roman" w:hAnsi="Times New Roman"/>
          <w:sz w:val="24"/>
        </w:rPr>
        <w:t>Finally, we extend our appreciation to our peers and family members whose moral support sustained our efforts during the challenging phases of development and testing.</w:t>
      </w:r>
    </w:p>
    <w:p>
      <w:r>
        <w:br w:type="page"/>
      </w:r>
    </w:p>
    <w:p>
      <w:pPr>
        <w:pStyle w:val="Heading1"/>
      </w:pPr>
      <w:r>
        <w:rPr>
          <w:rFonts w:ascii="Times New Roman" w:hAnsi="Times New Roman"/>
          <w:color w:val="000000"/>
        </w:rPr>
        <w:t>Abstract</w:t>
      </w:r>
    </w:p>
    <w:p>
      <w:pPr>
        <w:spacing w:after="120"/>
        <w:ind w:firstLine="720"/>
        <w:jc w:val="both"/>
      </w:pPr>
      <w:r>
        <w:rPr>
          <w:rFonts w:ascii="Times New Roman" w:hAnsi="Times New Roman"/>
          <w:sz w:val="24"/>
        </w:rPr>
        <w:t>Western blotting remains one of the most frequently employed techniques in molecular biology for detecting and semi-quantifying specific proteins within complex mixtures. Despite its ubiquity, the analysis of western blot images has historically depended on manual densitometry workflows that introduce operator bias, consume considerable time, and offer no mechanism for estimating measurement uncertainty. Furthermore, the growing prevalence of artificially generated blot images in published literature has exposed a critical gap in scientific integrity tools.</w:t>
      </w:r>
    </w:p>
    <w:p>
      <w:pPr>
        <w:spacing w:after="120"/>
        <w:ind w:firstLine="720"/>
        <w:jc w:val="both"/>
      </w:pPr>
      <w:r>
        <w:rPr>
          <w:rFonts w:ascii="Times New Roman" w:hAnsi="Times New Roman"/>
          <w:sz w:val="24"/>
        </w:rPr>
        <w:t>This report presents BlotQuant, a browser-based platform that automates the complete western blot analysis pipeline. The system ingests raw blot images and produces structured quantitative outputs encompassing band detection, relative intensity measurement with confidence intervals, normalization strategy inference, and an authenticity assessment score. The current deployment leverages the Gemini 1.5 Flash vision model through a structured prompting strategy, while the underlying architecture has been designed to accommodate dedicated deep learning modules as training data becomes available.</w:t>
      </w:r>
    </w:p>
    <w:p>
      <w:pPr>
        <w:spacing w:after="120"/>
        <w:ind w:firstLine="720"/>
        <w:jc w:val="both"/>
      </w:pPr>
      <w:r>
        <w:rPr>
          <w:rFonts w:ascii="Times New Roman" w:hAnsi="Times New Roman"/>
          <w:sz w:val="24"/>
        </w:rPr>
        <w:t>The platform is built on a FastAPI backend with a React frontend and stores analysis records in MongoDB. Validation against manually annotated blot images demonstrates that the system produces consistent, reproducible measurements while reducing per-image analysis time from several minutes of manual effort to under twenty seconds of automated processing.</w:t>
      </w:r>
    </w:p>
    <w:p>
      <w:r>
        <w:br w:type="page"/>
      </w:r>
    </w:p>
    <w:p>
      <w:pPr>
        <w:pStyle w:val="Heading1"/>
      </w:pPr>
      <w:r>
        <w:rPr>
          <w:rFonts w:ascii="Times New Roman" w:hAnsi="Times New Roman"/>
          <w:color w:val="000000"/>
        </w:rPr>
        <w:t>Table of Contents</w:t>
      </w:r>
    </w:p>
    <w:p>
      <w:r>
        <w:rPr>
          <w:sz w:val="24"/>
        </w:rPr>
        <w:t>1. Introduction</w:t>
      </w:r>
      <w:r>
        <w:rPr>
          <w:sz w:val="24"/>
        </w:rPr>
        <w:t xml:space="preserve">  ...  1</w:t>
      </w:r>
    </w:p>
    <w:p>
      <w:r>
        <w:rPr>
          <w:sz w:val="24"/>
        </w:rPr>
        <w:t xml:space="preserve">   1.1 Background and Motivation</w:t>
      </w:r>
      <w:r>
        <w:rPr>
          <w:sz w:val="24"/>
        </w:rPr>
        <w:t xml:space="preserve">  ...  1</w:t>
      </w:r>
    </w:p>
    <w:p>
      <w:r>
        <w:rPr>
          <w:sz w:val="24"/>
        </w:rPr>
        <w:t xml:space="preserve">   1.2 Problem Statement</w:t>
      </w:r>
      <w:r>
        <w:rPr>
          <w:sz w:val="24"/>
        </w:rPr>
        <w:t xml:space="preserve">  ...  2</w:t>
      </w:r>
    </w:p>
    <w:p>
      <w:r>
        <w:rPr>
          <w:sz w:val="24"/>
        </w:rPr>
        <w:t xml:space="preserve">   1.3 Objectives</w:t>
      </w:r>
      <w:r>
        <w:rPr>
          <w:sz w:val="24"/>
        </w:rPr>
        <w:t xml:space="preserve">  ...  2</w:t>
      </w:r>
    </w:p>
    <w:p>
      <w:r>
        <w:rPr>
          <w:sz w:val="24"/>
        </w:rPr>
        <w:t>2. Literature Survey</w:t>
      </w:r>
      <w:r>
        <w:rPr>
          <w:sz w:val="24"/>
        </w:rPr>
        <w:t xml:space="preserve">  ...  3</w:t>
      </w:r>
    </w:p>
    <w:p>
      <w:r>
        <w:rPr>
          <w:sz w:val="24"/>
        </w:rPr>
        <w:t xml:space="preserve">   2.1 Traditional Densitometry Approaches</w:t>
      </w:r>
      <w:r>
        <w:rPr>
          <w:sz w:val="24"/>
        </w:rPr>
        <w:t xml:space="preserve">  ...  3</w:t>
      </w:r>
    </w:p>
    <w:p>
      <w:r>
        <w:rPr>
          <w:sz w:val="24"/>
        </w:rPr>
        <w:t xml:space="preserve">   2.2 Existing Software Tools</w:t>
      </w:r>
      <w:r>
        <w:rPr>
          <w:sz w:val="24"/>
        </w:rPr>
        <w:t xml:space="preserve">  ...  3</w:t>
      </w:r>
    </w:p>
    <w:p>
      <w:r>
        <w:rPr>
          <w:sz w:val="24"/>
        </w:rPr>
        <w:t xml:space="preserve">   2.3 Deep Learning in Bioimage Analysis</w:t>
      </w:r>
      <w:r>
        <w:rPr>
          <w:sz w:val="24"/>
        </w:rPr>
        <w:t xml:space="preserve">  ...  4</w:t>
      </w:r>
    </w:p>
    <w:p>
      <w:r>
        <w:rPr>
          <w:sz w:val="24"/>
        </w:rPr>
        <w:t xml:space="preserve">   2.4 Research Gaps</w:t>
      </w:r>
      <w:r>
        <w:rPr>
          <w:sz w:val="24"/>
        </w:rPr>
        <w:t xml:space="preserve">  ...  4</w:t>
      </w:r>
    </w:p>
    <w:p>
      <w:r>
        <w:rPr>
          <w:sz w:val="24"/>
        </w:rPr>
        <w:t>3. System Analysis and Design</w:t>
      </w:r>
      <w:r>
        <w:rPr>
          <w:sz w:val="24"/>
        </w:rPr>
        <w:t xml:space="preserve">  ...  5</w:t>
      </w:r>
    </w:p>
    <w:p>
      <w:r>
        <w:rPr>
          <w:sz w:val="24"/>
        </w:rPr>
        <w:t xml:space="preserve">   3.1 Requirements Analysis</w:t>
      </w:r>
      <w:r>
        <w:rPr>
          <w:sz w:val="24"/>
        </w:rPr>
        <w:t xml:space="preserve">  ...  5</w:t>
      </w:r>
    </w:p>
    <w:p>
      <w:r>
        <w:rPr>
          <w:sz w:val="24"/>
        </w:rPr>
        <w:t xml:space="preserve">   3.2 System Architecture</w:t>
      </w:r>
      <w:r>
        <w:rPr>
          <w:sz w:val="24"/>
        </w:rPr>
        <w:t xml:space="preserve">  ...  5</w:t>
      </w:r>
    </w:p>
    <w:p>
      <w:r>
        <w:rPr>
          <w:sz w:val="24"/>
        </w:rPr>
        <w:t xml:space="preserve">   3.3 Data Flow Design</w:t>
      </w:r>
      <w:r>
        <w:rPr>
          <w:sz w:val="24"/>
        </w:rPr>
        <w:t xml:space="preserve">  ...  6</w:t>
      </w:r>
    </w:p>
    <w:p>
      <w:r>
        <w:rPr>
          <w:sz w:val="24"/>
        </w:rPr>
        <w:t xml:space="preserve">   3.4 Database Schema</w:t>
      </w:r>
      <w:r>
        <w:rPr>
          <w:sz w:val="24"/>
        </w:rPr>
        <w:t xml:space="preserve">  ...  6</w:t>
      </w:r>
    </w:p>
    <w:p>
      <w:r>
        <w:rPr>
          <w:sz w:val="24"/>
        </w:rPr>
        <w:t>4. Implementation</w:t>
      </w:r>
      <w:r>
        <w:rPr>
          <w:sz w:val="24"/>
        </w:rPr>
        <w:t xml:space="preserve">  ...  7</w:t>
      </w:r>
    </w:p>
    <w:p>
      <w:r>
        <w:rPr>
          <w:sz w:val="24"/>
        </w:rPr>
        <w:t xml:space="preserve">   4.1 Technology Stack</w:t>
      </w:r>
      <w:r>
        <w:rPr>
          <w:sz w:val="24"/>
        </w:rPr>
        <w:t xml:space="preserve">  ...  7</w:t>
      </w:r>
    </w:p>
    <w:p>
      <w:r>
        <w:rPr>
          <w:sz w:val="24"/>
        </w:rPr>
        <w:t xml:space="preserve">   4.2 Backend Implementation</w:t>
      </w:r>
      <w:r>
        <w:rPr>
          <w:sz w:val="24"/>
        </w:rPr>
        <w:t xml:space="preserve">  ...  7</w:t>
      </w:r>
    </w:p>
    <w:p>
      <w:r>
        <w:rPr>
          <w:sz w:val="24"/>
        </w:rPr>
        <w:t xml:space="preserve">   4.3 Frontend Implementation</w:t>
      </w:r>
      <w:r>
        <w:rPr>
          <w:sz w:val="24"/>
        </w:rPr>
        <w:t xml:space="preserve">  ...  8</w:t>
      </w:r>
    </w:p>
    <w:p>
      <w:r>
        <w:rPr>
          <w:sz w:val="24"/>
        </w:rPr>
        <w:t xml:space="preserve">   4.4 Analysis Pipeline</w:t>
      </w:r>
      <w:r>
        <w:rPr>
          <w:sz w:val="24"/>
        </w:rPr>
        <w:t xml:space="preserve">  ...  9</w:t>
      </w:r>
    </w:p>
    <w:p>
      <w:r>
        <w:rPr>
          <w:sz w:val="24"/>
        </w:rPr>
        <w:t>5. Testing and Validation</w:t>
      </w:r>
      <w:r>
        <w:rPr>
          <w:sz w:val="24"/>
        </w:rPr>
        <w:t xml:space="preserve">  ...  10</w:t>
      </w:r>
    </w:p>
    <w:p>
      <w:r>
        <w:rPr>
          <w:sz w:val="24"/>
        </w:rPr>
        <w:t>6. Results and Discussion</w:t>
      </w:r>
      <w:r>
        <w:rPr>
          <w:sz w:val="24"/>
        </w:rPr>
        <w:t xml:space="preserve">  ...  11</w:t>
      </w:r>
    </w:p>
    <w:p>
      <w:r>
        <w:rPr>
          <w:sz w:val="24"/>
        </w:rPr>
        <w:t>7. Conclusion and Future Scope</w:t>
      </w:r>
      <w:r>
        <w:rPr>
          <w:sz w:val="24"/>
        </w:rPr>
        <w:t xml:space="preserve">  ...  12</w:t>
      </w:r>
    </w:p>
    <w:p>
      <w:r>
        <w:rPr>
          <w:sz w:val="24"/>
        </w:rPr>
        <w:t>8. References</w:t>
      </w:r>
      <w:r>
        <w:rPr>
          <w:sz w:val="24"/>
        </w:rPr>
        <w:t xml:space="preserve">  ...  13</w:t>
      </w:r>
    </w:p>
    <w:p>
      <w:r>
        <w:br w:type="page"/>
      </w:r>
    </w:p>
    <w:p>
      <w:pPr>
        <w:pStyle w:val="Heading1"/>
      </w:pPr>
      <w:r>
        <w:rPr>
          <w:rFonts w:ascii="Times New Roman" w:hAnsi="Times New Roman"/>
          <w:color w:val="000000"/>
        </w:rPr>
        <w:t>Chapter 1: Introduction</w:t>
      </w:r>
    </w:p>
    <w:p>
      <w:pPr>
        <w:pStyle w:val="Heading2"/>
      </w:pPr>
      <w:r>
        <w:rPr>
          <w:rFonts w:ascii="Times New Roman" w:hAnsi="Times New Roman"/>
          <w:color w:val="000000"/>
        </w:rPr>
        <w:t>1.1 Background and Motivation</w:t>
      </w:r>
    </w:p>
    <w:p>
      <w:pPr>
        <w:spacing w:after="120"/>
        <w:ind w:firstLine="720"/>
        <w:jc w:val="both"/>
      </w:pPr>
      <w:r>
        <w:rPr>
          <w:rFonts w:ascii="Times New Roman" w:hAnsi="Times New Roman"/>
          <w:sz w:val="24"/>
        </w:rPr>
        <w:t>The western blot assay, originally described by Towbin and colleagues in 1979, has become an indispensable technique across biological and medical research disciplines. It enables researchers to separate proteins by molecular weight through gel electrophoresis, transfer them onto a membrane, and detect specific proteins using antibody probes. The resulting image, a pattern of dark bands at specific molecular weight positions, forms the basis for both qualitative identification and semi-quantitative comparison of protein expression levels.</w:t>
      </w:r>
    </w:p>
    <w:p>
      <w:pPr>
        <w:spacing w:after="120"/>
        <w:ind w:firstLine="720"/>
        <w:jc w:val="both"/>
      </w:pPr>
      <w:r>
        <w:rPr>
          <w:rFonts w:ascii="Times New Roman" w:hAnsi="Times New Roman"/>
          <w:sz w:val="24"/>
        </w:rPr>
        <w:t>Despite decades of refinement in the wet-lab protocol itself, the downstream computational analysis of blot images has evolved comparatively slowly. Most laboratories still rely on freely available tools such as ImageJ or proprietary software bundled with imaging hardware from vendors like Bio-Rad or LI-COR. These tools typically require the researcher to manually draw regions of interest around each band, select a background subtraction algorithm, choose a normalization reference, and then export raw pixel intensity values into a spreadsheet for further statistical processing.</w:t>
      </w:r>
    </w:p>
    <w:p>
      <w:pPr>
        <w:spacing w:after="120"/>
        <w:ind w:firstLine="720"/>
        <w:jc w:val="both"/>
      </w:pPr>
      <w:r>
        <w:rPr>
          <w:rFonts w:ascii="Times New Roman" w:hAnsi="Times New Roman"/>
          <w:sz w:val="24"/>
        </w:rPr>
        <w:t>This manual workflow introduces several well-documented problems. First, inter-operator variability in region-of-interest selection can produce intensity differences of up to twelve percent between analysts examining the same image. Second, the choice of background subtraction method, whether rolling ball, adjacent-lane sampling, or fixed-region subtraction, substantially alters the measured signal and is rarely justified in published methods sections. Third, no existing tool provides an estimate of measurement uncertainty, meaning that every reported intensity value is a point estimate with no associated confidence interval.</w:t>
      </w:r>
    </w:p>
    <w:p>
      <w:pPr>
        <w:pStyle w:val="Heading2"/>
      </w:pPr>
      <w:r>
        <w:rPr>
          <w:rFonts w:ascii="Times New Roman" w:hAnsi="Times New Roman"/>
          <w:color w:val="000000"/>
        </w:rPr>
        <w:t>1.2 Problem Statement</w:t>
      </w:r>
    </w:p>
    <w:p>
      <w:pPr>
        <w:spacing w:after="120"/>
        <w:ind w:firstLine="720"/>
        <w:jc w:val="both"/>
      </w:pPr>
      <w:r>
        <w:rPr>
          <w:rFonts w:ascii="Times New Roman" w:hAnsi="Times New Roman"/>
          <w:sz w:val="24"/>
        </w:rPr>
        <w:t>The central problem this project addresses can be stated as follows: there exists no freely available, hardware-agnostic, browser-accessible tool that takes a raw western blot image as input and produces, in a single automated step, calibrated band intensities with uncertainty estimates, an inferred normalization strategy, and an assessment of image authenticity. Each of these capabilities exists in isolation or in partial form within existing software, but no single platform integrates them into a coherent end-to-end pipeline.</w:t>
      </w:r>
    </w:p>
    <w:p>
      <w:pPr>
        <w:spacing w:after="120"/>
        <w:ind w:firstLine="720"/>
        <w:jc w:val="both"/>
      </w:pPr>
      <w:r>
        <w:rPr>
          <w:rFonts w:ascii="Times New Roman" w:hAnsi="Times New Roman"/>
          <w:sz w:val="24"/>
        </w:rPr>
        <w:t>A secondary problem concerns the growing threat of fabricated western blot images in scientific publications. Generative adversarial networks and diffusion-based image synthesis models can now produce blot images that are visually indistinguishable from authentic experimental data to human reviewers. Journal editors and peer reviewers currently lack purpose-built tools to flag potentially AI-generated blots during manuscript review.</w:t>
      </w:r>
    </w:p>
    <w:p>
      <w:pPr>
        <w:pStyle w:val="Heading2"/>
      </w:pPr>
      <w:r>
        <w:rPr>
          <w:rFonts w:ascii="Times New Roman" w:hAnsi="Times New Roman"/>
          <w:color w:val="000000"/>
        </w:rPr>
        <w:t>1.3 Objectives</w:t>
      </w:r>
    </w:p>
    <w:p>
      <w:pPr>
        <w:spacing w:after="120"/>
        <w:ind w:firstLine="720"/>
        <w:jc w:val="both"/>
      </w:pPr>
      <w:r>
        <w:rPr>
          <w:rFonts w:ascii="Times New Roman" w:hAnsi="Times New Roman"/>
          <w:sz w:val="24"/>
        </w:rPr>
        <w:t>The project pursues the following specific objectives:</w:t>
      </w:r>
    </w:p>
    <w:p>
      <w:pPr>
        <w:pStyle w:val="ListBullet"/>
      </w:pPr>
      <w:r>
        <w:rPr>
          <w:rFonts w:ascii="Times New Roman" w:hAnsi="Times New Roman"/>
          <w:sz w:val="24"/>
        </w:rPr>
        <w:t>Design and implement a web application that accepts western blot images in JPEG, PNG, or WebP format and produces structured quantitative analysis within twenty seconds.</w:t>
      </w:r>
    </w:p>
    <w:p>
      <w:pPr>
        <w:pStyle w:val="ListBullet"/>
      </w:pPr>
      <w:r>
        <w:rPr>
          <w:rFonts w:ascii="Times New Roman" w:hAnsi="Times New Roman"/>
          <w:sz w:val="24"/>
        </w:rPr>
        <w:t>Automate band detection and localization across all lanes in the uploaded image without manual region-of-interest selection.</w:t>
      </w:r>
    </w:p>
    <w:p>
      <w:pPr>
        <w:pStyle w:val="ListBullet"/>
      </w:pPr>
      <w:r>
        <w:rPr>
          <w:rFonts w:ascii="Times New Roman" w:hAnsi="Times New Roman"/>
          <w:sz w:val="24"/>
        </w:rPr>
        <w:t>Generate relative intensity measurements for each detected band along with ninety-five percent confidence intervals derived from uncertainty estimation.</w:t>
      </w:r>
    </w:p>
    <w:p>
      <w:pPr>
        <w:pStyle w:val="ListBullet"/>
      </w:pPr>
      <w:r>
        <w:rPr>
          <w:rFonts w:ascii="Times New Roman" w:hAnsi="Times New Roman"/>
          <w:sz w:val="24"/>
        </w:rPr>
        <w:t>Infer the normalization strategy, whether housekeeping protein, total protein stain, or none, directly from image content and present it with a confidence score.</w:t>
      </w:r>
    </w:p>
    <w:p>
      <w:pPr>
        <w:pStyle w:val="ListBullet"/>
      </w:pPr>
      <w:r>
        <w:rPr>
          <w:rFonts w:ascii="Times New Roman" w:hAnsi="Times New Roman"/>
          <w:sz w:val="24"/>
        </w:rPr>
        <w:t>Assign an authenticity score indicating the likelihood that the image represents genuine experimental data rather than computational fabrication.</w:t>
      </w:r>
    </w:p>
    <w:p>
      <w:pPr>
        <w:pStyle w:val="ListBullet"/>
      </w:pPr>
      <w:r>
        <w:rPr>
          <w:rFonts w:ascii="Times New Roman" w:hAnsi="Times New Roman"/>
          <w:sz w:val="24"/>
        </w:rPr>
        <w:t>Provide a complete JSON export of all analysis results for downstream programmatic consumption.</w:t>
      </w:r>
    </w:p>
    <w:p>
      <w:r>
        <w:br w:type="page"/>
      </w:r>
    </w:p>
    <w:p>
      <w:pPr>
        <w:pStyle w:val="Heading1"/>
      </w:pPr>
      <w:r>
        <w:rPr>
          <w:rFonts w:ascii="Times New Roman" w:hAnsi="Times New Roman"/>
          <w:color w:val="000000"/>
        </w:rPr>
        <w:t>Chapter 2: Literature Survey</w:t>
      </w:r>
    </w:p>
    <w:p>
      <w:pPr>
        <w:pStyle w:val="Heading2"/>
      </w:pPr>
      <w:r>
        <w:rPr>
          <w:rFonts w:ascii="Times New Roman" w:hAnsi="Times New Roman"/>
          <w:color w:val="000000"/>
        </w:rPr>
        <w:t>2.1 Traditional Densitometry Approaches</w:t>
      </w:r>
    </w:p>
    <w:p>
      <w:pPr>
        <w:spacing w:after="120"/>
        <w:ind w:firstLine="720"/>
        <w:jc w:val="both"/>
      </w:pPr>
      <w:r>
        <w:rPr>
          <w:rFonts w:ascii="Times New Roman" w:hAnsi="Times New Roman"/>
          <w:sz w:val="24"/>
        </w:rPr>
        <w:t>Densitometric analysis of electrophoretic gel and blot images has its origins in optical scanning densitometers that physically measured light transmission through photographic film. With the transition to digital imaging in the 1990s, pixel-based intensity measurement became the standard approach. The fundamental principle remains unchanged: the optical density at a given position on the membrane is assumed to be proportional to the quantity of protein present, provided the exposure falls within the linear dynamic range of the detection system.</w:t>
      </w:r>
    </w:p>
    <w:p>
      <w:pPr>
        <w:spacing w:after="120"/>
        <w:ind w:firstLine="720"/>
        <w:jc w:val="both"/>
      </w:pPr>
      <w:r>
        <w:rPr>
          <w:rFonts w:ascii="Times New Roman" w:hAnsi="Times New Roman"/>
          <w:sz w:val="24"/>
        </w:rPr>
        <w:t>ImageJ, developed at the National Institutes of Health, has served as the default free analysis tool for over two decades. Its gel analysis module allows users to define lane boundaries, generate intensity profiles, and integrate peak areas using the trapezoidal method. However, the entire process depends on manual input at every stage. The user must visually identify lane boundaries, draw rectangular selection regions, choose when to start and stop each intensity peak, and decide on a background baseline. This reliance on subjective judgment is the primary source of irreproducibility in published densitometry data.</w:t>
      </w:r>
    </w:p>
    <w:p>
      <w:pPr>
        <w:pStyle w:val="Heading2"/>
      </w:pPr>
      <w:r>
        <w:rPr>
          <w:rFonts w:ascii="Times New Roman" w:hAnsi="Times New Roman"/>
          <w:color w:val="000000"/>
        </w:rPr>
        <w:t>2.2 Existing Software Tools</w:t>
      </w:r>
    </w:p>
    <w:p>
      <w:pPr>
        <w:spacing w:after="120"/>
        <w:ind w:firstLine="720"/>
        <w:jc w:val="both"/>
      </w:pPr>
      <w:r>
        <w:rPr>
          <w:rFonts w:ascii="Times New Roman" w:hAnsi="Times New Roman"/>
          <w:sz w:val="24"/>
        </w:rPr>
        <w:t>Commercial offerings from Bio-Rad (Image Lab), LI-COR (Image Studio), and Azure Biosystems (AzureSpot) provide more sophisticated interfaces but share several fundamental limitations. They are designed to work optimally with images acquired on the vendor's own hardware, creating an implicit lock-in effect. Their background subtraction and normalization algorithms, while more automated than ImageJ, still require the researcher to make methodological selections. None of these tools provide uncertainty quantification. Their licensing costs, ranging from hundreds to thousands of dollars, further limit accessibility for laboratories in resource-constrained settings.</w:t>
      </w:r>
    </w:p>
    <w:p>
      <w:pPr>
        <w:spacing w:after="120"/>
        <w:ind w:firstLine="720"/>
        <w:jc w:val="both"/>
      </w:pPr>
      <w:r>
        <w:rPr>
          <w:rFonts w:ascii="Times New Roman" w:hAnsi="Times New Roman"/>
          <w:sz w:val="24"/>
        </w:rPr>
        <w:t>The JESS Simple Western system from ProteinSimple represents a fundamentally different approach, replacing the traditional gel and membrane workflow entirely with capillary-based separation and detection. While it produces digital output directly, the instrument itself costs upward of fifty thousand dollars and is therefore inaccessible to the vast majority of research laboratories worldwide.</w:t>
      </w:r>
    </w:p>
    <w:p>
      <w:pPr>
        <w:pStyle w:val="Heading2"/>
      </w:pPr>
      <w:r>
        <w:rPr>
          <w:rFonts w:ascii="Times New Roman" w:hAnsi="Times New Roman"/>
          <w:color w:val="000000"/>
        </w:rPr>
        <w:t>2.3 Deep Learning in Bioimage Analysis</w:t>
      </w:r>
    </w:p>
    <w:p>
      <w:pPr>
        <w:spacing w:after="120"/>
        <w:ind w:firstLine="720"/>
        <w:jc w:val="both"/>
      </w:pPr>
      <w:r>
        <w:rPr>
          <w:rFonts w:ascii="Times New Roman" w:hAnsi="Times New Roman"/>
          <w:sz w:val="24"/>
        </w:rPr>
        <w:t>Convolutional neural networks have achieved remarkable success in biomedical image analysis tasks including cell segmentation, histopathology classification, and radiology interpretation. However, their application to western blot images has been surprisingly limited. The handful of published studies that do apply deep learning to blot images treat the problem exclusively as binary classification, asking whether a band is present or absent. None formulate the problem as intensity regression, which is the measurement task that actually matters for quantitative biology.</w:t>
      </w:r>
    </w:p>
    <w:p>
      <w:pPr>
        <w:spacing w:after="120"/>
        <w:ind w:firstLine="720"/>
        <w:jc w:val="both"/>
      </w:pPr>
      <w:r>
        <w:rPr>
          <w:rFonts w:ascii="Times New Roman" w:hAnsi="Times New Roman"/>
          <w:sz w:val="24"/>
        </w:rPr>
        <w:t>This gap is partially explained by the scarcity of labeled training data. Unlike pathology slides or radiographic images, western blot images are rarely deposited in public repositories with ground-truth intensity annotations. The images that do appear in publications are typically cropped, contrast-adjusted, and presented without the raw imaging data needed to establish true intensity values.</w:t>
      </w:r>
    </w:p>
    <w:p>
      <w:pPr>
        <w:pStyle w:val="Heading2"/>
      </w:pPr>
      <w:r>
        <w:rPr>
          <w:rFonts w:ascii="Times New Roman" w:hAnsi="Times New Roman"/>
          <w:color w:val="000000"/>
        </w:rPr>
        <w:t>2.4 Research Gaps Identified</w:t>
      </w:r>
    </w:p>
    <w:p>
      <w:pPr>
        <w:spacing w:after="120"/>
        <w:ind w:firstLine="720"/>
        <w:jc w:val="both"/>
      </w:pPr>
      <w:r>
        <w:rPr>
          <w:rFonts w:ascii="Times New Roman" w:hAnsi="Times New Roman"/>
          <w:sz w:val="24"/>
        </w:rPr>
        <w:t>Through a systematic examination of the existing literature and available software tools, six specific gaps were identified that no current solution addresses simultaneously:</w:t>
      </w:r>
    </w:p>
    <w:p>
      <w:pPr>
        <w:pStyle w:val="ListBullet"/>
      </w:pPr>
      <w:r>
        <w:rPr>
          <w:rFonts w:ascii="Times New Roman" w:hAnsi="Times New Roman"/>
          <w:sz w:val="24"/>
        </w:rPr>
        <w:t>Gap 1: No existing tool implements an end-to-end intensity regression pipeline that takes a raw blot image and outputs calibrated, hardware-agnostic intensity values as a continuous regression target.</w:t>
      </w:r>
    </w:p>
    <w:p>
      <w:pPr>
        <w:pStyle w:val="ListBullet"/>
      </w:pPr>
      <w:r>
        <w:rPr>
          <w:rFonts w:ascii="Times New Roman" w:hAnsi="Times New Roman"/>
          <w:sz w:val="24"/>
        </w:rPr>
        <w:t>Gap 2: Background subtraction in every available tool remains rule-based, requiring the researcher to select among predefined algorithms rather than learning an optimal subtraction strategy from the image itself.</w:t>
      </w:r>
    </w:p>
    <w:p>
      <w:pPr>
        <w:pStyle w:val="ListBullet"/>
      </w:pPr>
      <w:r>
        <w:rPr>
          <w:rFonts w:ascii="Times New Roman" w:hAnsi="Times New Roman"/>
          <w:sz w:val="24"/>
        </w:rPr>
        <w:t>Gap 3: Normalization strategy selection is entirely manual, despite being identified by the Journal of Biological Chemistry as one of the three major gaps in western blot data reporting standards.</w:t>
      </w:r>
    </w:p>
    <w:p>
      <w:pPr>
        <w:pStyle w:val="ListBullet"/>
      </w:pPr>
      <w:r>
        <w:rPr>
          <w:rFonts w:ascii="Times New Roman" w:hAnsi="Times New Roman"/>
          <w:sz w:val="24"/>
        </w:rPr>
        <w:t>Gap 4: Cross-imager generalization remains unsolved. Blots captured on different imaging platforms produce distinct intensity profiles and noise characteristics, and no published model transfers across imager types without retraining.</w:t>
      </w:r>
    </w:p>
    <w:p>
      <w:pPr>
        <w:pStyle w:val="ListBullet"/>
      </w:pPr>
      <w:r>
        <w:rPr>
          <w:rFonts w:ascii="Times New Roman" w:hAnsi="Times New Roman"/>
          <w:sz w:val="24"/>
        </w:rPr>
        <w:t>Gap 5: Uncertainty quantification is completely absent from every available tool. All produce single point estimates with no associated confidence intervals, directly contributing to the reproducibility crisis in biological research.</w:t>
      </w:r>
    </w:p>
    <w:p>
      <w:pPr>
        <w:pStyle w:val="ListBullet"/>
      </w:pPr>
      <w:r>
        <w:rPr>
          <w:rFonts w:ascii="Times New Roman" w:hAnsi="Times New Roman"/>
          <w:sz w:val="24"/>
        </w:rPr>
        <w:t>Gap 6: Detection of AI-generated western blot images lacks a dedicated, purpose-built tool. Existing generic AI image detectors achieve inconsistent sensitivity when applied to blot images specifically.</w:t>
      </w:r>
    </w:p>
    <w:p>
      <w:r>
        <w:br w:type="page"/>
      </w:r>
    </w:p>
    <w:p>
      <w:pPr>
        <w:pStyle w:val="Heading1"/>
      </w:pPr>
      <w:r>
        <w:rPr>
          <w:rFonts w:ascii="Times New Roman" w:hAnsi="Times New Roman"/>
          <w:color w:val="000000"/>
        </w:rPr>
        <w:t>Chapter 3: System Analysis and Design</w:t>
      </w:r>
    </w:p>
    <w:p>
      <w:pPr>
        <w:pStyle w:val="Heading2"/>
      </w:pPr>
      <w:r>
        <w:rPr>
          <w:rFonts w:ascii="Times New Roman" w:hAnsi="Times New Roman"/>
          <w:color w:val="000000"/>
        </w:rPr>
        <w:t>3.1 Requirements Analysis</w:t>
      </w:r>
    </w:p>
    <w:p>
      <w:pPr>
        <w:spacing w:after="120"/>
        <w:ind w:firstLine="720"/>
        <w:jc w:val="both"/>
      </w:pPr>
      <w:r>
        <w:rPr>
          <w:rFonts w:ascii="Times New Roman" w:hAnsi="Times New Roman"/>
          <w:sz w:val="24"/>
        </w:rPr>
        <w:t>The functional requirements for the BlotQuant platform were derived from the research gaps identified in the literature survey and from consultations with potential end users in academic laboratory settings. The system must accept standard image formats commonly produced by blot imaging hardware, process them without requiring any manual parameter selection, and return comprehensive structured results within a timeframe that does not disrupt the researcher's workflow.</w:t>
      </w:r>
    </w:p>
    <w:p>
      <w:pPr>
        <w:spacing w:after="120"/>
        <w:ind w:firstLine="720"/>
        <w:jc w:val="both"/>
      </w:pPr>
      <w:r>
        <w:rPr>
          <w:rFonts w:ascii="Times New Roman" w:hAnsi="Times New Roman"/>
          <w:sz w:val="24"/>
        </w:rPr>
        <w:t>Non-functional requirements include browser-based accessibility to eliminate installation barriers, responsive user interface design to accommodate varying screen sizes, and persistent storage of analysis history to enable longitudinal comparison of results across experimental sessions.</w:t>
      </w:r>
    </w:p>
    <w:p>
      <w:pPr>
        <w:pStyle w:val="Heading2"/>
      </w:pPr>
      <w:r>
        <w:rPr>
          <w:rFonts w:ascii="Times New Roman" w:hAnsi="Times New Roman"/>
          <w:color w:val="000000"/>
        </w:rPr>
        <w:t>3.2 System Architecture</w:t>
      </w:r>
    </w:p>
    <w:p>
      <w:pPr>
        <w:spacing w:after="120"/>
        <w:ind w:firstLine="720"/>
        <w:jc w:val="both"/>
      </w:pPr>
      <w:r>
        <w:rPr>
          <w:rFonts w:ascii="Times New Roman" w:hAnsi="Times New Roman"/>
          <w:sz w:val="24"/>
        </w:rPr>
        <w:t>The platform follows a client-server architectural pattern with clear separation between the presentation layer, the application logic layer, and the data persistence layer. The frontend is a single-page React application that communicates with a FastAPI backend through a RESTful API. The backend orchestrates image analysis by encoding uploaded images and dispatching them to the Gemini 1.5 Flash vision model with a carefully structured analysis prompt. Analysis results are parsed from the model's JSON response and stored in a MongoDB database for retrieval and historical comparison.</w:t>
      </w:r>
    </w:p>
    <w:p>
      <w:pPr>
        <w:spacing w:after="120"/>
        <w:ind w:firstLine="720"/>
        <w:jc w:val="both"/>
      </w:pPr>
      <w:r>
        <w:rPr>
          <w:rFonts w:ascii="Times New Roman" w:hAnsi="Times New Roman"/>
          <w:sz w:val="24"/>
        </w:rPr>
        <w:t>The architecture has been deliberately designed with modularity as a primary concern. Each of the five analysis functions, band detection, intensity quantification, normalization inference, uncertainty estimation, and authenticity scoring, is conceptually independent. In the current deployment, all five are served by a single vision model call. In the target research pipeline, each module would be replaced by a dedicated deep learning model trained specifically for that task.</w:t>
      </w:r>
    </w:p>
    <w:p>
      <w:pPr>
        <w:pStyle w:val="Heading2"/>
      </w:pPr>
      <w:r>
        <w:rPr>
          <w:rFonts w:ascii="Times New Roman" w:hAnsi="Times New Roman"/>
          <w:color w:val="000000"/>
        </w:rPr>
        <w:t>3.3 Data Flow Design</w:t>
      </w:r>
    </w:p>
    <w:p>
      <w:pPr>
        <w:spacing w:after="120"/>
        <w:ind w:firstLine="720"/>
        <w:jc w:val="both"/>
      </w:pPr>
      <w:r>
        <w:rPr>
          <w:rFonts w:ascii="Times New Roman" w:hAnsi="Times New Roman"/>
          <w:sz w:val="24"/>
        </w:rPr>
        <w:t>The data flow through the system proceeds as follows. The user uploads a blot image through the browser interface. The React frontend validates the file type and size constraints on the client side before transmitting the file to the backend API endpoint. The FastAPI server reads the file contents, encodes them as a base64 string, and constructs a multimodal prompt combining the analysis instructions with the encoded image. This prompt is sent to the Gemini API, which returns a JSON-structured response containing all analysis outputs. The backend parses and validates this response, stores the complete analysis record in MongoDB, and returns the results to the frontend for rendering.</w:t>
      </w:r>
    </w:p>
    <w:p>
      <w:pPr>
        <w:pStyle w:val="Heading2"/>
      </w:pPr>
      <w:r>
        <w:rPr>
          <w:rFonts w:ascii="Times New Roman" w:hAnsi="Times New Roman"/>
          <w:color w:val="000000"/>
        </w:rPr>
        <w:t>3.4 Database Schema</w:t>
      </w:r>
    </w:p>
    <w:p>
      <w:pPr>
        <w:spacing w:after="120"/>
        <w:ind w:firstLine="720"/>
        <w:jc w:val="both"/>
      </w:pPr>
      <w:r>
        <w:rPr>
          <w:rFonts w:ascii="Times New Roman" w:hAnsi="Times New Roman"/>
          <w:sz w:val="24"/>
        </w:rPr>
        <w:t>Each analysis record in MongoDB contains a unique identifier, a timestamp, the original image filename, the base64-encoded image data, the MIME type, a processing status field, and the complete nested results object. The results object itself contains arrays of detected bands with their spatial coordinates and intensity values, lane definitions, normalization metadata, per-band uncertainty estimates, and the authenticity assessment. This schema allows the frontend to reconstruct the complete analysis visualization from a single database query without requiring the image to be re-processed.</w:t>
      </w:r>
    </w:p>
    <w:p>
      <w:r>
        <w:br w:type="page"/>
      </w:r>
    </w:p>
    <w:p>
      <w:pPr>
        <w:pStyle w:val="Heading1"/>
      </w:pPr>
      <w:r>
        <w:rPr>
          <w:rFonts w:ascii="Times New Roman" w:hAnsi="Times New Roman"/>
          <w:color w:val="000000"/>
        </w:rPr>
        <w:t>Chapter 4: Implementation</w:t>
      </w:r>
    </w:p>
    <w:p>
      <w:pPr>
        <w:pStyle w:val="Heading2"/>
      </w:pPr>
      <w:r>
        <w:rPr>
          <w:rFonts w:ascii="Times New Roman" w:hAnsi="Times New Roman"/>
          <w:color w:val="000000"/>
        </w:rPr>
        <w:t>4.1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Purpose</w:t>
            </w:r>
          </w:p>
        </w:tc>
      </w:tr>
      <w:tr>
        <w:tc>
          <w:tcPr>
            <w:tcW w:type="dxa" w:w="2880"/>
          </w:tcPr>
          <w:p>
            <w:r>
              <w:t>Backend Framework</w:t>
            </w:r>
          </w:p>
        </w:tc>
        <w:tc>
          <w:tcPr>
            <w:tcW w:type="dxa" w:w="2880"/>
          </w:tcPr>
          <w:p>
            <w:r>
              <w:t>FastAPI (Python)</w:t>
            </w:r>
          </w:p>
        </w:tc>
        <w:tc>
          <w:tcPr>
            <w:tcW w:type="dxa" w:w="2880"/>
          </w:tcPr>
          <w:p>
            <w:r>
              <w:t>RESTful API, async request handling</w:t>
            </w:r>
          </w:p>
        </w:tc>
      </w:tr>
      <w:tr>
        <w:tc>
          <w:tcPr>
            <w:tcW w:type="dxa" w:w="2880"/>
          </w:tcPr>
          <w:p>
            <w:r>
              <w:t>Frontend Framework</w:t>
            </w:r>
          </w:p>
        </w:tc>
        <w:tc>
          <w:tcPr>
            <w:tcW w:type="dxa" w:w="2880"/>
          </w:tcPr>
          <w:p>
            <w:r>
              <w:t>React.js</w:t>
            </w:r>
          </w:p>
        </w:tc>
        <w:tc>
          <w:tcPr>
            <w:tcW w:type="dxa" w:w="2880"/>
          </w:tcPr>
          <w:p>
            <w:r>
              <w:t>Single-page application with component architecture</w:t>
            </w:r>
          </w:p>
        </w:tc>
      </w:tr>
      <w:tr>
        <w:tc>
          <w:tcPr>
            <w:tcW w:type="dxa" w:w="2880"/>
          </w:tcPr>
          <w:p>
            <w:r>
              <w:t>Vision AI Model</w:t>
            </w:r>
          </w:p>
        </w:tc>
        <w:tc>
          <w:tcPr>
            <w:tcW w:type="dxa" w:w="2880"/>
          </w:tcPr>
          <w:p>
            <w:r>
              <w:t>Gemini 1.5 Flash</w:t>
            </w:r>
          </w:p>
        </w:tc>
        <w:tc>
          <w:tcPr>
            <w:tcW w:type="dxa" w:w="2880"/>
          </w:tcPr>
          <w:p>
            <w:r>
              <w:t>Multimodal image analysis and structured output</w:t>
            </w:r>
          </w:p>
        </w:tc>
      </w:tr>
      <w:tr>
        <w:tc>
          <w:tcPr>
            <w:tcW w:type="dxa" w:w="2880"/>
          </w:tcPr>
          <w:p>
            <w:r>
              <w:t>Database</w:t>
            </w:r>
          </w:p>
        </w:tc>
        <w:tc>
          <w:tcPr>
            <w:tcW w:type="dxa" w:w="2880"/>
          </w:tcPr>
          <w:p>
            <w:r>
              <w:t>MongoDB (Motor)</w:t>
            </w:r>
          </w:p>
        </w:tc>
        <w:tc>
          <w:tcPr>
            <w:tcW w:type="dxa" w:w="2880"/>
          </w:tcPr>
          <w:p>
            <w:r>
              <w:t>Async document storage for analysis records</w:t>
            </w:r>
          </w:p>
        </w:tc>
      </w:tr>
      <w:tr>
        <w:tc>
          <w:tcPr>
            <w:tcW w:type="dxa" w:w="2880"/>
          </w:tcPr>
          <w:p>
            <w:r>
              <w:t>UI Components</w:t>
            </w:r>
          </w:p>
        </w:tc>
        <w:tc>
          <w:tcPr>
            <w:tcW w:type="dxa" w:w="2880"/>
          </w:tcPr>
          <w:p>
            <w:r>
              <w:t>Recharts, Lucide Icons</w:t>
            </w:r>
          </w:p>
        </w:tc>
        <w:tc>
          <w:tcPr>
            <w:tcW w:type="dxa" w:w="2880"/>
          </w:tcPr>
          <w:p>
            <w:r>
              <w:t>Data visualization and interface elements</w:t>
            </w:r>
          </w:p>
        </w:tc>
      </w:tr>
      <w:tr>
        <w:tc>
          <w:tcPr>
            <w:tcW w:type="dxa" w:w="2880"/>
          </w:tcPr>
          <w:p>
            <w:r>
              <w:t>Styling</w:t>
            </w:r>
          </w:p>
        </w:tc>
        <w:tc>
          <w:tcPr>
            <w:tcW w:type="dxa" w:w="2880"/>
          </w:tcPr>
          <w:p>
            <w:r>
              <w:t>Tailwind CSS</w:t>
            </w:r>
          </w:p>
        </w:tc>
        <w:tc>
          <w:tcPr>
            <w:tcW w:type="dxa" w:w="2880"/>
          </w:tcPr>
          <w:p>
            <w:r>
              <w:t>Utility-first responsive styling</w:t>
            </w:r>
          </w:p>
        </w:tc>
      </w:tr>
      <w:tr>
        <w:tc>
          <w:tcPr>
            <w:tcW w:type="dxa" w:w="2880"/>
          </w:tcPr>
          <w:p>
            <w:r>
              <w:t>Deployment</w:t>
            </w:r>
          </w:p>
        </w:tc>
        <w:tc>
          <w:tcPr>
            <w:tcW w:type="dxa" w:w="2880"/>
          </w:tcPr>
          <w:p>
            <w:r>
              <w:t>Uvicorn ASGI</w:t>
            </w:r>
          </w:p>
        </w:tc>
        <w:tc>
          <w:tcPr>
            <w:tcW w:type="dxa" w:w="2880"/>
          </w:tcPr>
          <w:p>
            <w:r>
              <w:t>Production-grade async server</w:t>
            </w:r>
          </w:p>
        </w:tc>
      </w:tr>
    </w:tbl>
    <w:p>
      <w:pPr>
        <w:pStyle w:val="Heading2"/>
      </w:pPr>
      <w:r>
        <w:rPr>
          <w:rFonts w:ascii="Times New Roman" w:hAnsi="Times New Roman"/>
          <w:color w:val="000000"/>
        </w:rPr>
        <w:t>4.2 Backend Implementation</w:t>
      </w:r>
    </w:p>
    <w:p>
      <w:pPr>
        <w:spacing w:after="120"/>
        <w:ind w:firstLine="720"/>
        <w:jc w:val="both"/>
      </w:pPr>
      <w:r>
        <w:rPr>
          <w:rFonts w:ascii="Times New Roman" w:hAnsi="Times New Roman"/>
          <w:sz w:val="24"/>
        </w:rPr>
        <w:t>The backend is implemented as a single FastAPI application in server.py. It exposes four primary API endpoints. The POST /api/analyze endpoint accepts multipart file uploads, validates the content type against an allowlist of JPEG, PNG, and WebP formats, enforces a ten-megabyte size limit, and initiates the analysis pipeline. The POST /api/analyze-sample/{sample_id} endpoint provides the same analysis functionality using pre-configured sample images for demonstration purposes. The GET /api/analyses endpoint returns a paginated list of previous analysis records, and the GET /api/analyses/{analysis_id} endpoint retrieves a specific analysis by its unique identifier.</w:t>
      </w:r>
    </w:p>
    <w:p>
      <w:pPr>
        <w:spacing w:after="120"/>
        <w:ind w:firstLine="720"/>
        <w:jc w:val="both"/>
      </w:pPr>
      <w:r>
        <w:rPr>
          <w:rFonts w:ascii="Times New Roman" w:hAnsi="Times New Roman"/>
          <w:sz w:val="24"/>
        </w:rPr>
        <w:t>The analysis pipeline itself begins with base64 encoding of the uploaded image data. The encoded string is combined with a detailed system prompt that instructs the vision model to perform five distinct analytical tasks and return its findings in a specified JSON schema. The system prompt explicitly defines the expected output structure, including arrays for detected bands with spatial coordinates, intensity values, and molecular weight estimates; normalization strategy metadata; per-band uncertainty metrics; and authenticity assessment scores.</w:t>
      </w:r>
    </w:p>
    <w:p>
      <w:pPr>
        <w:spacing w:after="120"/>
        <w:ind w:firstLine="720"/>
        <w:jc w:val="both"/>
      </w:pPr>
      <w:r>
        <w:rPr>
          <w:rFonts w:ascii="Times New Roman" w:hAnsi="Times New Roman"/>
          <w:sz w:val="24"/>
        </w:rPr>
        <w:t>A dedicated JSON parsing function handles the model's response, stripping markdown code fences if present and attempting multiple extraction strategies to maximize robustness against minor formatting variations in the model output. If parsing fails entirely, a fallback response structure is returned that clearly indicates the failure without crashing the application.</w:t>
      </w:r>
    </w:p>
    <w:p>
      <w:pPr>
        <w:pStyle w:val="Heading2"/>
      </w:pPr>
      <w:r>
        <w:rPr>
          <w:rFonts w:ascii="Times New Roman" w:hAnsi="Times New Roman"/>
          <w:color w:val="000000"/>
        </w:rPr>
        <w:t>4.3 Frontend Implementation</w:t>
      </w:r>
    </w:p>
    <w:p>
      <w:pPr>
        <w:spacing w:after="120"/>
        <w:ind w:firstLine="720"/>
        <w:jc w:val="both"/>
      </w:pPr>
      <w:r>
        <w:rPr>
          <w:rFonts w:ascii="Times New Roman" w:hAnsi="Times New Roman"/>
          <w:sz w:val="24"/>
        </w:rPr>
        <w:t>The React frontend is organized into a component-based architecture with eleven specialized components handling distinct aspects of the user interface. The UploadZone component implements drag-and-drop file selection with client-side validation. The BandOverlay component renders detected band positions as interactive bounding boxes overlaid on the original image, with hover tooltips displaying lane assignment, molecular weight, and intensity values.</w:t>
      </w:r>
    </w:p>
    <w:p>
      <w:pPr>
        <w:spacing w:after="120"/>
        <w:ind w:firstLine="720"/>
        <w:jc w:val="both"/>
      </w:pPr>
      <w:r>
        <w:rPr>
          <w:rFonts w:ascii="Times New Roman" w:hAnsi="Times New Roman"/>
          <w:sz w:val="24"/>
        </w:rPr>
        <w:t>The IntensityChart component uses the Recharts library to render a bar chart of relative band intensities with error bars representing ninety-five percent confidence intervals. The NormalizationCard component displays the inferred normalization strategy with a visual confidence indicator. The AuthenticityGauge component presents the authenticity score as a circular gauge with color-coded classification ranging from likely authentic through possibly manipulated to likely manipulated.</w:t>
      </w:r>
    </w:p>
    <w:p>
      <w:pPr>
        <w:spacing w:after="120"/>
        <w:ind w:firstLine="720"/>
        <w:jc w:val="both"/>
      </w:pPr>
      <w:r>
        <w:rPr>
          <w:rFonts w:ascii="Times New Roman" w:hAnsi="Times New Roman"/>
          <w:sz w:val="24"/>
        </w:rPr>
        <w:t>The UncertaintyTable component renders a detailed per-band breakdown showing mean intensity, standard deviation, confidence interval bounds, and model confidence for each detected band. The JSONExport component enables one-click download of the complete structured analysis output as a machine-readable JSON file. The PipelineViz component provides a visual representation of the analysis pipeline stages and the AnalysisLoading component displays an animated progress indicator during processing.</w:t>
      </w:r>
    </w:p>
    <w:p>
      <w:pPr>
        <w:pStyle w:val="Heading2"/>
      </w:pPr>
      <w:r>
        <w:rPr>
          <w:rFonts w:ascii="Times New Roman" w:hAnsi="Times New Roman"/>
          <w:color w:val="000000"/>
        </w:rPr>
        <w:t>4.4 Analysis Pipeline Details</w:t>
      </w:r>
    </w:p>
    <w:p>
      <w:pPr>
        <w:spacing w:after="120"/>
        <w:ind w:firstLine="720"/>
        <w:jc w:val="both"/>
      </w:pPr>
      <w:r>
        <w:rPr>
          <w:rFonts w:ascii="Times New Roman" w:hAnsi="Times New Roman"/>
          <w:sz w:val="24"/>
        </w:rPr>
        <w:t>The structured analysis prompt sent to the Gemini vision model encodes domain-specific knowledge about western blot biology and measurement science. It instructs the model to detect all visible bands across all lanes, report spatial positions as percentages relative to image dimensions to ensure resolution independence, normalize intensity values to a zero-to-one scale where one represents the darkest band, estimate uncertainty based on band clarity and local noise characteristics, and assess authenticity by examining membrane texture, band edge sharpness, and background uniformity patterns.</w:t>
      </w:r>
    </w:p>
    <w:p>
      <w:pPr>
        <w:spacing w:after="120"/>
        <w:ind w:firstLine="720"/>
        <w:jc w:val="both"/>
      </w:pPr>
      <w:r>
        <w:rPr>
          <w:rFonts w:ascii="Times New Roman" w:hAnsi="Times New Roman"/>
          <w:sz w:val="24"/>
        </w:rPr>
        <w:t>This prompt engineering approach represents a deliberate architectural decision. By encoding the complete analysis specification in a structured prompt rather than training five separate neural networks, the system achieves functional coverage across all target capabilities with minimal development overhead and zero training data requirements. The tradeoff is reduced accuracy compared to purpose-trained models, which is acceptable for a proof-of-concept deployment and will be addressed in subsequent development phases through dedicated model training.</w:t>
      </w:r>
    </w:p>
    <w:p>
      <w:r>
        <w:br w:type="page"/>
      </w:r>
    </w:p>
    <w:p>
      <w:pPr>
        <w:pStyle w:val="Heading1"/>
      </w:pPr>
      <w:r>
        <w:rPr>
          <w:rFonts w:ascii="Times New Roman" w:hAnsi="Times New Roman"/>
          <w:color w:val="000000"/>
        </w:rPr>
        <w:t>Chapter 5: Testing and Validation</w:t>
      </w:r>
    </w:p>
    <w:p>
      <w:pPr>
        <w:spacing w:after="120"/>
        <w:ind w:firstLine="720"/>
        <w:jc w:val="both"/>
      </w:pPr>
      <w:r>
        <w:rPr>
          <w:rFonts w:ascii="Times New Roman" w:hAnsi="Times New Roman"/>
          <w:sz w:val="24"/>
        </w:rPr>
        <w:t>Testing of the BlotQuant platform was conducted across three dimensions: unit testing of backend API endpoints, integration testing of the complete upload-to-results pipeline, and validation of analysis accuracy against manually annotated reference images.</w:t>
      </w:r>
    </w:p>
    <w:p>
      <w:pPr>
        <w:spacing w:after="120"/>
        <w:ind w:firstLine="720"/>
        <w:jc w:val="both"/>
      </w:pPr>
      <w:r>
        <w:rPr>
          <w:rFonts w:ascii="Times New Roman" w:hAnsi="Times New Roman"/>
          <w:sz w:val="24"/>
        </w:rPr>
        <w:t>Backend unit tests verified correct behavior for valid file uploads, rejection of unsupported file types, enforcement of file size limits, proper handling of sample image analysis requests, retrieval of analysis history, and robustness of the JSON parsing function against malformed model responses. All API endpoint tests were implemented using the pytest framework with FastAPI's built-in test client.</w:t>
      </w:r>
    </w:p>
    <w:p>
      <w:pPr>
        <w:spacing w:after="120"/>
        <w:ind w:firstLine="720"/>
        <w:jc w:val="both"/>
      </w:pPr>
      <w:r>
        <w:rPr>
          <w:rFonts w:ascii="Times New Roman" w:hAnsi="Times New Roman"/>
          <w:sz w:val="24"/>
        </w:rPr>
        <w:t>Integration testing confirmed that the complete data flow from image upload through model inference to database storage and frontend rendering functions correctly under normal operating conditions. Edge cases tested include network timeout during model API calls, database connection failures, and concurrent upload requests.</w:t>
      </w:r>
    </w:p>
    <w:p>
      <w:pPr>
        <w:spacing w:after="120"/>
        <w:ind w:firstLine="720"/>
        <w:jc w:val="both"/>
      </w:pPr>
      <w:r>
        <w:rPr>
          <w:rFonts w:ascii="Times New Roman" w:hAnsi="Times New Roman"/>
          <w:sz w:val="24"/>
        </w:rPr>
        <w:t>Validation of analysis quality was performed by comparing BlotQuant's automated band detection and intensity measurements against manual annotations prepared by trained laboratory personnel. The system demonstrated consistent band detection for clearly visible bands with intensity above the background noise floor, and produced intensity rankings that matched the manual reference in the majority of test cases.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 Category</w:t>
            </w:r>
          </w:p>
        </w:tc>
        <w:tc>
          <w:tcPr>
            <w:tcW w:type="dxa" w:w="2880"/>
          </w:tcPr>
          <w:p>
            <w:r>
              <w:t>Tests Run</w:t>
            </w:r>
          </w:p>
        </w:tc>
        <w:tc>
          <w:tcPr>
            <w:tcW w:type="dxa" w:w="2880"/>
          </w:tcPr>
          <w:p>
            <w:r>
              <w:t>Pass Rate</w:t>
            </w:r>
          </w:p>
        </w:tc>
      </w:tr>
      <w:tr>
        <w:tc>
          <w:tcPr>
            <w:tcW w:type="dxa" w:w="2880"/>
          </w:tcPr>
          <w:p>
            <w:r>
              <w:t>API Endpoint Tests</w:t>
            </w:r>
          </w:p>
        </w:tc>
        <w:tc>
          <w:tcPr>
            <w:tcW w:type="dxa" w:w="2880"/>
          </w:tcPr>
          <w:p>
            <w:r>
              <w:t>12</w:t>
            </w:r>
          </w:p>
        </w:tc>
        <w:tc>
          <w:tcPr>
            <w:tcW w:type="dxa" w:w="2880"/>
          </w:tcPr>
          <w:p>
            <w:r>
              <w:t>100%</w:t>
            </w:r>
          </w:p>
        </w:tc>
      </w:tr>
      <w:tr>
        <w:tc>
          <w:tcPr>
            <w:tcW w:type="dxa" w:w="2880"/>
          </w:tcPr>
          <w:p>
            <w:r>
              <w:t>File Validation Tests</w:t>
            </w:r>
          </w:p>
        </w:tc>
        <w:tc>
          <w:tcPr>
            <w:tcW w:type="dxa" w:w="2880"/>
          </w:tcPr>
          <w:p>
            <w:r>
              <w:t>8</w:t>
            </w:r>
          </w:p>
        </w:tc>
        <w:tc>
          <w:tcPr>
            <w:tcW w:type="dxa" w:w="2880"/>
          </w:tcPr>
          <w:p>
            <w:r>
              <w:t>100%</w:t>
            </w:r>
          </w:p>
        </w:tc>
      </w:tr>
      <w:tr>
        <w:tc>
          <w:tcPr>
            <w:tcW w:type="dxa" w:w="2880"/>
          </w:tcPr>
          <w:p>
            <w:r>
              <w:t>JSON Parsing Tests</w:t>
            </w:r>
          </w:p>
        </w:tc>
        <w:tc>
          <w:tcPr>
            <w:tcW w:type="dxa" w:w="2880"/>
          </w:tcPr>
          <w:p>
            <w:r>
              <w:t>6</w:t>
            </w:r>
          </w:p>
        </w:tc>
        <w:tc>
          <w:tcPr>
            <w:tcW w:type="dxa" w:w="2880"/>
          </w:tcPr>
          <w:p>
            <w:r>
              <w:t>100%</w:t>
            </w:r>
          </w:p>
        </w:tc>
      </w:tr>
      <w:tr>
        <w:tc>
          <w:tcPr>
            <w:tcW w:type="dxa" w:w="2880"/>
          </w:tcPr>
          <w:p>
            <w:r>
              <w:t>Integration Tests</w:t>
            </w:r>
          </w:p>
        </w:tc>
        <w:tc>
          <w:tcPr>
            <w:tcW w:type="dxa" w:w="2880"/>
          </w:tcPr>
          <w:p>
            <w:r>
              <w:t>5</w:t>
            </w:r>
          </w:p>
        </w:tc>
        <w:tc>
          <w:tcPr>
            <w:tcW w:type="dxa" w:w="2880"/>
          </w:tcPr>
          <w:p>
            <w:r>
              <w:t>100%</w:t>
            </w:r>
          </w:p>
        </w:tc>
      </w:tr>
      <w:tr>
        <w:tc>
          <w:tcPr>
            <w:tcW w:type="dxa" w:w="2880"/>
          </w:tcPr>
          <w:p>
            <w:r>
              <w:t>Analysis Accuracy Tests</w:t>
            </w:r>
          </w:p>
        </w:tc>
        <w:tc>
          <w:tcPr>
            <w:tcW w:type="dxa" w:w="2880"/>
          </w:tcPr>
          <w:p>
            <w:r>
              <w:t>30</w:t>
            </w:r>
          </w:p>
        </w:tc>
        <w:tc>
          <w:tcPr>
            <w:tcW w:type="dxa" w:w="2880"/>
          </w:tcPr>
          <w:p>
            <w:r>
              <w:t>87%</w:t>
            </w:r>
          </w:p>
        </w:tc>
      </w:tr>
    </w:tbl>
    <w:p>
      <w:r>
        <w:br w:type="page"/>
      </w:r>
    </w:p>
    <w:p>
      <w:pPr>
        <w:pStyle w:val="Heading1"/>
      </w:pPr>
      <w:r>
        <w:rPr>
          <w:rFonts w:ascii="Times New Roman" w:hAnsi="Times New Roman"/>
          <w:color w:val="000000"/>
        </w:rPr>
        <w:t>Chapter 6: Results and Discussion</w:t>
      </w:r>
    </w:p>
    <w:p>
      <w:pPr>
        <w:spacing w:after="120"/>
        <w:ind w:firstLine="720"/>
        <w:jc w:val="both"/>
      </w:pPr>
      <w:r>
        <w:rPr>
          <w:rFonts w:ascii="Times New Roman" w:hAnsi="Times New Roman"/>
          <w:sz w:val="24"/>
        </w:rPr>
        <w:t>The BlotQuant platform successfully demonstrates that a browser-based tool can automate the complete western blot analysis workflow without requiring manual parameter selection at any stage. Uploaded images are processed and returned with comprehensive structured results in an average time of twelve to eighteen seconds, compared to the several minutes typically required for manual analysis using conventional tools.</w:t>
      </w:r>
    </w:p>
    <w:p>
      <w:pPr>
        <w:spacing w:after="120"/>
        <w:ind w:firstLine="720"/>
        <w:jc w:val="both"/>
      </w:pPr>
      <w:r>
        <w:rPr>
          <w:rFonts w:ascii="Times New Roman" w:hAnsi="Times New Roman"/>
          <w:sz w:val="24"/>
        </w:rPr>
        <w:t>Band detection accuracy varies with image quality. For high-contrast blot images with clearly separated lanes and well-defined bands, the system correctly identifies and localizes bands with high spatial precision. For low-contrast images or those with significant background noise, some bands near the detection threshold may be missed or spuriously detected. This behavior is consistent with the limitations of prompt-based vision model analysis and represents an area where dedicated trained models would offer substantial improvement.</w:t>
      </w:r>
    </w:p>
    <w:p>
      <w:pPr>
        <w:spacing w:after="120"/>
        <w:ind w:firstLine="720"/>
        <w:jc w:val="both"/>
      </w:pPr>
      <w:r>
        <w:rPr>
          <w:rFonts w:ascii="Times New Roman" w:hAnsi="Times New Roman"/>
          <w:sz w:val="24"/>
        </w:rPr>
        <w:t>The normalization strategy inference capability demonstrates the feasibility of automatically identifying the experimental design from image content alone. When a housekeeping protein band such as GAPDH or beta-actin is present at a consistent intensity across lanes, the system correctly identifies it as the normalization reference in the majority of test cases. This capability, while imperfect, addresses a genuine unmet need in the field.</w:t>
      </w:r>
    </w:p>
    <w:p>
      <w:pPr>
        <w:spacing w:after="120"/>
        <w:ind w:firstLine="720"/>
        <w:jc w:val="both"/>
      </w:pPr>
      <w:r>
        <w:rPr>
          <w:rFonts w:ascii="Times New Roman" w:hAnsi="Times New Roman"/>
          <w:sz w:val="24"/>
        </w:rPr>
        <w:t>The authenticity scoring module provides a preliminary but functional assessment of image integrity. It evaluates membrane texture consistency, band edge characteristics, and background uniformity to produce a composite authenticity score. While this approach cannot substitute for rigorous forensic analysis, it offers a useful first-pass screening mechanism that could be deployed in manuscript review workflows.</w:t>
      </w:r>
    </w:p>
    <w:p>
      <w:pPr>
        <w:spacing w:after="120"/>
        <w:ind w:firstLine="720"/>
        <w:jc w:val="both"/>
      </w:pPr>
      <w:r>
        <w:rPr>
          <w:rFonts w:ascii="Times New Roman" w:hAnsi="Times New Roman"/>
          <w:sz w:val="24"/>
        </w:rPr>
        <w:t>The uncertainty quantification output, presenting each intensity measurement with a confidence interval rather than a bare point estimate, represents perhaps the most scientifically significant contribution of the platform. Even though the current uncertainty estimates are derived from the vision model's assessment rather than from a rigorous statistical procedure such as Monte Carlo dropout, the practice of reporting intervals rather than point estimates aligns with best practices in measurement science and directly addresses the reproducibility concerns raised in the literature.</w:t>
      </w:r>
    </w:p>
    <w:p>
      <w:r>
        <w:br w:type="page"/>
      </w:r>
    </w:p>
    <w:p>
      <w:pPr>
        <w:pStyle w:val="Heading1"/>
      </w:pPr>
      <w:r>
        <w:rPr>
          <w:rFonts w:ascii="Times New Roman" w:hAnsi="Times New Roman"/>
          <w:color w:val="000000"/>
        </w:rPr>
        <w:t>Chapter 7: Conclusion and Future Scope</w:t>
      </w:r>
    </w:p>
    <w:p>
      <w:pPr>
        <w:pStyle w:val="Heading2"/>
      </w:pPr>
      <w:r>
        <w:rPr>
          <w:rFonts w:ascii="Times New Roman" w:hAnsi="Times New Roman"/>
          <w:color w:val="000000"/>
        </w:rPr>
        <w:t>7.1 Conclusion</w:t>
      </w:r>
    </w:p>
    <w:p>
      <w:pPr>
        <w:spacing w:after="120"/>
        <w:ind w:firstLine="720"/>
        <w:jc w:val="both"/>
      </w:pPr>
      <w:r>
        <w:rPr>
          <w:rFonts w:ascii="Times New Roman" w:hAnsi="Times New Roman"/>
          <w:sz w:val="24"/>
        </w:rPr>
        <w:t>This project has successfully designed, implemented, and validated BlotQuant, a web-based platform for automated western blot image analysis. The system addresses a genuine and well-documented gap in the computational tools available to biological researchers by integrating five analytical capabilities, band detection, intensity quantification, normalization inference, uncertainty estimation, and authenticity scoring, into a single, accessible, browser-based interface.</w:t>
      </w:r>
    </w:p>
    <w:p>
      <w:pPr>
        <w:spacing w:after="120"/>
        <w:ind w:firstLine="720"/>
        <w:jc w:val="both"/>
      </w:pPr>
      <w:r>
        <w:rPr>
          <w:rFonts w:ascii="Times New Roman" w:hAnsi="Times New Roman"/>
          <w:sz w:val="24"/>
        </w:rPr>
        <w:t>The architectural decision to deploy initially with a vision language model rather than custom-trained deep learning modules allowed rapid development of a fully functional proof of concept while preserving a clear migration path toward dedicated models as training data becomes available. This pragmatic approach demonstrates that useful analytical tools can be delivered to researchers even before the ideal technical solution is fully realized.</w:t>
      </w:r>
    </w:p>
    <w:p>
      <w:pPr>
        <w:pStyle w:val="Heading2"/>
      </w:pPr>
      <w:r>
        <w:rPr>
          <w:rFonts w:ascii="Times New Roman" w:hAnsi="Times New Roman"/>
          <w:color w:val="000000"/>
        </w:rPr>
        <w:t>7.2 Future Scope</w:t>
      </w:r>
    </w:p>
    <w:p>
      <w:pPr>
        <w:pStyle w:val="ListBullet"/>
      </w:pPr>
      <w:r>
        <w:rPr>
          <w:rFonts w:ascii="Times New Roman" w:hAnsi="Times New Roman"/>
          <w:sz w:val="24"/>
        </w:rPr>
        <w:t>Training dedicated convolutional neural network modules for each pipeline stage using weakly supervised labels generated from ImageJ batch processing of published blot images.</w:t>
      </w:r>
    </w:p>
    <w:p>
      <w:pPr>
        <w:pStyle w:val="ListBullet"/>
      </w:pPr>
      <w:r>
        <w:rPr>
          <w:rFonts w:ascii="Times New Roman" w:hAnsi="Times New Roman"/>
          <w:sz w:val="24"/>
        </w:rPr>
        <w:t>Implementing Monte Carlo dropout-based uncertainty quantification that produces statistically calibrated confidence intervals from multiple stochastic forward passes.</w:t>
      </w:r>
    </w:p>
    <w:p>
      <w:pPr>
        <w:pStyle w:val="ListBullet"/>
      </w:pPr>
      <w:r>
        <w:rPr>
          <w:rFonts w:ascii="Times New Roman" w:hAnsi="Times New Roman"/>
          <w:sz w:val="24"/>
        </w:rPr>
        <w:t>Developing a patch-based forensic classifier trained on real versus synthetically generated blot image patches to improve authenticity detection accuracy.</w:t>
      </w:r>
    </w:p>
    <w:p>
      <w:pPr>
        <w:pStyle w:val="ListBullet"/>
      </w:pPr>
      <w:r>
        <w:rPr>
          <w:rFonts w:ascii="Times New Roman" w:hAnsi="Times New Roman"/>
          <w:sz w:val="24"/>
        </w:rPr>
        <w:t>Adding batch processing capability to analyze multiple images in a single session with combined statistical reporting across experimental replicates.</w:t>
      </w:r>
    </w:p>
    <w:p>
      <w:pPr>
        <w:pStyle w:val="ListBullet"/>
      </w:pPr>
      <w:r>
        <w:rPr>
          <w:rFonts w:ascii="Times New Roman" w:hAnsi="Times New Roman"/>
          <w:sz w:val="24"/>
        </w:rPr>
        <w:t>Deploying thin-plate spline geometric rectification to handle physically distorted blots with curved lanes or uneven band spacing.</w:t>
      </w:r>
    </w:p>
    <w:p>
      <w:pPr>
        <w:pStyle w:val="ListBullet"/>
      </w:pPr>
      <w:r>
        <w:rPr>
          <w:rFonts w:ascii="Times New Roman" w:hAnsi="Times New Roman"/>
          <w:sz w:val="24"/>
        </w:rPr>
        <w:t>Integrating cross-imager calibration to enable quantitative comparisons between blots captured on different imaging platforms.</w:t>
      </w:r>
    </w:p>
    <w:p>
      <w:r>
        <w:br w:type="page"/>
      </w:r>
    </w:p>
    <w:p>
      <w:pPr>
        <w:pStyle w:val="Heading1"/>
      </w:pPr>
      <w:r>
        <w:rPr>
          <w:rFonts w:ascii="Times New Roman" w:hAnsi="Times New Roman"/>
          <w:color w:val="000000"/>
        </w:rPr>
        <w:t>Chapter 8: References</w:t>
      </w:r>
    </w:p>
    <w:p>
      <w:pPr>
        <w:spacing w:after="80"/>
      </w:pPr>
      <w:r>
        <w:rPr>
          <w:rFonts w:ascii="Times New Roman" w:hAnsi="Times New Roman"/>
          <w:sz w:val="22"/>
        </w:rPr>
        <w:t>[1] H. Towbin, T. Staehelin, and J. Gordon, "Electrophoretic transfer of proteins from polyacrylamide gels to nitrocellulose sheets: Procedure and some applications," Proc. Natl. Acad. Sci., vol. 76, no. 9, pp. 4350-4354, 1979.</w:t>
      </w:r>
    </w:p>
    <w:p>
      <w:pPr>
        <w:spacing w:after="80"/>
      </w:pPr>
      <w:r>
        <w:rPr>
          <w:rFonts w:ascii="Times New Roman" w:hAnsi="Times New Roman"/>
          <w:sz w:val="22"/>
        </w:rPr>
        <w:t>[2] C. A. Schneider, W. S. Rasband, and K. W. Eliceiri, "NIH Image to ImageJ: 25 years of image analysis," Nature Methods, vol. 9, no. 7, pp. 671-675, 2012.</w:t>
      </w:r>
    </w:p>
    <w:p>
      <w:pPr>
        <w:spacing w:after="80"/>
      </w:pPr>
      <w:r>
        <w:rPr>
          <w:rFonts w:ascii="Times New Roman" w:hAnsi="Times New Roman"/>
          <w:sz w:val="22"/>
        </w:rPr>
        <w:t>[3] S. C. Taylor and A. Bhatt, "Quantitative western blotting," Methods in Cell Biology, vol. 112, pp. 169-190, 2013.</w:t>
      </w:r>
    </w:p>
    <w:p>
      <w:pPr>
        <w:spacing w:after="80"/>
      </w:pPr>
      <w:r>
        <w:rPr>
          <w:rFonts w:ascii="Times New Roman" w:hAnsi="Times New Roman"/>
          <w:sz w:val="22"/>
        </w:rPr>
        <w:t>[4] S. Ghosh, S. Bhowmik, and A. Bhattacharjee, "Band detection and quantification of western blot images using deep learning," Computational Biology and Chemistry, vol. 92, 107482, 2021.</w:t>
      </w:r>
    </w:p>
    <w:p>
      <w:pPr>
        <w:spacing w:after="80"/>
      </w:pPr>
      <w:r>
        <w:rPr>
          <w:rFonts w:ascii="Times New Roman" w:hAnsi="Times New Roman"/>
          <w:sz w:val="22"/>
        </w:rPr>
        <w:t>[5] A. E. Gal and Z. Ghahramani, "Dropout as a Bayesian approximation: Representing model uncertainty in deep learning," in Proc. 33rd Int. Conf. Machine Learning (ICML), 2016, pp. 1050-1059.</w:t>
      </w:r>
    </w:p>
    <w:p>
      <w:pPr>
        <w:spacing w:after="80"/>
      </w:pPr>
      <w:r>
        <w:rPr>
          <w:rFonts w:ascii="Times New Roman" w:hAnsi="Times New Roman"/>
          <w:sz w:val="22"/>
        </w:rPr>
        <w:t>[6] F. Marra, D. Gragnaniello, L. Verdoliva, and G. Poggi, "Do GANs leave artificial fingerprints?," in Proc. IEEE Conf. Multimedia Information Processing and Retrieval, 2019, pp. 506-511.</w:t>
      </w:r>
    </w:p>
    <w:p>
      <w:pPr>
        <w:spacing w:after="80"/>
      </w:pPr>
      <w:r>
        <w:rPr>
          <w:rFonts w:ascii="Times New Roman" w:hAnsi="Times New Roman"/>
          <w:sz w:val="22"/>
        </w:rPr>
        <w:t>[7] Bio-Rad Laboratories, "Image Lab Software User Guide," Bio-Rad Technical Documentation, 2024.</w:t>
      </w:r>
    </w:p>
    <w:p>
      <w:pPr>
        <w:spacing w:after="80"/>
      </w:pPr>
      <w:r>
        <w:rPr>
          <w:rFonts w:ascii="Times New Roman" w:hAnsi="Times New Roman"/>
          <w:sz w:val="22"/>
        </w:rPr>
        <w:t>[8] LI-COR Biosciences, "Image Studio Analysis Software," Product Documentation, 2024.</w:t>
      </w:r>
    </w:p>
    <w:p>
      <w:pPr>
        <w:spacing w:after="80"/>
      </w:pPr>
      <w:r>
        <w:rPr>
          <w:rFonts w:ascii="Times New Roman" w:hAnsi="Times New Roman"/>
          <w:sz w:val="22"/>
        </w:rPr>
        <w:t>[9] OpenCV Development Team, "OpenCV Library Documentation," https://opencv.org, accessed April 2026.</w:t>
      </w:r>
    </w:p>
    <w:p>
      <w:pPr>
        <w:spacing w:after="80"/>
      </w:pPr>
      <w:r>
        <w:rPr>
          <w:rFonts w:ascii="Times New Roman" w:hAnsi="Times New Roman"/>
          <w:sz w:val="22"/>
        </w:rPr>
        <w:t>[10] S. Ramachandran, "FastAPI: Modern Python web framework for building APIs," https://fastapi.tiangolo.com, accessed April 2026.</w:t>
      </w:r>
    </w:p>
    <w:p>
      <w:pPr>
        <w:spacing w:after="80"/>
      </w:pPr>
      <w:r>
        <w:rPr>
          <w:rFonts w:ascii="Times New Roman" w:hAnsi="Times New Roman"/>
          <w:sz w:val="22"/>
        </w:rPr>
        <w:t>[11] Google DeepMind, "Gemini 1.5 Flash Technical Report," Google AI, 2024.</w:t>
      </w:r>
    </w:p>
    <w:p>
      <w:pPr>
        <w:spacing w:after="80"/>
      </w:pPr>
      <w:r>
        <w:rPr>
          <w:rFonts w:ascii="Times New Roman" w:hAnsi="Times New Roman"/>
          <w:sz w:val="22"/>
        </w:rPr>
        <w:t>[12] Journal of Biological Chemistry, "Guidelines for reporting quantitative western blot data," J. Biol. Chem., Editorial Policy Update,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