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jc w:val="center"/>
      </w:pPr>
      <w:r>
        <w:rPr>
          <w:rFonts w:ascii="Arial" w:cs="Arial" w:eastAsia="Arial" w:hAnsi="Arial"/>
          <w:b/>
          <w:bCs/>
          <w:color w:val="0F52BA"/>
          <w:sz w:val="64"/>
          <w:szCs w:val="64"/>
        </w:rPr>
        <w:t xml:space="preserve">BlotQuant</w:t>
      </w:r>
    </w:p>
    <w:p>
      <w:pPr>
        <w:spacing w:before="80" w:after="0"/>
        <w:jc w:val="center"/>
      </w:pPr>
      <w:r>
        <w:rPr>
          <w:rFonts w:ascii="Arial" w:cs="Arial" w:eastAsia="Arial" w:hAnsi="Arial"/>
          <w:color w:val="475569"/>
          <w:sz w:val="32"/>
          <w:szCs w:val="32"/>
        </w:rPr>
        <w:t xml:space="preserve">Western Blot Band Quantifier</w:t>
      </w:r>
    </w:p>
    <w:p>
      <w:pPr>
        <w:spacing w:before="40" w:after="480"/>
        <w:jc w:val="center"/>
      </w:pPr>
      <w:r>
        <w:rPr>
          <w:rFonts w:ascii="Arial" w:cs="Arial" w:eastAsia="Arial" w:hAnsi="Arial"/>
          <w:color w:val="475569"/>
          <w:sz w:val="22"/>
          <w:szCs w:val="22"/>
        </w:rPr>
        <w:t xml:space="preserve">Project Research &amp; Technical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EFF4FF" w:val="clear"/>
            <w:tcMar>
              <w:top w:type="dxa" w:w="100"/>
              <w:left w:type="dxa" w:w="120"/>
              <w:bottom w:type="dxa" w:w="100"/>
              <w:right w:type="dxa" w:w="120"/>
            </w:tcMar>
          </w:tcPr>
          <w:p>
            <w:pPr>
              <w:jc w:val="center"/>
            </w:pPr>
            <w:r>
              <w:rPr>
                <w:rFonts w:ascii="Arial" w:cs="Arial" w:eastAsia="Arial" w:hAnsi="Arial"/>
                <w:b/>
                <w:bCs/>
                <w:color w:val="0F52BA"/>
                <w:sz w:val="20"/>
                <w:szCs w:val="20"/>
              </w:rPr>
              <w:t xml:space="preserve">Deep Learning</w:t>
            </w:r>
          </w:p>
        </w:tc>
        <w:tc>
          <w:tcPr>
            <w:tcBorders>
              <w:top w:val="none" w:color="FFFFFF" w:sz="0"/>
              <w:left w:val="none" w:color="FFFFFF" w:sz="0"/>
              <w:bottom w:val="none" w:color="FFFFFF" w:sz="0"/>
              <w:right w:val="none" w:color="FFFFFF" w:sz="0"/>
            </w:tcBorders>
            <w:shd w:fill="ECFDF5" w:val="clear"/>
            <w:tcMar>
              <w:top w:type="dxa" w:w="100"/>
              <w:left w:type="dxa" w:w="120"/>
              <w:bottom w:type="dxa" w:w="100"/>
              <w:right w:type="dxa" w:w="120"/>
            </w:tcMar>
          </w:tcPr>
          <w:p>
            <w:pPr>
              <w:jc w:val="center"/>
            </w:pPr>
            <w:r>
              <w:rPr>
                <w:rFonts w:ascii="Arial" w:cs="Arial" w:eastAsia="Arial" w:hAnsi="Arial"/>
                <w:b/>
                <w:bCs/>
                <w:color w:val="065F46"/>
                <w:sz w:val="20"/>
                <w:szCs w:val="20"/>
              </w:rPr>
              <w:t xml:space="preserve">Gemini Vision</w:t>
            </w:r>
          </w:p>
        </w:tc>
        <w:tc>
          <w:tcPr>
            <w:tcBorders>
              <w:top w:val="none" w:color="FFFFFF" w:sz="0"/>
              <w:left w:val="none" w:color="FFFFFF" w:sz="0"/>
              <w:bottom w:val="none" w:color="FFFFFF" w:sz="0"/>
              <w:right w:val="none" w:color="FFFFFF" w:sz="0"/>
            </w:tcBorders>
            <w:shd w:fill="FFFBEB" w:val="clear"/>
            <w:tcMar>
              <w:top w:type="dxa" w:w="100"/>
              <w:left w:type="dxa" w:w="120"/>
              <w:bottom w:type="dxa" w:w="100"/>
              <w:right w:type="dxa" w:w="120"/>
            </w:tcMar>
          </w:tcPr>
          <w:p>
            <w:pPr>
              <w:jc w:val="center"/>
            </w:pPr>
            <w:r>
              <w:rPr>
                <w:rFonts w:ascii="Arial" w:cs="Arial" w:eastAsia="Arial" w:hAnsi="Arial"/>
                <w:b/>
                <w:bCs/>
                <w:color w:val="92400E"/>
                <w:sz w:val="20"/>
                <w:szCs w:val="20"/>
              </w:rPr>
              <w:t xml:space="preserve">FastAPI + React</w:t>
            </w:r>
          </w:p>
        </w:tc>
        <w:tc>
          <w:tcPr>
            <w:tcBorders>
              <w:top w:val="none" w:color="FFFFFF" w:sz="0"/>
              <w:left w:val="none" w:color="FFFFFF" w:sz="0"/>
              <w:bottom w:val="none" w:color="FFFFFF" w:sz="0"/>
              <w:right w:val="none" w:color="FFFFFF" w:sz="0"/>
            </w:tcBorders>
            <w:shd w:fill="FEF2F2" w:val="clear"/>
            <w:tcMar>
              <w:top w:type="dxa" w:w="100"/>
              <w:left w:type="dxa" w:w="120"/>
              <w:bottom w:type="dxa" w:w="100"/>
              <w:right w:type="dxa" w:w="120"/>
            </w:tcMar>
          </w:tcPr>
          <w:p>
            <w:pPr>
              <w:jc w:val="center"/>
            </w:pPr>
            <w:r>
              <w:rPr>
                <w:rFonts w:ascii="Arial" w:cs="Arial" w:eastAsia="Arial" w:hAnsi="Arial"/>
                <w:b/>
                <w:bCs/>
                <w:color w:val="991B1B"/>
                <w:sz w:val="20"/>
                <w:szCs w:val="20"/>
              </w:rPr>
              <w:t xml:space="preserve">Hardware-Free</w:t>
            </w:r>
          </w:p>
        </w:tc>
      </w:tr>
    </w:tbl>
    <w:p>
      <w:pPr>
        <w:spacing w:before="480" w:after="0"/>
      </w:pPr>
      <w:r>
        <w:rPr>
          <w:rFonts w:ascii="Arial" w:cs="Arial" w:eastAsia="Arial" w:hAnsi="Arial"/>
          <w:sz w:val="22"/>
          <w:szCs w:val="22"/>
        </w:rPr>
        <w:t xml:space="preserve"/>
      </w:r>
    </w:p>
    <w:p>
      <w:pPr>
        <w:pStyle w:val="Heading1"/>
        <w:pBdr>
          <w:bottom w:val="single" w:color="0F52BA" w:sz="8" w:space="8"/>
        </w:pBdr>
        <w:spacing w:before="480" w:after="160"/>
      </w:pPr>
      <w:r>
        <w:rPr>
          <w:rFonts w:ascii="Arial" w:cs="Arial" w:eastAsia="Arial" w:hAnsi="Arial"/>
          <w:b/>
          <w:bCs/>
          <w:color w:val="0F52BA"/>
          <w:sz w:val="36"/>
          <w:szCs w:val="36"/>
        </w:rPr>
        <w:t xml:space="preserve">1.  Project Overview</w:t>
      </w:r>
    </w:p>
    <w:p>
      <w:pPr>
        <w:spacing w:before="0" w:after="160"/>
      </w:pPr>
      <w:r>
        <w:rPr>
          <w:rFonts w:ascii="Arial" w:cs="Arial" w:eastAsia="Arial" w:hAnsi="Arial"/>
          <w:color w:val="1E293B"/>
          <w:sz w:val="22"/>
          <w:szCs w:val="22"/>
        </w:rPr>
        <w:t xml:space="preserve">BlotQuant is an end-to-end, hardware-agnostic deep learning pipeline for automated western blot band quantification. It takes any JPEG or PNG western blot image as input and produces calibrated band intensity values, uncertainty estimates, normalization strategy inference, and an authenticity score — all without requiring specialized imaging hardware or manual interaction with ImageJ.</w:t>
      </w:r>
    </w:p>
    <w:p>
      <w:pPr>
        <w:spacing w:before="120" w:after="0"/>
      </w:pPr>
      <w:r>
        <w:rPr>
          <w:rFonts w:ascii="Arial" w:cs="Arial" w:eastAsia="Arial" w:hAnsi="Arial"/>
          <w:sz w:val="22"/>
          <w:szCs w:val="22"/>
        </w:rPr>
        <w:t xml:space="preserve"/>
      </w:r>
    </w:p>
    <w:p>
      <w:pPr>
        <w:spacing w:before="0" w:after="160"/>
      </w:pPr>
      <w:r>
        <w:rPr>
          <w:rFonts w:ascii="Arial" w:cs="Arial" w:eastAsia="Arial" w:hAnsi="Arial"/>
          <w:color w:val="1E293B"/>
          <w:sz w:val="22"/>
          <w:szCs w:val="22"/>
        </w:rPr>
        <w:t xml:space="preserve">The project addresses one of the most persistent sources of irreproducibility in biomedical research: the manual, operator-dependent quantification of protein bands following gel electrophoresis. Current tools either require expensive proprietary hardware or still depend on researchers manually drawing bounding boxes and selecting background regions in ageing desktop software.</w:t>
      </w:r>
    </w:p>
    <w:p>
      <w:pPr>
        <w:spacing w:before="120" w:after="0"/>
      </w:pPr>
      <w:r>
        <w:rPr>
          <w:rFonts w:ascii="Arial" w:cs="Arial" w:eastAsia="Arial" w:hAnsi="Arial"/>
          <w:sz w:val="22"/>
          <w:szCs w:val="22"/>
        </w:rPr>
        <w:t xml:space="preserve"/>
      </w:r>
    </w:p>
    <w:p>
      <w:pPr>
        <w:pStyle w:val="Heading1"/>
        <w:pBdr>
          <w:bottom w:val="single" w:color="0F52BA" w:sz="8" w:space="8"/>
        </w:pBdr>
        <w:spacing w:before="480" w:after="160"/>
      </w:pPr>
      <w:r>
        <w:rPr>
          <w:rFonts w:ascii="Arial" w:cs="Arial" w:eastAsia="Arial" w:hAnsi="Arial"/>
          <w:b/>
          <w:bCs/>
          <w:color w:val="0F52BA"/>
          <w:sz w:val="36"/>
          <w:szCs w:val="36"/>
        </w:rPr>
        <w:t xml:space="preserve">2.  Problem Statement</w:t>
      </w:r>
    </w:p>
    <w:p>
      <w:pPr>
        <w:pStyle w:val="Heading2"/>
        <w:spacing w:before="360" w:after="120"/>
      </w:pPr>
      <w:r>
        <w:rPr>
          <w:rFonts w:ascii="Arial" w:cs="Arial" w:eastAsia="Arial" w:hAnsi="Arial"/>
          <w:b/>
          <w:bCs/>
          <w:color w:val="1E293B"/>
          <w:sz w:val="28"/>
          <w:szCs w:val="28"/>
        </w:rPr>
        <w:t xml:space="preserve">2.1  What is a Western Blot?</w:t>
      </w:r>
    </w:p>
    <w:p>
      <w:pPr>
        <w:spacing w:before="0" w:after="160"/>
      </w:pPr>
      <w:r>
        <w:rPr>
          <w:rFonts w:ascii="Arial" w:cs="Arial" w:eastAsia="Arial" w:hAnsi="Arial"/>
          <w:color w:val="1E293B"/>
          <w:sz w:val="22"/>
          <w:szCs w:val="22"/>
        </w:rPr>
        <w:t xml:space="preserve">A western blot is one of the most fundamental protein detection assays in molecular biology. A protein mixture is separated by size on a gel, transferred to a membrane, and then probed with antibodies that bind to the target protein. The result is a series of dark bands on a white membrane — each band represents a protein, and its darkness and thickness correspond to protein abundance.</w:t>
      </w:r>
    </w:p>
    <w:p>
      <w:pPr>
        <w:spacing w:before="120" w:after="0"/>
      </w:pPr>
      <w:r>
        <w:rPr>
          <w:rFonts w:ascii="Arial" w:cs="Arial" w:eastAsia="Arial" w:hAnsi="Arial"/>
          <w:sz w:val="22"/>
          <w:szCs w:val="22"/>
        </w:rPr>
        <w:t xml:space="preserve"/>
      </w:r>
    </w:p>
    <w:p>
      <w:pPr>
        <w:spacing w:before="0" w:after="160"/>
      </w:pPr>
      <w:r>
        <w:rPr>
          <w:rFonts w:ascii="Arial" w:cs="Arial" w:eastAsia="Arial" w:hAnsi="Arial"/>
          <w:color w:val="1E293B"/>
          <w:sz w:val="22"/>
          <w:szCs w:val="22"/>
        </w:rPr>
        <w:t xml:space="preserve">Western blots are performed daily in every molecular biology, drug discovery, cancer research, immunology, and neuroscience lab in the world. Estimates suggest tens of millions of blots are run globally each year.</w:t>
      </w:r>
    </w:p>
    <w:p>
      <w:pPr>
        <w:spacing w:before="12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293B"/>
          <w:sz w:val="28"/>
          <w:szCs w:val="28"/>
        </w:rPr>
        <w:t xml:space="preserve">2.2  The Manual Quantification Problem</w:t>
      </w:r>
    </w:p>
    <w:p>
      <w:pPr>
        <w:spacing w:before="0" w:after="160"/>
      </w:pPr>
      <w:r>
        <w:rPr>
          <w:rFonts w:ascii="Arial" w:cs="Arial" w:eastAsia="Arial" w:hAnsi="Arial"/>
          <w:color w:val="1E293B"/>
          <w:sz w:val="22"/>
          <w:szCs w:val="22"/>
        </w:rPr>
        <w:t xml:space="preserve">After running the blot, researchers must quantify each band — measure its intensity relative to a reference to infer protein expression levels. The current standard workflow is:</w:t>
      </w:r>
    </w:p>
    <w:p>
      <w:pPr>
        <w:spacing w:before="80" w:after="0"/>
      </w:pPr>
      <w:r>
        <w:rPr>
          <w:rFonts w:ascii="Arial" w:cs="Arial" w:eastAsia="Arial" w:hAnsi="Arial"/>
          <w:sz w:val="22"/>
          <w:szCs w:val="22"/>
        </w:rPr>
        <w:t xml:space="preserve"/>
      </w:r>
    </w:p>
    <w:p>
      <w:pPr>
        <w:pStyle w:val="ListParagraph"/>
        <w:numPr>
          <w:ilvl w:val="0"/>
          <w:numId w:val="2"/>
        </w:numPr>
        <w:spacing w:before="0" w:after="80"/>
      </w:pPr>
      <w:r>
        <w:rPr>
          <w:rFonts w:ascii="Arial" w:cs="Arial" w:eastAsia="Arial" w:hAnsi="Arial"/>
          <w:color w:val="1E293B"/>
          <w:sz w:val="22"/>
          <w:szCs w:val="22"/>
        </w:rPr>
        <w:t xml:space="preserve">Open ImageJ, a 30-year-old Java desktop application</w:t>
      </w:r>
    </w:p>
    <w:p>
      <w:pPr>
        <w:pStyle w:val="ListParagraph"/>
        <w:numPr>
          <w:ilvl w:val="0"/>
          <w:numId w:val="2"/>
        </w:numPr>
        <w:spacing w:before="0" w:after="80"/>
      </w:pPr>
      <w:r>
        <w:rPr>
          <w:rFonts w:ascii="Arial" w:cs="Arial" w:eastAsia="Arial" w:hAnsi="Arial"/>
          <w:color w:val="1E293B"/>
          <w:sz w:val="22"/>
          <w:szCs w:val="22"/>
        </w:rPr>
        <w:t xml:space="preserve">Manually draw a rectangle around each lane</w:t>
      </w:r>
    </w:p>
    <w:p>
      <w:pPr>
        <w:pStyle w:val="ListParagraph"/>
        <w:numPr>
          <w:ilvl w:val="0"/>
          <w:numId w:val="2"/>
        </w:numPr>
        <w:spacing w:before="0" w:after="80"/>
      </w:pPr>
      <w:r>
        <w:rPr>
          <w:rFonts w:ascii="Arial" w:cs="Arial" w:eastAsia="Arial" w:hAnsi="Arial"/>
          <w:color w:val="1E293B"/>
          <w:sz w:val="22"/>
          <w:szCs w:val="22"/>
        </w:rPr>
        <w:t xml:space="preserve">Manually select background regions and choose a subtraction method</w:t>
      </w:r>
    </w:p>
    <w:p>
      <w:pPr>
        <w:pStyle w:val="ListParagraph"/>
        <w:numPr>
          <w:ilvl w:val="0"/>
          <w:numId w:val="2"/>
        </w:numPr>
        <w:spacing w:before="0" w:after="80"/>
      </w:pPr>
      <w:r>
        <w:rPr>
          <w:rFonts w:ascii="Arial" w:cs="Arial" w:eastAsia="Arial" w:hAnsi="Arial"/>
          <w:color w:val="1E293B"/>
          <w:sz w:val="22"/>
          <w:szCs w:val="22"/>
        </w:rPr>
        <w:t xml:space="preserve">Read off pixel intensity values and copy into Excel</w:t>
      </w:r>
    </w:p>
    <w:p>
      <w:pPr>
        <w:pStyle w:val="ListParagraph"/>
        <w:numPr>
          <w:ilvl w:val="0"/>
          <w:numId w:val="2"/>
        </w:numPr>
        <w:spacing w:before="0" w:after="80"/>
      </w:pPr>
      <w:r>
        <w:rPr>
          <w:rFonts w:ascii="Arial" w:cs="Arial" w:eastAsia="Arial" w:hAnsi="Arial"/>
          <w:color w:val="1E293B"/>
          <w:sz w:val="22"/>
          <w:szCs w:val="22"/>
        </w:rPr>
        <w:t xml:space="preserve">Manually decide whether to normalize against GAPDH, beta-actin, or total protein stain</w:t>
      </w:r>
    </w:p>
    <w:p>
      <w:pPr>
        <w:spacing w:before="120" w:after="0"/>
      </w:pPr>
      <w:r>
        <w:rPr>
          <w:rFonts w:ascii="Arial" w:cs="Arial" w:eastAsia="Arial" w:hAnsi="Arial"/>
          <w:sz w:val="22"/>
          <w:szCs w:val="22"/>
        </w:rPr>
        <w:t xml:space="preserve"/>
      </w:r>
    </w:p>
    <w:p>
      <w:pPr>
        <w:spacing w:before="0" w:after="160"/>
      </w:pPr>
      <w:r>
        <w:rPr>
          <w:rFonts w:ascii="Arial" w:cs="Arial" w:eastAsia="Arial" w:hAnsi="Arial"/>
          <w:color w:val="1E293B"/>
          <w:sz w:val="22"/>
          <w:szCs w:val="22"/>
        </w:rPr>
        <w:t xml:space="preserve">This workflow takes 30 to 60 minutes per blot, is heavily operator-dependent, and is a well-documented source of irreproducibility. A Bio-Rad survey found that nearly half of researchers report blots fail at least a quarter of the time, and seven out of ten who measured variation found their results were not reproducible.</w:t>
      </w:r>
    </w:p>
    <w:p>
      <w:pPr>
        <w:spacing w:before="12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52BA" w:sz="24"/>
              <w:bottom w:val="none" w:color="FFFFFF" w:sz="0"/>
              <w:right w:val="none" w:color="FFFFFF" w:sz="0"/>
            </w:tcBorders>
            <w:shd w:fill="EFF4FF" w:val="clear"/>
            <w:tcMar>
              <w:top w:type="dxa" w:w="120"/>
              <w:left w:type="dxa" w:w="200"/>
              <w:bottom w:type="dxa" w:w="120"/>
              <w:right w:type="dxa" w:w="200"/>
            </w:tcMar>
          </w:tcPr>
          <w:p>
            <w:r>
              <w:rPr>
                <w:rFonts w:ascii="Arial" w:cs="Arial" w:eastAsia="Arial" w:hAnsi="Arial"/>
                <w:b/>
                <w:bCs/>
                <w:color w:val="0F52BA"/>
                <w:sz w:val="22"/>
                <w:szCs w:val="22"/>
              </w:rPr>
              <w:t xml:space="preserve">Key Statistic:  </w:t>
            </w:r>
            <w:r>
              <w:rPr>
                <w:rFonts w:ascii="Arial" w:cs="Arial" w:eastAsia="Arial" w:hAnsi="Arial"/>
                <w:color w:val="1E293B"/>
                <w:sz w:val="22"/>
                <w:szCs w:val="22"/>
              </w:rPr>
              <w:t xml:space="preserve">Two researchers independently quantifying the same blot routinely arrive at meaningfully different numerical conclusions — a 20% difference in measured protein expression can change whether a drug candidate advances or a paper's conclusion holds.</w:t>
            </w:r>
          </w:p>
        </w:tc>
      </w:tr>
    </w:tbl>
    <w:p>
      <w:pPr>
        <w:spacing w:before="12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293B"/>
          <w:sz w:val="28"/>
          <w:szCs w:val="28"/>
        </w:rPr>
        <w:t xml:space="preserve">2.3  Why Existing Tools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Why it fails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ImageJ</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Manual pixel measurement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Fully operator-dependent; subjective background selection; 30-60 min per blot</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Bio-Rad Image Lab</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Semi-automated detection</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Locked to Bio-Rad hardware ecosystem; costs thousands of dollars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JESS Simple Western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Full automation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Requires $50,000+ proprietary capillary platform; replaces the entire workflow</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GPT-4 / Gemini (prompted)</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Qualitative description</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Not trained on blot physics; confabulates intensity values; no uncertainty output</w:t>
            </w:r>
          </w:p>
        </w:tc>
      </w:tr>
    </w:tbl>
    <w:p>
      <w:pPr>
        <w:spacing w:before="120" w:after="0"/>
      </w:pPr>
      <w:r>
        <w:rPr>
          <w:rFonts w:ascii="Arial" w:cs="Arial" w:eastAsia="Arial" w:hAnsi="Arial"/>
          <w:sz w:val="22"/>
          <w:szCs w:val="22"/>
        </w:rPr>
        <w:t xml:space="preserve"/>
      </w:r>
    </w:p>
    <w:p>
      <w:pPr>
        <w:pStyle w:val="Heading1"/>
        <w:pBdr>
          <w:bottom w:val="single" w:color="0F52BA" w:sz="8" w:space="8"/>
        </w:pBdr>
        <w:spacing w:before="480" w:after="160"/>
      </w:pPr>
      <w:r>
        <w:rPr>
          <w:rFonts w:ascii="Arial" w:cs="Arial" w:eastAsia="Arial" w:hAnsi="Arial"/>
          <w:b/>
          <w:bCs/>
          <w:color w:val="0F52BA"/>
          <w:sz w:val="36"/>
          <w:szCs w:val="36"/>
        </w:rPr>
        <w:t xml:space="preserve">3.  Research Gap</w:t>
      </w:r>
    </w:p>
    <w:p>
      <w:pPr>
        <w:spacing w:before="0" w:after="160"/>
      </w:pPr>
      <w:r>
        <w:rPr>
          <w:rFonts w:ascii="Arial" w:cs="Arial" w:eastAsia="Arial" w:hAnsi="Arial"/>
          <w:color w:val="1E293B"/>
          <w:sz w:val="22"/>
          <w:szCs w:val="22"/>
        </w:rPr>
        <w:t xml:space="preserve">A systematic review of the literature reveals six specific gaps that no existing tool addresses simultaneously:</w:t>
      </w:r>
    </w:p>
    <w:p>
      <w:pPr>
        <w:spacing w:before="12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0F52BA"/>
          <w:sz w:val="24"/>
          <w:szCs w:val="24"/>
        </w:rPr>
        <w:t xml:space="preserve">Gap 1 — No End-to-End Intensity Regression Pipeline</w:t>
      </w:r>
    </w:p>
    <w:p>
      <w:pPr>
        <w:spacing w:before="0" w:after="160"/>
      </w:pPr>
      <w:r>
        <w:rPr>
          <w:rFonts w:ascii="Arial" w:cs="Arial" w:eastAsia="Arial" w:hAnsi="Arial"/>
          <w:color w:val="1E293B"/>
          <w:sz w:val="22"/>
          <w:szCs w:val="22"/>
        </w:rPr>
        <w:t xml:space="preserve">Every published deep learning paper on western blots treats the problem as binary classification (is this band present or absent?). No model takes a raw blot image and outputs calibrated, hardware-agnostic intensity values as a regression target. The pipeline from image to number does not exist in the open literature.</w:t>
      </w:r>
    </w:p>
    <w:p>
      <w:pPr>
        <w:spacing w:before="12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0F52BA"/>
          <w:sz w:val="24"/>
          <w:szCs w:val="24"/>
        </w:rPr>
        <w:t xml:space="preserve">Gap 2 — Background Subtraction is Still Rule-Based</w:t>
      </w:r>
    </w:p>
    <w:p>
      <w:pPr>
        <w:spacing w:before="0" w:after="160"/>
      </w:pPr>
      <w:r>
        <w:rPr>
          <w:rFonts w:ascii="Arial" w:cs="Arial" w:eastAsia="Arial" w:hAnsi="Arial"/>
          <w:color w:val="1E293B"/>
          <w:sz w:val="22"/>
          <w:szCs w:val="22"/>
        </w:rPr>
        <w:t xml:space="preserve">Even the most advanced commercial tools require the researcher to choose a background subtraction method (rolling ball, adjacent lane, fixed region). The choice significantly affects measured intensity. A learned, blot-conditioned background estimator that adapts to each image's specific noise characteristics does not exist.</w:t>
      </w:r>
    </w:p>
    <w:p>
      <w:pPr>
        <w:spacing w:before="12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0F52BA"/>
          <w:sz w:val="24"/>
          <w:szCs w:val="24"/>
        </w:rPr>
        <w:t xml:space="preserve">Gap 3 — Normalization Strategy Selection is Manual</w:t>
      </w:r>
    </w:p>
    <w:p>
      <w:pPr>
        <w:spacing w:before="0" w:after="160"/>
      </w:pPr>
      <w:r>
        <w:rPr>
          <w:rFonts w:ascii="Arial" w:cs="Arial" w:eastAsia="Arial" w:hAnsi="Arial"/>
          <w:color w:val="1E293B"/>
          <w:sz w:val="22"/>
          <w:szCs w:val="22"/>
        </w:rPr>
        <w:t xml:space="preserve">The Journal of Biological Chemistry has named normalization strategy selection as one of the three major gaps in western blot data reporting. Whether to normalize against GAPDH, beta-actin, or a total protein stain is a methodological decision currently made entirely by the researcher. No model infers the correct strategy from the image itself.</w:t>
      </w:r>
    </w:p>
    <w:p>
      <w:pPr>
        <w:spacing w:before="12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0F52BA"/>
          <w:sz w:val="24"/>
          <w:szCs w:val="24"/>
        </w:rPr>
        <w:t xml:space="preserve">Gap 4 — Cross-Imager Generalization is Unsolved</w:t>
      </w:r>
    </w:p>
    <w:p>
      <w:pPr>
        <w:spacing w:before="0" w:after="160"/>
      </w:pPr>
      <w:r>
        <w:rPr>
          <w:rFonts w:ascii="Arial" w:cs="Arial" w:eastAsia="Arial" w:hAnsi="Arial"/>
          <w:color w:val="1E293B"/>
          <w:sz w:val="22"/>
          <w:szCs w:val="22"/>
        </w:rPr>
        <w:t xml:space="preserve">Blots are imaged on LI-COR, ChemiDoc, Azure, Odyssey, and film scanners — each producing different intensity profiles and noise signatures. No published model generalizes across imager types without retraining.</w:t>
      </w:r>
    </w:p>
    <w:p>
      <w:pPr>
        <w:spacing w:before="12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0F52BA"/>
          <w:sz w:val="24"/>
          <w:szCs w:val="24"/>
        </w:rPr>
        <w:t xml:space="preserve">Gap 5 — Uncertainty Quantification is Absent</w:t>
      </w:r>
    </w:p>
    <w:p>
      <w:pPr>
        <w:spacing w:before="0" w:after="160"/>
      </w:pPr>
      <w:r>
        <w:rPr>
          <w:rFonts w:ascii="Arial" w:cs="Arial" w:eastAsia="Arial" w:hAnsi="Arial"/>
          <w:color w:val="1E293B"/>
          <w:sz w:val="22"/>
          <w:szCs w:val="22"/>
        </w:rPr>
        <w:t xml:space="preserve">No current tool outputs a confidence interval on band intensity measurements. Every tool produces a single point estimate. A model that outputs intensity ± CI rather than just a scalar directly addresses the reproducibility crisis at its root.</w:t>
      </w:r>
    </w:p>
    <w:p>
      <w:pPr>
        <w:spacing w:before="12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0F52BA"/>
          <w:sz w:val="24"/>
          <w:szCs w:val="24"/>
        </w:rPr>
        <w:t xml:space="preserve">Gap 6 — AI-Generated Blot Detection</w:t>
      </w:r>
    </w:p>
    <w:p>
      <w:pPr>
        <w:spacing w:before="0" w:after="160"/>
      </w:pPr>
      <w:r>
        <w:rPr>
          <w:rFonts w:ascii="Arial" w:cs="Arial" w:eastAsia="Arial" w:hAnsi="Arial"/>
          <w:color w:val="1E293B"/>
          <w:sz w:val="22"/>
          <w:szCs w:val="22"/>
        </w:rPr>
        <w:t xml:space="preserve">AI-generated western blot images are already appearing in retracted papers. A 2025 study showed that existing free AI detectors achieve wildly inconsistent sensitivity when classifying AI-generated versus real blot images. A model trained specifically on blot physics to detect manipulation does not exist as a standalone, accessible tool.</w:t>
      </w:r>
    </w:p>
    <w:p>
      <w:pPr>
        <w:spacing w:before="120" w:after="0"/>
      </w:pPr>
      <w:r>
        <w:rPr>
          <w:rFonts w:ascii="Arial" w:cs="Arial" w:eastAsia="Arial" w:hAnsi="Arial"/>
          <w:sz w:val="22"/>
          <w:szCs w:val="22"/>
        </w:rPr>
        <w:t xml:space="preserve"/>
      </w:r>
    </w:p>
    <w:p>
      <w:pPr>
        <w:pStyle w:val="Heading1"/>
        <w:pBdr>
          <w:bottom w:val="single" w:color="0F52BA" w:sz="8" w:space="8"/>
        </w:pBdr>
        <w:spacing w:before="480" w:after="160"/>
      </w:pPr>
      <w:r>
        <w:rPr>
          <w:rFonts w:ascii="Arial" w:cs="Arial" w:eastAsia="Arial" w:hAnsi="Arial"/>
          <w:b/>
          <w:bCs/>
          <w:color w:val="0F52BA"/>
          <w:sz w:val="36"/>
          <w:szCs w:val="36"/>
        </w:rPr>
        <w:t xml:space="preserve">4.  Project Objectives</w:t>
      </w:r>
    </w:p>
    <w:p>
      <w:pPr>
        <w:spacing w:before="0" w:after="160"/>
      </w:pPr>
      <w:r>
        <w:rPr>
          <w:rFonts w:ascii="Arial" w:cs="Arial" w:eastAsia="Arial" w:hAnsi="Arial"/>
          <w:color w:val="1E293B"/>
          <w:sz w:val="22"/>
          <w:szCs w:val="22"/>
        </w:rPr>
        <w:t xml:space="preserve">BlotQuant targets four specific research contributions, each addressing one of the gaps above:</w:t>
      </w:r>
    </w:p>
    <w:p>
      <w:pPr>
        <w:spacing w:before="12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4000"/>
        <w:gridCol w:w="3000"/>
      </w:tblGrid>
      <w:tr>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Contribution</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Gap addressed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1</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End-to-end intensity regression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Lane detection + band localization + background-corrected intensity regression from a raw image upload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Gap 1, 2</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2</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Normalization strategy inference</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Classifier that reads the blot image and identifies the loading control strategy — GAPDH, beta-actin, total protein, or absent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Gap 3</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3</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Uncertainty quantification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Monte Carlo Dropout wrapper producing calibrated 95% confidence intervals per band intensity measurement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Gap 5</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4</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Authenticity scoring</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Patch-based forensic CNN detecting AI-generated or digitally manipulated blot images with per-pixel heatmap output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Gap 6</w:t>
            </w:r>
          </w:p>
        </w:tc>
      </w:tr>
    </w:tbl>
    <w:p>
      <w:pPr>
        <w:spacing w:before="120" w:after="0"/>
      </w:pPr>
      <w:r>
        <w:rPr>
          <w:rFonts w:ascii="Arial" w:cs="Arial" w:eastAsia="Arial" w:hAnsi="Arial"/>
          <w:sz w:val="22"/>
          <w:szCs w:val="22"/>
        </w:rPr>
        <w:t xml:space="preserve"/>
      </w:r>
    </w:p>
    <w:p>
      <w:pPr>
        <w:pStyle w:val="Heading1"/>
        <w:pBdr>
          <w:bottom w:val="single" w:color="0F52BA" w:sz="8" w:space="8"/>
        </w:pBdr>
        <w:spacing w:before="480" w:after="160"/>
      </w:pPr>
      <w:r>
        <w:rPr>
          <w:rFonts w:ascii="Arial" w:cs="Arial" w:eastAsia="Arial" w:hAnsi="Arial"/>
          <w:b/>
          <w:bCs/>
          <w:color w:val="0F52BA"/>
          <w:sz w:val="36"/>
          <w:szCs w:val="36"/>
        </w:rPr>
        <w:t xml:space="preserve">5.  Datasets</w:t>
      </w:r>
    </w:p>
    <w:p>
      <w:pPr>
        <w:pStyle w:val="Heading2"/>
        <w:spacing w:before="360" w:after="120"/>
      </w:pPr>
      <w:r>
        <w:rPr>
          <w:rFonts w:ascii="Arial" w:cs="Arial" w:eastAsia="Arial" w:hAnsi="Arial"/>
          <w:b/>
          <w:bCs/>
          <w:color w:val="1E293B"/>
          <w:sz w:val="28"/>
          <w:szCs w:val="28"/>
        </w:rPr>
        <w:t xml:space="preserve">5.1  Primary Training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360"/>
        <w:gridCol w:w="3000"/>
      </w:tblGrid>
      <w:tr>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Dataset</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Size</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Labels</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Primary use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Mandelli et al. (arXiv 2112.08739)</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14K real + 24K synthetic</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Real vs synthetic</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Feature extractor pretraining; authenticity scorer training data</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PubMed Central OA Subset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Millions of figures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Weak labels from caption text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Band localization pretraining via weak supervision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Harvard Dataverse — Ricana IP6</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~200 blots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ImageJ-quantified intensities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Ground truth intensity regression labels</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CPTAC Antibody Portal</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104 antibody validations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Known protein concentrations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Regression head calibration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Mendeley Data (scraped)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Hundreds of individual lab sets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Lab-specific, varied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Domain diversity and fine-tuning</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SILA Dataset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Multi-modal biomedical</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Pixel manipulation masks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Manipulation detection training</w:t>
            </w:r>
          </w:p>
        </w:tc>
      </w:tr>
    </w:tbl>
    <w:p>
      <w:pPr>
        <w:spacing w:before="12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293B"/>
          <w:sz w:val="28"/>
          <w:szCs w:val="28"/>
        </w:rPr>
        <w:t xml:space="preserve">5.2  Data Strategy for Scarce Labels</w:t>
      </w:r>
    </w:p>
    <w:p>
      <w:pPr>
        <w:spacing w:before="0" w:after="160"/>
      </w:pPr>
      <w:r>
        <w:rPr>
          <w:rFonts w:ascii="Arial" w:cs="Arial" w:eastAsia="Arial" w:hAnsi="Arial"/>
          <w:color w:val="1E293B"/>
          <w:sz w:val="22"/>
          <w:szCs w:val="22"/>
        </w:rPr>
        <w:t xml:space="preserve">Ground truth intensity labels for regression are the hardest to obtain at scale. The strategy is three-pronged:</w:t>
      </w:r>
    </w:p>
    <w:p>
      <w:pPr>
        <w:spacing w:before="80" w:after="0"/>
      </w:pPr>
      <w:r>
        <w:rPr>
          <w:rFonts w:ascii="Arial" w:cs="Arial" w:eastAsia="Arial" w:hAnsi="Arial"/>
          <w:sz w:val="22"/>
          <w:szCs w:val="22"/>
        </w:rPr>
        <w:t xml:space="preserve"/>
      </w:r>
    </w:p>
    <w:p>
      <w:pPr>
        <w:pStyle w:val="ListParagraph"/>
        <w:numPr>
          <w:ilvl w:val="0"/>
          <w:numId w:val="3"/>
        </w:numPr>
        <w:spacing w:before="0" w:after="80"/>
      </w:pPr>
      <w:r>
        <w:rPr>
          <w:rFonts w:ascii="Arial" w:cs="Arial" w:eastAsia="Arial" w:hAnsi="Arial"/>
          <w:color w:val="1E293B"/>
          <w:sz w:val="22"/>
          <w:szCs w:val="22"/>
        </w:rPr>
        <w:t xml:space="preserve">Weak supervision from ImageJ: Run ImageJ headlessly on PubMed Central figures to generate noisy-but-abundant intensity labels across thousands of blots automatically.</w:t>
      </w:r>
    </w:p>
    <w:p>
      <w:pPr>
        <w:pStyle w:val="ListParagraph"/>
        <w:numPr>
          <w:ilvl w:val="0"/>
          <w:numId w:val="3"/>
        </w:numPr>
        <w:spacing w:before="0" w:after="80"/>
      </w:pPr>
      <w:r>
        <w:rPr>
          <w:rFonts w:ascii="Arial" w:cs="Arial" w:eastAsia="Arial" w:hAnsi="Arial"/>
          <w:color w:val="1E293B"/>
          <w:sz w:val="22"/>
          <w:szCs w:val="22"/>
        </w:rPr>
        <w:t xml:space="preserve">Text-to-label extraction: Match figure images to methods sections in open-access papers using DOI linkage to extract normalization strategy labels without manual reading.</w:t>
      </w:r>
    </w:p>
    <w:p>
      <w:pPr>
        <w:pStyle w:val="ListParagraph"/>
        <w:numPr>
          <w:ilvl w:val="0"/>
          <w:numId w:val="3"/>
        </w:numPr>
        <w:spacing w:before="0" w:after="80"/>
      </w:pPr>
      <w:r>
        <w:rPr>
          <w:rFonts w:ascii="Arial" w:cs="Arial" w:eastAsia="Arial" w:hAnsi="Arial"/>
          <w:color w:val="1E293B"/>
          <w:sz w:val="22"/>
          <w:szCs w:val="22"/>
        </w:rPr>
        <w:t xml:space="preserve">Claude Vision API as annotation assistant: Use Gemini/Claude Vision API to generate weak bounding box labels and normalization strategy tags across thousands of scraped blots, reducing manual annotation time from months to days.</w:t>
      </w:r>
    </w:p>
    <w:p>
      <w:pPr>
        <w:spacing w:before="120" w:after="0"/>
      </w:pPr>
      <w:r>
        <w:rPr>
          <w:rFonts w:ascii="Arial" w:cs="Arial" w:eastAsia="Arial" w:hAnsi="Arial"/>
          <w:sz w:val="22"/>
          <w:szCs w:val="22"/>
        </w:rPr>
        <w:t xml:space="preserve"/>
      </w:r>
    </w:p>
    <w:p>
      <w:pPr>
        <w:pStyle w:val="Heading1"/>
        <w:pBdr>
          <w:bottom w:val="single" w:color="0F52BA" w:sz="8" w:space="8"/>
        </w:pBdr>
        <w:spacing w:before="480" w:after="160"/>
      </w:pPr>
      <w:r>
        <w:rPr>
          <w:rFonts w:ascii="Arial" w:cs="Arial" w:eastAsia="Arial" w:hAnsi="Arial"/>
          <w:b/>
          <w:bCs/>
          <w:color w:val="0F52BA"/>
          <w:sz w:val="36"/>
          <w:szCs w:val="36"/>
        </w:rPr>
        <w:t xml:space="preserve">6.  Technical Architecture</w:t>
      </w:r>
    </w:p>
    <w:p>
      <w:pPr>
        <w:pStyle w:val="Heading2"/>
        <w:spacing w:before="360" w:after="120"/>
      </w:pPr>
      <w:r>
        <w:rPr>
          <w:rFonts w:ascii="Arial" w:cs="Arial" w:eastAsia="Arial" w:hAnsi="Arial"/>
          <w:b/>
          <w:bCs/>
          <w:color w:val="1E293B"/>
          <w:sz w:val="28"/>
          <w:szCs w:val="28"/>
        </w:rPr>
        <w:t xml:space="preserve">6.1  Pipeline Overview</w:t>
      </w:r>
    </w:p>
    <w:p>
      <w:pPr>
        <w:spacing w:before="0" w:after="160"/>
      </w:pPr>
      <w:r>
        <w:rPr>
          <w:rFonts w:ascii="Arial" w:cs="Arial" w:eastAsia="Arial" w:hAnsi="Arial"/>
          <w:color w:val="1E293B"/>
          <w:sz w:val="22"/>
          <w:szCs w:val="22"/>
        </w:rPr>
        <w:t xml:space="preserve">The system is a five-module sequential pipeline. Each module is independently trainable and replaceable. In the current deployed version, Gemini 1.5 Flash (free tier) serves all five modules via a single structured vision prompt. The architecture below describes the target deep learning pipeline for the full research implementation.</w:t>
      </w:r>
    </w:p>
    <w:p>
      <w:pPr>
        <w:spacing w:before="12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2500"/>
        <w:gridCol w:w="2000"/>
        <w:gridCol w:w="2500"/>
      </w:tblGrid>
      <w:tr>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Architecture</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1</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Lane &amp; Band Localization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YOLOv8 instance segmentation + TPS rectification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Raw blot image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Lane masks + band bounding boxes</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2</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Intensity Regression</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ResNet-18 + rank-consistency loss + U-Net background estimator</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Cropped band regions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Intensity [0, 1] per band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3</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Normalization Inference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EfficientNet-B0 multi-label classifier</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Full blot image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Strategy class + reference protein</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4</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Uncertainty Quantification</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Monte Carlo Dropout (50 forward passes)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Module 2 regression head</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Mean intensity ± 95% CI per band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5</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Authenticity Scoring</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Patch-based forensic CNN + aggregation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Full blot image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Authenticity score + manipulation heatmap</w:t>
            </w:r>
          </w:p>
        </w:tc>
      </w:tr>
    </w:tbl>
    <w:p>
      <w:pPr>
        <w:spacing w:before="12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293B"/>
          <w:sz w:val="28"/>
          <w:szCs w:val="28"/>
        </w:rPr>
        <w:t xml:space="preserve">6.2  Key Architectural Decisions</w:t>
      </w:r>
    </w:p>
    <w:p>
      <w:pPr>
        <w:pStyle w:val="Heading3"/>
        <w:spacing w:before="240" w:after="80"/>
      </w:pPr>
      <w:r>
        <w:rPr>
          <w:rFonts w:ascii="Arial" w:cs="Arial" w:eastAsia="Arial" w:hAnsi="Arial"/>
          <w:b/>
          <w:bCs/>
          <w:color w:val="0F52BA"/>
          <w:sz w:val="24"/>
          <w:szCs w:val="24"/>
        </w:rPr>
        <w:t xml:space="preserve">Rank-Consistency Loss (Module 2)</w:t>
      </w:r>
    </w:p>
    <w:p>
      <w:pPr>
        <w:spacing w:before="0" w:after="160"/>
      </w:pPr>
      <w:r>
        <w:rPr>
          <w:rFonts w:ascii="Arial" w:cs="Arial" w:eastAsia="Arial" w:hAnsi="Arial"/>
          <w:color w:val="1E293B"/>
          <w:sz w:val="22"/>
          <w:szCs w:val="22"/>
        </w:rPr>
        <w:t xml:space="preserve">Standard MSE loss treats each band independently. For a dilution series, the model must learn that more protein always means higher intensity — a physical constraint. The rank-consistency loss penalizes predictions that violate this ordering, acting as a physics-informed regulariser that makes the model scientifically valid rather than just numerically accurate.</w:t>
      </w:r>
    </w:p>
    <w:p>
      <w:pPr>
        <w:spacing w:before="12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0F52BA"/>
          <w:sz w:val="24"/>
          <w:szCs w:val="24"/>
        </w:rPr>
        <w:t xml:space="preserve">Thin-Plate Spline Rectification (Module 1)</w:t>
      </w:r>
    </w:p>
    <w:p>
      <w:pPr>
        <w:spacing w:before="0" w:after="160"/>
      </w:pPr>
      <w:r>
        <w:rPr>
          <w:rFonts w:ascii="Arial" w:cs="Arial" w:eastAsia="Arial" w:hAnsi="Arial"/>
          <w:color w:val="1E293B"/>
          <w:sz w:val="22"/>
          <w:szCs w:val="22"/>
        </w:rPr>
        <w:t xml:space="preserve">Real blots frequently exhibit smiling effects (bands curve at the edges), lane drift, and uneven spacing. Standard rectangular crops fail on these. TPS rectification warps detected lane regions into canonical straight-lane space before downstream processing, making the system robust to physical variability in gel casting and transfer.</w:t>
      </w:r>
    </w:p>
    <w:p>
      <w:pPr>
        <w:spacing w:before="12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0F52BA"/>
          <w:sz w:val="24"/>
          <w:szCs w:val="24"/>
        </w:rPr>
        <w:t xml:space="preserve">Monte Carlo Dropout (Module 4)</w:t>
      </w:r>
    </w:p>
    <w:p>
      <w:pPr>
        <w:spacing w:before="0" w:after="160"/>
      </w:pPr>
      <w:r>
        <w:rPr>
          <w:rFonts w:ascii="Arial" w:cs="Arial" w:eastAsia="Arial" w:hAnsi="Arial"/>
          <w:color w:val="1E293B"/>
          <w:sz w:val="22"/>
          <w:szCs w:val="22"/>
        </w:rPr>
        <w:t xml:space="preserve">Rather than adding a separate Bayesian head, MC Dropout keeps dropout active at inference time and runs 50 forward passes per band. The empirical mean and standard deviation across passes serve as the point estimate and uncertainty respectively. This requires zero architectural change to Module 2 and produces calibrated uncertainty estimates with no additional training.</w:t>
      </w:r>
    </w:p>
    <w:p>
      <w:pPr>
        <w:spacing w:before="12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0F52BA"/>
          <w:sz w:val="24"/>
          <w:szCs w:val="24"/>
        </w:rPr>
        <w:t xml:space="preserve">Patch-Based Forensics (Module 5)</w:t>
      </w:r>
    </w:p>
    <w:p>
      <w:pPr>
        <w:spacing w:before="0" w:after="160"/>
      </w:pPr>
      <w:r>
        <w:rPr>
          <w:rFonts w:ascii="Arial" w:cs="Arial" w:eastAsia="Arial" w:hAnsi="Arial"/>
          <w:color w:val="1E293B"/>
          <w:sz w:val="22"/>
          <w:szCs w:val="22"/>
        </w:rPr>
        <w:t xml:space="preserve">Real blot membranes have specific noise signatures — silver halide grain patterns, ECL chemiluminescence halos, and characteristic background gradients. Generative models fail to fully replicate these at the patch level. A patch classifier trained on real vs. synthetic patch pairs, aggregated over the full image, produces both a global authenticity score and a localization heatmap highlighting suspicious regions.</w:t>
      </w:r>
    </w:p>
    <w:p>
      <w:pPr>
        <w:spacing w:before="12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293B"/>
          <w:sz w:val="28"/>
          <w:szCs w:val="28"/>
        </w:rPr>
        <w:t xml:space="preserve">6.3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Model training</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PyTorch + Lightning</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Modular training loops; easy per-module checkpointing</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Object detection</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YOLOv8 (Ultralytics)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Best speed/accuracy tradeoff for deployment; active maintenance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Backbones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EfficientNet-B0, ResNet-18</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Lightweight; well-suited for blot image scale</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Experiment tracking</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Weights &amp; Biases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Reproducible training runs; hyperparameter logging</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Annotation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Label Studio</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Open source; supports bounding box + polygon annotation</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Current inference (free)</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Gemini 1.5 Flash API</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Free tier; 15 req/min; strong vision; JSON output; zero hardware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Backend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FastAPI + Uvicorn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Async file upload handling; clean REST API</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Frontend</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React + Tailwind + Recharts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Component-based; Recharts for intensity bar charts with error bars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Deployment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Docker + Railway or Render</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Free-tier friendly; no vendor lock-in</w:t>
            </w:r>
          </w:p>
        </w:tc>
      </w:tr>
    </w:tbl>
    <w:p>
      <w:pPr>
        <w:spacing w:before="120" w:after="0"/>
      </w:pPr>
      <w:r>
        <w:rPr>
          <w:rFonts w:ascii="Arial" w:cs="Arial" w:eastAsia="Arial" w:hAnsi="Arial"/>
          <w:sz w:val="22"/>
          <w:szCs w:val="22"/>
        </w:rPr>
        <w:t xml:space="preserve"/>
      </w:r>
    </w:p>
    <w:p>
      <w:pPr>
        <w:pStyle w:val="Heading1"/>
        <w:pBdr>
          <w:bottom w:val="single" w:color="0F52BA" w:sz="8" w:space="8"/>
        </w:pBdr>
        <w:spacing w:before="480" w:after="160"/>
      </w:pPr>
      <w:r>
        <w:rPr>
          <w:rFonts w:ascii="Arial" w:cs="Arial" w:eastAsia="Arial" w:hAnsi="Arial"/>
          <w:b/>
          <w:bCs/>
          <w:color w:val="0F52BA"/>
          <w:sz w:val="36"/>
          <w:szCs w:val="36"/>
        </w:rPr>
        <w:t xml:space="preserve">7.  Application — BlotQuant Web App</w:t>
      </w:r>
    </w:p>
    <w:p>
      <w:pPr>
        <w:pStyle w:val="Heading2"/>
        <w:spacing w:before="360" w:after="120"/>
      </w:pPr>
      <w:r>
        <w:rPr>
          <w:rFonts w:ascii="Arial" w:cs="Arial" w:eastAsia="Arial" w:hAnsi="Arial"/>
          <w:b/>
          <w:bCs/>
          <w:color w:val="1E293B"/>
          <w:sz w:val="28"/>
          <w:szCs w:val="28"/>
        </w:rPr>
        <w:t xml:space="preserve">7.1  What it Does</w:t>
      </w:r>
    </w:p>
    <w:p>
      <w:pPr>
        <w:spacing w:before="0" w:after="160"/>
      </w:pPr>
      <w:r>
        <w:rPr>
          <w:rFonts w:ascii="Arial" w:cs="Arial" w:eastAsia="Arial" w:hAnsi="Arial"/>
          <w:color w:val="1E293B"/>
          <w:sz w:val="22"/>
          <w:szCs w:val="22"/>
        </w:rPr>
        <w:t xml:space="preserve">The BlotQuant web application is the deployable proof-of-concept for the full research pipeline. A researcher uploads a western blot image (JPEG, PNG, or WebP, up to 10 MB) and receives a complete structured analysis within 10 to 20 seconds.</w:t>
      </w:r>
    </w:p>
    <w:p>
      <w:pPr>
        <w:spacing w:before="12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293B"/>
          <w:sz w:val="28"/>
          <w:szCs w:val="28"/>
        </w:rPr>
        <w:t xml:space="preserve">7.2  Output</w:t>
      </w:r>
    </w:p>
    <w:p>
      <w:pPr>
        <w:pStyle w:val="ListParagraph"/>
        <w:numPr>
          <w:ilvl w:val="0"/>
          <w:numId w:val="3"/>
        </w:numPr>
        <w:spacing w:before="0" w:after="80"/>
      </w:pPr>
      <w:r>
        <w:rPr>
          <w:rFonts w:ascii="Arial" w:cs="Arial" w:eastAsia="Arial" w:hAnsi="Arial"/>
          <w:color w:val="1E293B"/>
          <w:sz w:val="22"/>
          <w:szCs w:val="22"/>
        </w:rPr>
        <w:t xml:space="preserve">Band detection overlay — bounding boxes drawn on the original image with hover tooltips showing lane, molecular weight, and intensity</w:t>
      </w:r>
    </w:p>
    <w:p>
      <w:pPr>
        <w:pStyle w:val="ListParagraph"/>
        <w:numPr>
          <w:ilvl w:val="0"/>
          <w:numId w:val="3"/>
        </w:numPr>
        <w:spacing w:before="0" w:after="80"/>
      </w:pPr>
      <w:r>
        <w:rPr>
          <w:rFonts w:ascii="Arial" w:cs="Arial" w:eastAsia="Arial" w:hAnsi="Arial"/>
          <w:color w:val="1E293B"/>
          <w:sz w:val="22"/>
          <w:szCs w:val="22"/>
        </w:rPr>
        <w:t xml:space="preserve">Intensity chart — bar chart of relative band intensities with 95% confidence interval error bars</w:t>
      </w:r>
    </w:p>
    <w:p>
      <w:pPr>
        <w:pStyle w:val="ListParagraph"/>
        <w:numPr>
          <w:ilvl w:val="0"/>
          <w:numId w:val="3"/>
        </w:numPr>
        <w:spacing w:before="0" w:after="80"/>
      </w:pPr>
      <w:r>
        <w:rPr>
          <w:rFonts w:ascii="Arial" w:cs="Arial" w:eastAsia="Arial" w:hAnsi="Arial"/>
          <w:color w:val="1E293B"/>
          <w:sz w:val="22"/>
          <w:szCs w:val="22"/>
        </w:rPr>
        <w:t xml:space="preserve">Normalization card — detected strategy (GAPDH / beta-actin / total protein / none) with confidence score</w:t>
      </w:r>
    </w:p>
    <w:p>
      <w:pPr>
        <w:pStyle w:val="ListParagraph"/>
        <w:numPr>
          <w:ilvl w:val="0"/>
          <w:numId w:val="3"/>
        </w:numPr>
        <w:spacing w:before="0" w:after="80"/>
      </w:pPr>
      <w:r>
        <w:rPr>
          <w:rFonts w:ascii="Arial" w:cs="Arial" w:eastAsia="Arial" w:hAnsi="Arial"/>
          <w:color w:val="1E293B"/>
          <w:sz w:val="22"/>
          <w:szCs w:val="22"/>
        </w:rPr>
        <w:t xml:space="preserve">Authenticity gauge — score from 0 to 100% with classification and findings list</w:t>
      </w:r>
    </w:p>
    <w:p>
      <w:pPr>
        <w:pStyle w:val="ListParagraph"/>
        <w:numPr>
          <w:ilvl w:val="0"/>
          <w:numId w:val="3"/>
        </w:numPr>
        <w:spacing w:before="0" w:after="80"/>
      </w:pPr>
      <w:r>
        <w:rPr>
          <w:rFonts w:ascii="Arial" w:cs="Arial" w:eastAsia="Arial" w:hAnsi="Arial"/>
          <w:color w:val="1E293B"/>
          <w:sz w:val="22"/>
          <w:szCs w:val="22"/>
        </w:rPr>
        <w:t xml:space="preserve">Uncertainty table — full per-band breakdown: mean intensity, standard deviation, CI lower, CI upper, model confidence</w:t>
      </w:r>
    </w:p>
    <w:p>
      <w:pPr>
        <w:pStyle w:val="ListParagraph"/>
        <w:numPr>
          <w:ilvl w:val="0"/>
          <w:numId w:val="3"/>
        </w:numPr>
        <w:spacing w:before="0" w:after="80"/>
      </w:pPr>
      <w:r>
        <w:rPr>
          <w:rFonts w:ascii="Arial" w:cs="Arial" w:eastAsia="Arial" w:hAnsi="Arial"/>
          <w:color w:val="1E293B"/>
          <w:sz w:val="22"/>
          <w:szCs w:val="22"/>
        </w:rPr>
        <w:t xml:space="preserve">JSON export — download the complete structured output as a machine-readable JSON file</w:t>
      </w:r>
    </w:p>
    <w:p>
      <w:pPr>
        <w:spacing w:before="12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293B"/>
          <w:sz w:val="28"/>
          <w:szCs w:val="28"/>
        </w:rPr>
        <w:t xml:space="preserve">7.3  Current Implementation vs. Target Research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2400E" w:sz="24"/>
              <w:bottom w:val="none" w:color="FFFFFF" w:sz="0"/>
              <w:right w:val="none" w:color="FFFFFF" w:sz="0"/>
            </w:tcBorders>
            <w:shd w:fill="FFFBEB" w:val="clear"/>
            <w:tcMar>
              <w:top w:type="dxa" w:w="120"/>
              <w:left w:type="dxa" w:w="200"/>
              <w:bottom w:type="dxa" w:w="120"/>
              <w:right w:type="dxa" w:w="200"/>
            </w:tcMar>
          </w:tcPr>
          <w:p>
            <w:r>
              <w:rPr>
                <w:rFonts w:ascii="Arial" w:cs="Arial" w:eastAsia="Arial" w:hAnsi="Arial"/>
                <w:b/>
                <w:bCs/>
                <w:color w:val="92400E"/>
                <w:sz w:val="22"/>
                <w:szCs w:val="22"/>
              </w:rPr>
              <w:t xml:space="preserve">Note:  </w:t>
            </w:r>
            <w:r>
              <w:rPr>
                <w:rFonts w:ascii="Arial" w:cs="Arial" w:eastAsia="Arial" w:hAnsi="Arial"/>
                <w:color w:val="1E293B"/>
                <w:sz w:val="22"/>
                <w:szCs w:val="22"/>
              </w:rPr>
              <w:t xml:space="preserve">The current deployed version uses Gemini 1.5 Flash (free tier) via a structured vision prompt for all five modules simultaneously. This serves as a functional proof-of-concept. The target architecture described in Section 6 represents the full deep learning implementation to be built using the datasets in Section 5.</w:t>
            </w:r>
          </w:p>
        </w:tc>
      </w:tr>
    </w:tbl>
    <w:p>
      <w:pPr>
        <w:spacing w:before="12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293B"/>
          <w:sz w:val="28"/>
          <w:szCs w:val="28"/>
        </w:rPr>
        <w:t xml:space="preserve">7.4  Setup Instructions</w:t>
      </w:r>
    </w:p>
    <w:p>
      <w:pPr>
        <w:pStyle w:val="Heading3"/>
        <w:spacing w:before="240" w:after="80"/>
      </w:pPr>
      <w:r>
        <w:rPr>
          <w:rFonts w:ascii="Arial" w:cs="Arial" w:eastAsia="Arial" w:hAnsi="Arial"/>
          <w:b/>
          <w:bCs/>
          <w:color w:val="0F52BA"/>
          <w:sz w:val="24"/>
          <w:szCs w:val="24"/>
        </w:rPr>
        <w:t xml:space="preserve">Backend</w:t>
      </w:r>
    </w:p>
    <w:p>
      <w:r>
        <w:rPr>
          <w:rFonts w:ascii="Courier New" w:cs="Courier New" w:eastAsia="Courier New" w:hAnsi="Courier New"/>
          <w:color w:val="6B21A8"/>
          <w:sz w:val="20"/>
          <w:szCs w:val="20"/>
        </w:rPr>
        <w:t xml:space="preserve">cd backend</w:t>
      </w:r>
      <w:r>
        <w:rPr>
          <w:rFonts w:ascii="Arial" w:cs="Arial" w:eastAsia="Arial" w:hAnsi="Arial"/>
          <w:sz w:val="22"/>
          <w:szCs w:val="22"/>
        </w:rPr>
        <w:t xml:space="preserve">   then:   </w:t>
      </w:r>
      <w:r>
        <w:rPr>
          <w:rFonts w:ascii="Courier New" w:cs="Courier New" w:eastAsia="Courier New" w:hAnsi="Courier New"/>
          <w:color w:val="6B21A8"/>
          <w:sz w:val="20"/>
          <w:szCs w:val="20"/>
        </w:rPr>
        <w:t xml:space="preserve">pip install -r requirements.txt</w:t>
      </w:r>
    </w:p>
    <w:p>
      <w:r>
        <w:rPr>
          <w:rFonts w:ascii="Arial" w:cs="Arial" w:eastAsia="Arial" w:hAnsi="Arial"/>
          <w:sz w:val="22"/>
          <w:szCs w:val="22"/>
        </w:rPr>
        <w:t xml:space="preserve">Create a </w:t>
      </w:r>
      <w:r>
        <w:rPr>
          <w:rFonts w:ascii="Courier New" w:cs="Courier New" w:eastAsia="Courier New" w:hAnsi="Courier New"/>
          <w:color w:val="6B21A8"/>
          <w:sz w:val="20"/>
          <w:szCs w:val="20"/>
        </w:rPr>
        <w:t xml:space="preserve">.env</w:t>
      </w:r>
      <w:r>
        <w:rPr>
          <w:rFonts w:ascii="Arial" w:cs="Arial" w:eastAsia="Arial" w:hAnsi="Arial"/>
          <w:sz w:val="22"/>
          <w:szCs w:val="22"/>
        </w:rPr>
        <w:t xml:space="preserve"> file with:   </w:t>
      </w:r>
      <w:r>
        <w:rPr>
          <w:rFonts w:ascii="Courier New" w:cs="Courier New" w:eastAsia="Courier New" w:hAnsi="Courier New"/>
          <w:color w:val="6B21A8"/>
          <w:sz w:val="20"/>
          <w:szCs w:val="20"/>
        </w:rPr>
        <w:t xml:space="preserve">GEMINI_API_KEY=your_key_here</w:t>
      </w:r>
    </w:p>
    <w:p>
      <w:r>
        <w:rPr>
          <w:rFonts w:ascii="Arial" w:cs="Arial" w:eastAsia="Arial" w:hAnsi="Arial"/>
          <w:sz w:val="22"/>
          <w:szCs w:val="22"/>
        </w:rPr>
        <w:t xml:space="preserve">Run with:   </w:t>
      </w:r>
      <w:r>
        <w:rPr>
          <w:rFonts w:ascii="Courier New" w:cs="Courier New" w:eastAsia="Courier New" w:hAnsi="Courier New"/>
          <w:color w:val="6B21A8"/>
          <w:sz w:val="20"/>
          <w:szCs w:val="20"/>
        </w:rPr>
        <w:t xml:space="preserve">uvicorn server:app --reload --port 8000</w:t>
      </w:r>
    </w:p>
    <w:p>
      <w:pPr>
        <w:spacing w:before="120" w:after="0"/>
      </w:pPr>
      <w:r>
        <w:rPr>
          <w:rFonts w:ascii="Arial" w:cs="Arial" w:eastAsia="Arial" w:hAnsi="Arial"/>
          <w:sz w:val="22"/>
          <w:szCs w:val="22"/>
        </w:rPr>
        <w:t xml:space="preserve"/>
      </w:r>
    </w:p>
    <w:p>
      <w:pPr>
        <w:spacing w:before="0" w:after="160"/>
      </w:pPr>
      <w:r>
        <w:rPr>
          <w:rFonts w:ascii="Arial" w:cs="Arial" w:eastAsia="Arial" w:hAnsi="Arial"/>
          <w:color w:val="1E293B"/>
          <w:sz w:val="22"/>
          <w:szCs w:val="22"/>
        </w:rPr>
        <w:t xml:space="preserve">Get a free Gemini API key at: aistudio.google.com/app/apikey (no credit card required, 15 requests/minute free tier)</w:t>
      </w:r>
    </w:p>
    <w:p>
      <w:pPr>
        <w:spacing w:before="120" w:after="0"/>
      </w:pPr>
      <w:r>
        <w:rPr>
          <w:rFonts w:ascii="Arial" w:cs="Arial" w:eastAsia="Arial" w:hAnsi="Arial"/>
          <w:sz w:val="22"/>
          <w:szCs w:val="22"/>
        </w:rPr>
        <w:t xml:space="preserve"/>
      </w:r>
    </w:p>
    <w:p>
      <w:pPr>
        <w:pStyle w:val="Heading3"/>
        <w:spacing w:before="240" w:after="80"/>
      </w:pPr>
      <w:r>
        <w:rPr>
          <w:rFonts w:ascii="Arial" w:cs="Arial" w:eastAsia="Arial" w:hAnsi="Arial"/>
          <w:b/>
          <w:bCs/>
          <w:color w:val="0F52BA"/>
          <w:sz w:val="24"/>
          <w:szCs w:val="24"/>
        </w:rPr>
        <w:t xml:space="preserve">Frontend</w:t>
      </w:r>
    </w:p>
    <w:p>
      <w:r>
        <w:rPr>
          <w:rFonts w:ascii="Courier New" w:cs="Courier New" w:eastAsia="Courier New" w:hAnsi="Courier New"/>
          <w:color w:val="6B21A8"/>
          <w:sz w:val="20"/>
          <w:szCs w:val="20"/>
        </w:rPr>
        <w:t xml:space="preserve">cd frontend</w:t>
      </w:r>
      <w:r>
        <w:rPr>
          <w:rFonts w:ascii="Arial" w:cs="Arial" w:eastAsia="Arial" w:hAnsi="Arial"/>
          <w:sz w:val="22"/>
          <w:szCs w:val="22"/>
        </w:rPr>
        <w:t xml:space="preserve">   then:   </w:t>
      </w:r>
      <w:r>
        <w:rPr>
          <w:rFonts w:ascii="Courier New" w:cs="Courier New" w:eastAsia="Courier New" w:hAnsi="Courier New"/>
          <w:color w:val="6B21A8"/>
          <w:sz w:val="20"/>
          <w:szCs w:val="20"/>
        </w:rPr>
        <w:t xml:space="preserve">npm install</w:t>
      </w:r>
    </w:p>
    <w:p>
      <w:r>
        <w:rPr>
          <w:rFonts w:ascii="Arial" w:cs="Arial" w:eastAsia="Arial" w:hAnsi="Arial"/>
          <w:sz w:val="22"/>
          <w:szCs w:val="22"/>
        </w:rPr>
        <w:t xml:space="preserve">Create a </w:t>
      </w:r>
      <w:r>
        <w:rPr>
          <w:rFonts w:ascii="Courier New" w:cs="Courier New" w:eastAsia="Courier New" w:hAnsi="Courier New"/>
          <w:color w:val="6B21A8"/>
          <w:sz w:val="20"/>
          <w:szCs w:val="20"/>
        </w:rPr>
        <w:t xml:space="preserve">.env</w:t>
      </w:r>
      <w:r>
        <w:rPr>
          <w:rFonts w:ascii="Arial" w:cs="Arial" w:eastAsia="Arial" w:hAnsi="Arial"/>
          <w:sz w:val="22"/>
          <w:szCs w:val="22"/>
        </w:rPr>
        <w:t xml:space="preserve"> file with:   </w:t>
      </w:r>
      <w:r>
        <w:rPr>
          <w:rFonts w:ascii="Courier New" w:cs="Courier New" w:eastAsia="Courier New" w:hAnsi="Courier New"/>
          <w:color w:val="6B21A8"/>
          <w:sz w:val="20"/>
          <w:szCs w:val="20"/>
        </w:rPr>
        <w:t xml:space="preserve">REACT_APP_BACKEND_URL=http://localhost:8000</w:t>
      </w:r>
    </w:p>
    <w:p>
      <w:r>
        <w:rPr>
          <w:rFonts w:ascii="Arial" w:cs="Arial" w:eastAsia="Arial" w:hAnsi="Arial"/>
          <w:sz w:val="22"/>
          <w:szCs w:val="22"/>
        </w:rPr>
        <w:t xml:space="preserve">Run with:   </w:t>
      </w:r>
      <w:r>
        <w:rPr>
          <w:rFonts w:ascii="Courier New" w:cs="Courier New" w:eastAsia="Courier New" w:hAnsi="Courier New"/>
          <w:color w:val="6B21A8"/>
          <w:sz w:val="20"/>
          <w:szCs w:val="20"/>
        </w:rPr>
        <w:t xml:space="preserve">npm start</w:t>
      </w:r>
    </w:p>
    <w:p>
      <w:pPr>
        <w:spacing w:before="12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293B"/>
          <w:sz w:val="28"/>
          <w:szCs w:val="28"/>
        </w:rPr>
        <w:t xml:space="preserve">7.5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POST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6B21A8"/>
                <w:sz w:val="20"/>
                <w:szCs w:val="20"/>
              </w:rPr>
              <w:t xml:space="preserve">/api/analyze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Upload image file for analysis</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POST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6B21A8"/>
                <w:sz w:val="20"/>
                <w:szCs w:val="20"/>
              </w:rPr>
              <w:t xml:space="preserve">/api/analyze-sample/{id}</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Analyze a built-in sample blot image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6B21A8"/>
                <w:sz w:val="20"/>
                <w:szCs w:val="20"/>
              </w:rPr>
              <w:t xml:space="preserve">/api/analyses/{id}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Retrieve a past analysis by UUID</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GET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Courier New" w:cs="Courier New" w:eastAsia="Courier New" w:hAnsi="Courier New"/>
                <w:color w:val="6B21A8"/>
                <w:sz w:val="20"/>
                <w:szCs w:val="20"/>
              </w:rPr>
              <w:t xml:space="preserve">/api/analyses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List recent analyses (strips image data)</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GET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Courier New" w:cs="Courier New" w:eastAsia="Courier New" w:hAnsi="Courier New"/>
                <w:color w:val="6B21A8"/>
                <w:sz w:val="20"/>
                <w:szCs w:val="20"/>
              </w:rPr>
              <w:t xml:space="preserve">/api/samples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List available built-in sample images</w:t>
            </w:r>
          </w:p>
        </w:tc>
      </w:tr>
    </w:tbl>
    <w:p>
      <w:pPr>
        <w:spacing w:before="120" w:after="0"/>
      </w:pPr>
      <w:r>
        <w:rPr>
          <w:rFonts w:ascii="Arial" w:cs="Arial" w:eastAsia="Arial" w:hAnsi="Arial"/>
          <w:sz w:val="22"/>
          <w:szCs w:val="22"/>
        </w:rPr>
        <w:t xml:space="preserve"/>
      </w:r>
    </w:p>
    <w:p>
      <w:pPr>
        <w:pStyle w:val="Heading1"/>
        <w:pBdr>
          <w:bottom w:val="single" w:color="0F52BA" w:sz="8" w:space="8"/>
        </w:pBdr>
        <w:spacing w:before="480" w:after="160"/>
      </w:pPr>
      <w:r>
        <w:rPr>
          <w:rFonts w:ascii="Arial" w:cs="Arial" w:eastAsia="Arial" w:hAnsi="Arial"/>
          <w:b/>
          <w:bCs/>
          <w:color w:val="0F52BA"/>
          <w:sz w:val="36"/>
          <w:szCs w:val="36"/>
        </w:rPr>
        <w:t xml:space="preserve">8.  Deep Learning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Technique</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Where applied</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Instance segmentation (YOLOv8)</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Lane and band localization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Handles overlapping, skewed, and variably-sized lanes</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Transfer learning</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All backbone models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Limited labelled data; ImageNet pretraining closes the gap</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Rank-consistency loss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Intensity regression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Encodes physical constraint: more protein = higher intensity</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U-Net segmentation</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Background estimation</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Pixel-level background map for per-band subtraction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Multi-label classification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Normalization inference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Blot may show multiple normalization indicators simultaneously</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Monte Carlo Dropout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Uncertainty quantification</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Approximates Bayesian inference with zero architectural overhead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Patch-based CNN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Authenticity scoring</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Captures local texture statistics that global models miss</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Weak supervision</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Dataset construction</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Generates large-scale labels from ImageJ + paper text without manual annotation</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Vision LLM prompting</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Current demo inference</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Gemini 1.5 Flash produces structured JSON from blot images; free and hardware-agnostic</w:t>
            </w:r>
          </w:p>
        </w:tc>
      </w:tr>
    </w:tbl>
    <w:p>
      <w:pPr>
        <w:spacing w:before="120" w:after="0"/>
      </w:pPr>
      <w:r>
        <w:rPr>
          <w:rFonts w:ascii="Arial" w:cs="Arial" w:eastAsia="Arial" w:hAnsi="Arial"/>
          <w:sz w:val="22"/>
          <w:szCs w:val="22"/>
        </w:rPr>
        <w:t xml:space="preserve"/>
      </w:r>
    </w:p>
    <w:p>
      <w:pPr>
        <w:pStyle w:val="Heading1"/>
        <w:pBdr>
          <w:bottom w:val="single" w:color="0F52BA" w:sz="8" w:space="8"/>
        </w:pBdr>
        <w:spacing w:before="480" w:after="160"/>
      </w:pPr>
      <w:r>
        <w:rPr>
          <w:rFonts w:ascii="Arial" w:cs="Arial" w:eastAsia="Arial" w:hAnsi="Arial"/>
          <w:b/>
          <w:bCs/>
          <w:color w:val="0F52BA"/>
          <w:sz w:val="36"/>
          <w:szCs w:val="36"/>
        </w:rPr>
        <w:t xml:space="preserve">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760"/>
        <w:gridCol w:w="2000"/>
      </w:tblGrid>
      <w:tr>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0</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Weeks 1-2</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Dataset pipeline: Mandelli download, PubMed scraper, ImageJ weak labels</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Planned</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1</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Weeks 3-4</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Module 1: YOLOv8 lane and band detector, TPS rectification</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Planned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2</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Weeks 5-6</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Module 2: Intensity regression with rank-consistency loss and U-Net background</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Planned</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3</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Week 7</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Module 3: Normalization classifier with text-extracted weak labels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Planned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4</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Week 8</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Module 4: MC Dropout uncertainty wrapper and calibration</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Planned</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5</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Weeks 9-10</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Module 5: Patch-based authenticity scorer on real vs. synthetic blots</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Planned</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6</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Weeks 11-12</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Full pipeline integration, API, frontend deployment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Demo live</w:t>
            </w:r>
          </w:p>
        </w:tc>
      </w:tr>
    </w:tbl>
    <w:p>
      <w:pPr>
        <w:spacing w:before="120" w:after="0"/>
      </w:pPr>
      <w:r>
        <w:rPr>
          <w:rFonts w:ascii="Arial" w:cs="Arial" w:eastAsia="Arial" w:hAnsi="Arial"/>
          <w:sz w:val="22"/>
          <w:szCs w:val="22"/>
        </w:rPr>
        <w:t xml:space="preserve"/>
      </w:r>
    </w:p>
    <w:p>
      <w:pPr>
        <w:pStyle w:val="Heading1"/>
        <w:pBdr>
          <w:bottom w:val="single" w:color="0F52BA" w:sz="8" w:space="8"/>
        </w:pBdr>
        <w:spacing w:before="480" w:after="160"/>
      </w:pPr>
      <w:r>
        <w:rPr>
          <w:rFonts w:ascii="Arial" w:cs="Arial" w:eastAsia="Arial" w:hAnsi="Arial"/>
          <w:b/>
          <w:bCs/>
          <w:color w:val="0F52BA"/>
          <w:sz w:val="36"/>
          <w:szCs w:val="36"/>
        </w:rPr>
        <w:t xml:space="preserve">10.  Commercial Relevance &amp; Deployment Path</w:t>
      </w:r>
    </w:p>
    <w:p>
      <w:pPr>
        <w:pStyle w:val="Heading2"/>
        <w:spacing w:before="360" w:after="120"/>
      </w:pPr>
      <w:r>
        <w:rPr>
          <w:rFonts w:ascii="Arial" w:cs="Arial" w:eastAsia="Arial" w:hAnsi="Arial"/>
          <w:b/>
          <w:bCs/>
          <w:color w:val="1E293B"/>
          <w:sz w:val="28"/>
          <w:szCs w:val="28"/>
        </w:rPr>
        <w:t xml:space="preserve">10.1  Target Users</w:t>
      </w:r>
    </w:p>
    <w:p>
      <w:pPr>
        <w:pStyle w:val="ListParagraph"/>
        <w:numPr>
          <w:ilvl w:val="0"/>
          <w:numId w:val="3"/>
        </w:numPr>
        <w:spacing w:before="0" w:after="80"/>
      </w:pPr>
      <w:r>
        <w:rPr>
          <w:rFonts w:ascii="Arial" w:cs="Arial" w:eastAsia="Arial" w:hAnsi="Arial"/>
          <w:color w:val="1E293B"/>
          <w:sz w:val="22"/>
          <w:szCs w:val="22"/>
        </w:rPr>
        <w:t xml:space="preserve">Academic wet labs — every university biology, biochemistry, and medical research department</w:t>
      </w:r>
    </w:p>
    <w:p>
      <w:pPr>
        <w:pStyle w:val="ListParagraph"/>
        <w:numPr>
          <w:ilvl w:val="0"/>
          <w:numId w:val="3"/>
        </w:numPr>
        <w:spacing w:before="0" w:after="80"/>
      </w:pPr>
      <w:r>
        <w:rPr>
          <w:rFonts w:ascii="Arial" w:cs="Arial" w:eastAsia="Arial" w:hAnsi="Arial"/>
          <w:color w:val="1E293B"/>
          <w:sz w:val="22"/>
          <w:szCs w:val="22"/>
        </w:rPr>
        <w:t xml:space="preserve">Pharmaceutical R&amp;D — drug efficacy studies require western blot quantification as a routine assay</w:t>
      </w:r>
    </w:p>
    <w:p>
      <w:pPr>
        <w:pStyle w:val="ListParagraph"/>
        <w:numPr>
          <w:ilvl w:val="0"/>
          <w:numId w:val="3"/>
        </w:numPr>
        <w:spacing w:before="0" w:after="80"/>
      </w:pPr>
      <w:r>
        <w:rPr>
          <w:rFonts w:ascii="Arial" w:cs="Arial" w:eastAsia="Arial" w:hAnsi="Arial"/>
          <w:color w:val="1E293B"/>
          <w:sz w:val="22"/>
          <w:szCs w:val="22"/>
        </w:rPr>
        <w:t xml:space="preserve">Contract Research Organisations (CROs) — process hundreds of blots per week for pharma clients</w:t>
      </w:r>
    </w:p>
    <w:p>
      <w:pPr>
        <w:pStyle w:val="ListParagraph"/>
        <w:numPr>
          <w:ilvl w:val="0"/>
          <w:numId w:val="3"/>
        </w:numPr>
        <w:spacing w:before="0" w:after="80"/>
      </w:pPr>
      <w:r>
        <w:rPr>
          <w:rFonts w:ascii="Arial" w:cs="Arial" w:eastAsia="Arial" w:hAnsi="Arial"/>
          <w:color w:val="1E293B"/>
          <w:sz w:val="22"/>
          <w:szCs w:val="22"/>
        </w:rPr>
        <w:t xml:space="preserve">Journal editors and peer reviewers — the authenticity scoring module has direct application in manuscript integrity screening</w:t>
      </w:r>
    </w:p>
    <w:p>
      <w:pPr>
        <w:pStyle w:val="ListParagraph"/>
        <w:numPr>
          <w:ilvl w:val="0"/>
          <w:numId w:val="3"/>
        </w:numPr>
        <w:spacing w:before="0" w:after="80"/>
      </w:pPr>
      <w:r>
        <w:rPr>
          <w:rFonts w:ascii="Arial" w:cs="Arial" w:eastAsia="Arial" w:hAnsi="Arial"/>
          <w:color w:val="1E293B"/>
          <w:sz w:val="22"/>
          <w:szCs w:val="22"/>
        </w:rPr>
        <w:t xml:space="preserve">Academic core facilities — shared equipment facilities that process blots for multiple labs</w:t>
      </w:r>
    </w:p>
    <w:p>
      <w:pPr>
        <w:spacing w:before="12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293B"/>
          <w:sz w:val="28"/>
          <w:szCs w:val="28"/>
        </w:rPr>
        <w:t xml:space="preserve">10.2  Why No Competition Exists</w:t>
      </w:r>
    </w:p>
    <w:p>
      <w:pPr>
        <w:spacing w:before="0" w:after="160"/>
      </w:pPr>
      <w:r>
        <w:rPr>
          <w:rFonts w:ascii="Arial" w:cs="Arial" w:eastAsia="Arial" w:hAnsi="Arial"/>
          <w:color w:val="1E293B"/>
          <w:sz w:val="22"/>
          <w:szCs w:val="22"/>
        </w:rPr>
        <w:t xml:space="preserve">Bio-Rad charges thousands of dollars for their imaging hardware partly on the promise of bundled quantification software. JESS Simple Western costs $50,000+ and replaces the entire protocol. Neither is accessible to most global labs. The gap BlotQuant fills — a hardware-agnostic, image-upload, browser-based quantification tool — has no direct open-source or affordable commercial competitor.</w:t>
      </w:r>
    </w:p>
    <w:p>
      <w:pPr>
        <w:spacing w:before="120" w:after="0"/>
      </w:pPr>
      <w:r>
        <w:rPr>
          <w:rFonts w:ascii="Arial" w:cs="Arial" w:eastAsia="Arial" w:hAnsi="Arial"/>
          <w:sz w:val="22"/>
          <w:szCs w:val="22"/>
        </w:rPr>
        <w:t xml:space="preserve"/>
      </w:r>
    </w:p>
    <w:p>
      <w:pPr>
        <w:pStyle w:val="Heading2"/>
        <w:spacing w:before="360" w:after="120"/>
      </w:pPr>
      <w:r>
        <w:rPr>
          <w:rFonts w:ascii="Arial" w:cs="Arial" w:eastAsia="Arial" w:hAnsi="Arial"/>
          <w:b/>
          <w:bCs/>
          <w:color w:val="1E293B"/>
          <w:sz w:val="28"/>
          <w:szCs w:val="28"/>
        </w:rPr>
        <w:t xml:space="preserve">10.3  Deployment Model</w:t>
      </w:r>
    </w:p>
    <w:p>
      <w:pPr>
        <w:pStyle w:val="ListParagraph"/>
        <w:numPr>
          <w:ilvl w:val="0"/>
          <w:numId w:val="3"/>
        </w:numPr>
        <w:spacing w:before="0" w:after="80"/>
      </w:pPr>
      <w:r>
        <w:rPr>
          <w:rFonts w:ascii="Arial" w:cs="Arial" w:eastAsia="Arial" w:hAnsi="Arial"/>
          <w:color w:val="1E293B"/>
          <w:sz w:val="22"/>
          <w:szCs w:val="22"/>
        </w:rPr>
        <w:t xml:space="preserve">Free tier: unlimited uploads, Gemini 1.5 Flash inference, JSON export, 100 analysis history</w:t>
      </w:r>
    </w:p>
    <w:p>
      <w:pPr>
        <w:pStyle w:val="ListParagraph"/>
        <w:numPr>
          <w:ilvl w:val="0"/>
          <w:numId w:val="3"/>
        </w:numPr>
        <w:spacing w:before="0" w:after="80"/>
      </w:pPr>
      <w:r>
        <w:rPr>
          <w:rFonts w:ascii="Arial" w:cs="Arial" w:eastAsia="Arial" w:hAnsi="Arial"/>
          <w:color w:val="1E293B"/>
          <w:sz w:val="22"/>
          <w:szCs w:val="22"/>
        </w:rPr>
        <w:t xml:space="preserve">Pro tier: batch processing, CSV export, team sharing, priority inference queue</w:t>
      </w:r>
    </w:p>
    <w:p>
      <w:pPr>
        <w:pStyle w:val="ListParagraph"/>
        <w:numPr>
          <w:ilvl w:val="0"/>
          <w:numId w:val="3"/>
        </w:numPr>
        <w:spacing w:before="0" w:after="80"/>
      </w:pPr>
      <w:r>
        <w:rPr>
          <w:rFonts w:ascii="Arial" w:cs="Arial" w:eastAsia="Arial" w:hAnsi="Arial"/>
          <w:color w:val="1E293B"/>
          <w:sz w:val="22"/>
          <w:szCs w:val="22"/>
        </w:rPr>
        <w:t xml:space="preserve">Enterprise / journal tier: authenticity scoring API for manuscript screening at scale</w:t>
      </w:r>
    </w:p>
    <w:p>
      <w:pPr>
        <w:spacing w:before="120" w:after="0"/>
      </w:pPr>
      <w:r>
        <w:rPr>
          <w:rFonts w:ascii="Arial" w:cs="Arial" w:eastAsia="Arial" w:hAnsi="Arial"/>
          <w:sz w:val="22"/>
          <w:szCs w:val="22"/>
        </w:rPr>
        <w:t xml:space="preserve"/>
      </w:r>
    </w:p>
    <w:p>
      <w:pPr>
        <w:pStyle w:val="Heading1"/>
        <w:pBdr>
          <w:bottom w:val="single" w:color="0F52BA" w:sz="8" w:space="8"/>
        </w:pBdr>
        <w:spacing w:before="480" w:after="160"/>
      </w:pPr>
      <w:r>
        <w:rPr>
          <w:rFonts w:ascii="Arial" w:cs="Arial" w:eastAsia="Arial" w:hAnsi="Arial"/>
          <w:b/>
          <w:bCs/>
          <w:color w:val="0F52BA"/>
          <w:sz w:val="36"/>
          <w:szCs w:val="36"/>
        </w:rPr>
        <w:t xml:space="preserve">11.  Key References &amp;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Borders>
              <w:top w:val="single" w:color="CBD5E1" w:sz="1"/>
              <w:left w:val="single" w:color="CBD5E1" w:sz="1"/>
              <w:bottom w:val="single" w:color="CBD5E1" w:sz="1"/>
              <w:right w:val="single" w:color="CBD5E1" w:sz="1"/>
            </w:tcBorders>
            <w:shd w:fill="0F52BA" w:val="clear"/>
            <w:tcMar>
              <w:top w:type="dxa" w:w="100"/>
              <w:left w:type="dxa" w:w="140"/>
              <w:bottom w:type="dxa" w:w="100"/>
              <w:right w:type="dxa" w:w="140"/>
            </w:tcMar>
          </w:tcPr>
          <w:p>
            <w:r>
              <w:rPr>
                <w:rFonts w:ascii="Arial" w:cs="Arial" w:eastAsia="Arial" w:hAnsi="Arial"/>
                <w:b/>
                <w:bCs/>
                <w:color w:val="FFFFFF"/>
                <w:sz w:val="20"/>
                <w:szCs w:val="20"/>
              </w:rPr>
              <w:t xml:space="preserve">URL / Reference</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Mandelli et al. WB Dataset</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arxiv.org/abs/2112.08739</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PubMed Central OA FTP</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ftp.ncbi.nlm.nih.gov/pub/pmc</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Harvard Dataverse — Ricana</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dataverse.harvard.edu/dataset.xhtml?persistentId=doi:10.7910/DVN/YC4PS4</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CPTAC Antibody Portal</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antibodies.cancer.gov</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Mendeley Data</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data.mendeley.com  (search: western blot)</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SILA Dataset</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github.com/danielmoreira/sciint/tree/dataset</w:t>
            </w:r>
          </w:p>
        </w:tc>
      </w:tr>
      <w:tr>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Gemini API (free tier)</w:t>
            </w:r>
          </w:p>
        </w:tc>
        <w:tc>
          <w:tcPr>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aistudio.google.com/app/apikey</w:t>
            </w:r>
          </w:p>
        </w:tc>
      </w:tr>
      <w:tr>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BlotRig — Statistical Framework</w:t>
            </w:r>
          </w:p>
        </w:tc>
        <w:tc>
          <w:tcPr>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color w:val="1E293B"/>
                <w:sz w:val="20"/>
                <w:szCs w:val="20"/>
              </w:rPr>
              <w:t xml:space="preserve">Scientific Reports 2024 — normalization best practices</w:t>
            </w:r>
          </w:p>
        </w:tc>
      </w:tr>
    </w:tbl>
    <w:p>
      <w:pPr>
        <w:spacing w:before="120" w:after="0"/>
      </w:pPr>
      <w:r>
        <w:rPr>
          <w:rFonts w:ascii="Arial" w:cs="Arial" w:eastAsia="Arial" w:hAnsi="Arial"/>
          <w:sz w:val="22"/>
          <w:szCs w:val="22"/>
        </w:rPr>
        <w:t xml:space="preserve"/>
      </w:r>
    </w:p>
    <w:p>
      <w:pPr>
        <w:spacing w:before="24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65F46" w:sz="24"/>
              <w:bottom w:val="none" w:color="FFFFFF" w:sz="0"/>
              <w:right w:val="none" w:color="FFFFFF" w:sz="0"/>
            </w:tcBorders>
            <w:shd w:fill="ECFDF5" w:val="clear"/>
            <w:tcMar>
              <w:top w:type="dxa" w:w="120"/>
              <w:left w:type="dxa" w:w="200"/>
              <w:bottom w:type="dxa" w:w="120"/>
              <w:right w:type="dxa" w:w="200"/>
            </w:tcMar>
          </w:tcPr>
          <w:p>
            <w:r>
              <w:rPr>
                <w:rFonts w:ascii="Arial" w:cs="Arial" w:eastAsia="Arial" w:hAnsi="Arial"/>
                <w:b/>
                <w:bCs/>
                <w:color w:val="065F46"/>
                <w:sz w:val="22"/>
                <w:szCs w:val="22"/>
              </w:rPr>
              <w:t xml:space="preserve">Summary:  </w:t>
            </w:r>
            <w:r>
              <w:rPr>
                <w:rFonts w:ascii="Arial" w:cs="Arial" w:eastAsia="Arial" w:hAnsi="Arial"/>
                <w:color w:val="1E293B"/>
                <w:sz w:val="22"/>
                <w:szCs w:val="22"/>
              </w:rPr>
              <w:t xml:space="preserve">BlotQuant is a novel, hardware-agnostic deep learning pipeline that addresses six documented gaps in western blot quantification research. It combines instance segmentation, physics-informed regression, uncertainty quantification, and forensic image analysis into a single deployable web application — with a path from free Gemini Vision API demo to a fully trained research-grade system.</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BlotQuant — Western Blot Band Quantifier  |  </w:t>
    </w:r>
    <w:r>
      <w:rPr>
        <w:rFonts w:ascii="Arial" w:cs="Arial" w:eastAsia="Arial" w:hAnsi="Arial"/>
        <w:color w:val="47556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F52B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E293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F52B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2026-03-30T15:37:58.974Z</dcterms:created>
  <dcterms:modified xsi:type="dcterms:W3CDTF">2026-03-30T15:37:58.975Z</dcterms:modified>
</cp:coreProperties>
</file>

<file path=docProps/custom.xml><?xml version="1.0" encoding="utf-8"?>
<Properties xmlns="http://schemas.openxmlformats.org/officeDocument/2006/custom-properties" xmlns:vt="http://schemas.openxmlformats.org/officeDocument/2006/docPropsVTypes"/>
</file>