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1E5FA8"/>
          <w:sz w:val="72"/>
          <w:szCs w:val="72"/>
        </w:rPr>
        <w:t xml:space="preserve">AppointEase</w:t>
      </w:r>
    </w:p>
    <w:p>
      <w:pPr>
        <w:spacing w:after="120" w:before="0"/>
        <w:jc w:val="center"/>
      </w:pPr>
      <w:r>
        <w:rPr>
          <w:rFonts w:ascii="Arial" w:cs="Arial" w:eastAsia="Arial" w:hAnsi="Arial"/>
          <w:color w:val="1A1A2E"/>
          <w:sz w:val="40"/>
          <w:szCs w:val="40"/>
        </w:rPr>
        <w:t xml:space="preserve">High-Level Design Document (HLD)</w:t>
      </w:r>
    </w:p>
    <w:p>
      <w:pPr>
        <w:spacing w:after="60" w:before="0"/>
        <w:jc w:val="center"/>
      </w:pPr>
      <w:r>
        <w:rPr>
          <w:rFonts w:ascii="Arial" w:cs="Arial" w:eastAsia="Arial" w:hAnsi="Arial"/>
          <w:color w:val="555555"/>
          <w:sz w:val="24"/>
          <w:szCs w:val="24"/>
        </w:rPr>
        <w:t xml:space="preserve">System Architecture · Component Overview · Data Flow · Integration Points</w:t>
      </w:r>
    </w:p>
    <w:p>
      <w:pPr>
        <w:spacing w:after="700" w:before="60"/>
        <w:jc w:val="center"/>
      </w:pPr>
      <w:r>
        <w:rPr>
          <w:rFonts w:ascii="Arial" w:cs="Arial" w:eastAsia="Arial" w:hAnsi="Arial"/>
          <w:color w:val="888888"/>
          <w:sz w:val="20"/>
          <w:szCs w:val="20"/>
        </w:rPr>
        <w:t xml:space="preserve">Version 1.0  |  April 2026  |  CONFIDENTIAL</w:t>
      </w:r>
    </w:p>
    <w:p>
      <w:r>
        <w:br w:type="page"/>
      </w:r>
    </w:p>
    <w:p>
      <w:pPr>
        <w:pStyle w:val="Heading1"/>
        <w:pBdr>
          <w:bottom w:val="single" w:color="1E5FA8" w:sz="8" w:space="4"/>
        </w:pBdr>
        <w:spacing w:after="140" w:before="400"/>
      </w:pPr>
      <w:r>
        <w:rPr>
          <w:rFonts w:ascii="Arial" w:cs="Arial" w:eastAsia="Arial" w:hAnsi="Arial"/>
          <w:b/>
          <w:bCs/>
          <w:color w:val="1E5FA8"/>
          <w:sz w:val="34"/>
          <w:szCs w:val="34"/>
        </w:rPr>
        <w:t xml:space="preserve">1. Purpose &amp; Scope</w:t>
      </w:r>
    </w:p>
    <w:p>
      <w:pPr>
        <w:spacing w:after="100" w:before="60"/>
      </w:pPr>
      <w:r>
        <w:rPr>
          <w:rFonts w:ascii="Arial" w:cs="Arial" w:eastAsia="Arial" w:hAnsi="Arial"/>
          <w:color w:val="555555"/>
          <w:sz w:val="22"/>
          <w:szCs w:val="22"/>
        </w:rPr>
        <w:t xml:space="preserve">This High-Level Design document describes the overall system architecture of AppointEase, a dual-sided appointment booking platform. It covers the major components, their responsibilities, how they interact, data flow patterns, and integration points with external systems. This document is intended for architects, senior engineers, and technical stakeholders.</w:t>
      </w:r>
    </w:p>
    <w:p>
      <w:pPr>
        <w:spacing w:after="80" w:before="80"/>
      </w:pPr>
      <w:r>
        <w:t xml:space="preserve"/>
      </w:r>
    </w:p>
    <w:p>
      <w:pPr>
        <w:pStyle w:val="Heading1"/>
        <w:pBdr>
          <w:bottom w:val="single" w:color="1E5FA8" w:sz="8" w:space="4"/>
        </w:pBdr>
        <w:spacing w:after="140" w:before="400"/>
      </w:pPr>
      <w:r>
        <w:rPr>
          <w:rFonts w:ascii="Arial" w:cs="Arial" w:eastAsia="Arial" w:hAnsi="Arial"/>
          <w:b/>
          <w:bCs/>
          <w:color w:val="1E5FA8"/>
          <w:sz w:val="34"/>
          <w:szCs w:val="34"/>
        </w:rPr>
        <w:t xml:space="preserve">2. System Architecture Overview</w:t>
      </w:r>
    </w:p>
    <w:p>
      <w:pPr>
        <w:pStyle w:val="Heading2"/>
        <w:spacing w:after="100" w:before="260"/>
      </w:pPr>
      <w:r>
        <w:rPr>
          <w:rFonts w:ascii="Arial" w:cs="Arial" w:eastAsia="Arial" w:hAnsi="Arial"/>
          <w:b/>
          <w:bCs/>
          <w:color w:val="1A1A2E"/>
          <w:sz w:val="26"/>
          <w:szCs w:val="26"/>
        </w:rPr>
        <w:t xml:space="preserve">2.1 Architecture Style</w:t>
      </w:r>
    </w:p>
    <w:p>
      <w:pPr>
        <w:spacing w:after="100" w:before="60"/>
      </w:pPr>
      <w:r>
        <w:rPr>
          <w:rFonts w:ascii="Arial" w:cs="Arial" w:eastAsia="Arial" w:hAnsi="Arial"/>
          <w:color w:val="555555"/>
          <w:sz w:val="22"/>
          <w:szCs w:val="22"/>
        </w:rPr>
        <w:t xml:space="preserve">AppointEase follows a Modular Monolith architecture at v1.0 launch, with clear internal service boundaries designed for incremental extraction into microservices. The frontend is a separate React/React Native application communicating via REST APIs. All components are containerised (Docker) and deployed on AWS ECS.</w:t>
      </w:r>
    </w:p>
    <w:p>
      <w:pPr>
        <w:spacing w:after="80" w:before="80"/>
      </w:pPr>
      <w:r>
        <w:t xml:space="preserve"/>
      </w:r>
    </w:p>
    <w:p>
      <w:pPr>
        <w:pStyle w:val="ListParagraph"/>
        <w:numPr>
          <w:ilvl w:val="0"/>
          <w:numId w:val="2"/>
        </w:numPr>
        <w:spacing w:after="40" w:before="40"/>
      </w:pPr>
      <w:r>
        <w:rPr>
          <w:rFonts w:ascii="Arial" w:cs="Arial" w:eastAsia="Arial" w:hAnsi="Arial"/>
          <w:color w:val="555555"/>
          <w:sz w:val="22"/>
          <w:szCs w:val="22"/>
        </w:rPr>
        <w:t xml:space="preserve">Frontend and backend are fully decoupled — API contract-first design</w:t>
      </w:r>
    </w:p>
    <w:p>
      <w:pPr>
        <w:pStyle w:val="ListParagraph"/>
        <w:numPr>
          <w:ilvl w:val="0"/>
          <w:numId w:val="2"/>
        </w:numPr>
        <w:spacing w:after="40" w:before="40"/>
      </w:pPr>
      <w:r>
        <w:rPr>
          <w:rFonts w:ascii="Arial" w:cs="Arial" w:eastAsia="Arial" w:hAnsi="Arial"/>
          <w:color w:val="555555"/>
          <w:sz w:val="22"/>
          <w:szCs w:val="22"/>
        </w:rPr>
        <w:t xml:space="preserve">All internal modules communicate through well-defined interfaces (no direct DB sharing)</w:t>
      </w:r>
    </w:p>
    <w:p>
      <w:pPr>
        <w:pStyle w:val="ListParagraph"/>
        <w:numPr>
          <w:ilvl w:val="0"/>
          <w:numId w:val="2"/>
        </w:numPr>
        <w:spacing w:after="40" w:before="40"/>
      </w:pPr>
      <w:r>
        <w:rPr>
          <w:rFonts w:ascii="Arial" w:cs="Arial" w:eastAsia="Arial" w:hAnsi="Arial"/>
          <w:color w:val="555555"/>
          <w:sz w:val="22"/>
          <w:szCs w:val="22"/>
        </w:rPr>
        <w:t xml:space="preserve">Stateless API servers — session state stored in Redis, not in-process</w:t>
      </w:r>
    </w:p>
    <w:p>
      <w:pPr>
        <w:pStyle w:val="ListParagraph"/>
        <w:numPr>
          <w:ilvl w:val="0"/>
          <w:numId w:val="2"/>
        </w:numPr>
        <w:spacing w:after="40" w:before="40"/>
      </w:pPr>
      <w:r>
        <w:rPr>
          <w:rFonts w:ascii="Arial" w:cs="Arial" w:eastAsia="Arial" w:hAnsi="Arial"/>
          <w:color w:val="555555"/>
          <w:sz w:val="22"/>
          <w:szCs w:val="22"/>
        </w:rPr>
        <w:t xml:space="preserve">Event-driven notification flow (booking events trigger async notification jobs)</w:t>
      </w:r>
    </w:p>
    <w:p>
      <w:pPr>
        <w:spacing w:after="80" w:before="80"/>
      </w:pPr>
      <w:r>
        <w:t xml:space="preserve"/>
      </w:r>
    </w:p>
    <w:p>
      <w:pPr>
        <w:pStyle w:val="Heading2"/>
        <w:spacing w:after="100" w:before="260"/>
      </w:pPr>
      <w:r>
        <w:rPr>
          <w:rFonts w:ascii="Arial" w:cs="Arial" w:eastAsia="Arial" w:hAnsi="Arial"/>
          <w:b/>
          <w:bCs/>
          <w:color w:val="1A1A2E"/>
          <w:sz w:val="26"/>
          <w:szCs w:val="26"/>
        </w:rPr>
        <w:t xml:space="preserve">2.2 Architecture Diagram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Borders>
              <w:top w:val="single" w:color="CCCCCC" w:sz="1"/>
              <w:left w:val="single" w:color="CCCCCC" w:sz="1"/>
              <w:bottom w:val="single" w:color="CCCCCC" w:sz="1"/>
              <w:right w:val="single" w:color="CCCCCC" w:sz="1"/>
            </w:tcBorders>
            <w:shd w:fill="2E75B6"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Customer App
(React Native / Web)</w:t>
            </w:r>
          </w:p>
        </w:tc>
        <w:tc>
          <w:tcPr>
            <w:tcBorders>
              <w:top w:val="none"/>
              <w:left w:val="none"/>
              <w:bottom w:val="none"/>
              <w:right w:val="none"/>
            </w:tcBorders>
            <w:shd w:fill="FFFFFF" w:val="clear"/>
          </w:tcPr>
          <w:p>
            <w:r>
              <w:t xml:space="preserve"/>
            </w:r>
          </w:p>
        </w:tc>
        <w:tc>
          <w:tcPr>
            <w:tcBorders>
              <w:top w:val="single" w:color="CCCCCC" w:sz="1"/>
              <w:left w:val="single" w:color="CCCCCC" w:sz="1"/>
              <w:bottom w:val="single" w:color="CCCCCC" w:sz="1"/>
              <w:right w:val="single" w:color="CCCCCC" w:sz="1"/>
            </w:tcBorders>
            <w:shd w:fill="1A7A4A"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Provider Dashboard
(React.js Web)</w:t>
            </w:r>
          </w:p>
        </w:tc>
      </w:tr>
      <w:tr>
        <w:tc>
          <w:tcPr>
            <w:tcBorders>
              <w:top w:val="none"/>
              <w:left w:val="none"/>
              <w:bottom w:val="none"/>
              <w:right w:val="none"/>
            </w:tcBorders>
            <w:shd w:fill="FFFFFF" w:val="clear"/>
            <w:tcMar>
              <w:top w:type="dxa" w:w="60"/>
              <w:left w:type="dxa" w:w="80"/>
              <w:bottom w:type="dxa" w:w="60"/>
              <w:right w:type="dxa" w:w="80"/>
            </w:tcMar>
          </w:tcPr>
          <w:p>
            <w:pPr>
              <w:jc w:val="center"/>
            </w:pPr>
            <w:r>
              <w:rPr>
                <w:rFonts w:ascii="Arial" w:cs="Arial" w:eastAsia="Arial" w:hAnsi="Arial"/>
                <w:i/>
                <w:iCs/>
                <w:color w:val="888888"/>
                <w:sz w:val="18"/>
                <w:szCs w:val="18"/>
              </w:rPr>
              <w:t xml:space="preserve">iOS · Android · Browser</w:t>
            </w:r>
          </w:p>
        </w:tc>
        <w:tc>
          <w:tcPr>
            <w:tcBorders>
              <w:top w:val="none"/>
              <w:left w:val="none"/>
              <w:bottom w:val="none"/>
              <w:right w:val="none"/>
            </w:tcBorders>
            <w:shd w:fill="FFFFFF" w:val="clear"/>
          </w:tcPr>
          <w:p>
            <w:r>
              <w:t xml:space="preserve"/>
            </w:r>
          </w:p>
        </w:tc>
        <w:tc>
          <w:tcPr>
            <w:tcBorders>
              <w:top w:val="none"/>
              <w:left w:val="none"/>
              <w:bottom w:val="none"/>
              <w:right w:val="none"/>
            </w:tcBorders>
            <w:shd w:fill="FFFFFF" w:val="clear"/>
            <w:tcMar>
              <w:top w:type="dxa" w:w="60"/>
              <w:left w:type="dxa" w:w="80"/>
              <w:bottom w:type="dxa" w:w="60"/>
              <w:right w:type="dxa" w:w="80"/>
            </w:tcMar>
          </w:tcPr>
          <w:p>
            <w:pPr>
              <w:jc w:val="center"/>
            </w:pPr>
            <w:r>
              <w:rPr>
                <w:rFonts w:ascii="Arial" w:cs="Arial" w:eastAsia="Arial" w:hAnsi="Arial"/>
                <w:i/>
                <w:iCs/>
                <w:color w:val="888888"/>
                <w:sz w:val="18"/>
                <w:szCs w:val="18"/>
              </w:rPr>
              <w:t xml:space="preserve">Browser (Desktop-first)</w:t>
            </w:r>
          </w:p>
        </w:tc>
      </w:tr>
      <w:tr>
        <w:tc>
          <w:tcPr>
            <w:tcBorders>
              <w:top w:val="none"/>
              <w:left w:val="none"/>
              <w:bottom w:val="none"/>
              <w:right w:val="none"/>
            </w:tcBorders>
            <w:shd w:fill="FFFFFF" w:val="clear"/>
            <w:tcMar>
              <w:top w:type="dxa" w:w="20"/>
              <w:left w:type="dxa" w:w="80"/>
              <w:bottom w:type="dxa" w:w="20"/>
              <w:right w:type="dxa" w:w="80"/>
            </w:tcMar>
          </w:tcPr>
          <w:p>
            <w:pPr>
              <w:jc w:val="center"/>
            </w:pPr>
            <w:r>
              <w:rPr>
                <w:rFonts w:ascii="Arial" w:cs="Arial" w:eastAsia="Arial" w:hAnsi="Arial"/>
                <w:color w:val="AAAAAA"/>
                <w:sz w:val="22"/>
                <w:szCs w:val="22"/>
              </w:rPr>
              <w:t xml:space="preserve">▼</w:t>
            </w:r>
          </w:p>
        </w:tc>
        <w:tc>
          <w:tcPr>
            <w:tcBorders>
              <w:top w:val="none"/>
              <w:left w:val="none"/>
              <w:bottom w:val="none"/>
              <w:right w:val="none"/>
            </w:tcBorders>
            <w:shd w:fill="FFFFFF" w:val="clear"/>
          </w:tcPr>
          <w:p>
            <w:r>
              <w:t xml:space="preserve"/>
            </w:r>
          </w:p>
        </w:tc>
        <w:tc>
          <w:tcPr>
            <w:tcBorders>
              <w:top w:val="none"/>
              <w:left w:val="none"/>
              <w:bottom w:val="none"/>
              <w:right w:val="none"/>
            </w:tcBorders>
            <w:shd w:fill="FFFFFF" w:val="clear"/>
            <w:tcMar>
              <w:top w:type="dxa" w:w="20"/>
              <w:left w:type="dxa" w:w="80"/>
              <w:bottom w:type="dxa" w:w="20"/>
              <w:right w:type="dxa" w:w="80"/>
            </w:tcMar>
          </w:tcPr>
          <w:p>
            <w:pPr>
              <w:jc w:val="center"/>
            </w:pPr>
            <w:r>
              <w:rPr>
                <w:rFonts w:ascii="Arial" w:cs="Arial" w:eastAsia="Arial" w:hAnsi="Arial"/>
                <w:color w:val="AAAAAA"/>
                <w:sz w:val="22"/>
                <w:szCs w:val="22"/>
              </w:rPr>
              <w:t xml:space="preserve">▼</w:t>
            </w:r>
          </w:p>
        </w:tc>
      </w:tr>
      <w:tr>
        <w:tc>
          <w:tcPr>
            <w:tcBorders>
              <w:top w:val="single" w:color="CCCCCC" w:sz="1"/>
              <w:left w:val="single" w:color="CCCCCC" w:sz="1"/>
              <w:bottom w:val="single" w:color="CCCCCC" w:sz="1"/>
              <w:right w:val="single" w:color="CCCCCC" w:sz="1"/>
            </w:tcBorders>
            <w:shd w:fill="E8F0FB" w:val="clear"/>
            <w:tcMar>
              <w:top w:type="dxa" w:w="80"/>
              <w:left w:type="dxa" w:w="140"/>
              <w:bottom w:type="dxa" w:w="80"/>
              <w:right w:type="dxa" w:w="140"/>
            </w:tcMar>
          </w:tcPr>
          <w:p>
            <w:pPr>
              <w:jc w:val="center"/>
            </w:pPr>
            <w:r>
              <w:rPr>
                <w:rFonts w:ascii="Arial" w:cs="Arial" w:eastAsia="Arial" w:hAnsi="Arial"/>
                <w:b/>
                <w:bCs/>
                <w:color w:val="1E5FA8"/>
                <w:sz w:val="22"/>
                <w:szCs w:val="22"/>
              </w:rPr>
              <w:t xml:space="preserve">API Gateway  (Rate Limiting · Auth · Routing)</w:t>
            </w:r>
          </w:p>
        </w:tc>
      </w:tr>
      <w:tr>
        <w:tc>
          <w:tcPr>
            <w:tcBorders>
              <w:top w:val="none"/>
              <w:left w:val="none"/>
              <w:bottom w:val="none"/>
              <w:right w:val="none"/>
            </w:tcBorders>
            <w:shd w:fill="FFFFFF" w:val="clear"/>
            <w:tcMar>
              <w:top w:type="dxa" w:w="20"/>
              <w:left w:type="dxa" w:w="80"/>
              <w:bottom w:type="dxa" w:w="20"/>
              <w:right w:type="dxa" w:w="80"/>
            </w:tcMar>
          </w:tcPr>
          <w:p>
            <w:pPr>
              <w:jc w:val="center"/>
            </w:pPr>
            <w:r>
              <w:rPr>
                <w:rFonts w:ascii="Arial" w:cs="Arial" w:eastAsia="Arial" w:hAnsi="Arial"/>
                <w:color w:val="AAAAAA"/>
                <w:sz w:val="22"/>
                <w:szCs w:val="22"/>
              </w:rPr>
              <w:t xml:space="preserve">▼</w:t>
            </w:r>
          </w:p>
        </w:tc>
        <w:tc>
          <w:tcPr>
            <w:tcBorders>
              <w:top w:val="none"/>
              <w:left w:val="none"/>
              <w:bottom w:val="none"/>
              <w:right w:val="none"/>
            </w:tcBorders>
            <w:shd w:fill="FFFFFF" w:val="clear"/>
          </w:tcPr>
          <w:p>
            <w:r>
              <w:t xml:space="preserve"/>
            </w:r>
          </w:p>
        </w:tc>
        <w:tc>
          <w:tcPr>
            <w:tcBorders>
              <w:top w:val="none"/>
              <w:left w:val="none"/>
              <w:bottom w:val="none"/>
              <w:right w:val="none"/>
            </w:tcBorders>
            <w:shd w:fill="FFFFFF" w:val="clear"/>
            <w:tcMar>
              <w:top w:type="dxa" w:w="20"/>
              <w:left w:type="dxa" w:w="80"/>
              <w:bottom w:type="dxa" w:w="20"/>
              <w:right w:type="dxa" w:w="80"/>
            </w:tcMar>
          </w:tcPr>
          <w:p>
            <w:pPr>
              <w:jc w:val="center"/>
            </w:pPr>
            <w:r>
              <w:rPr>
                <w:rFonts w:ascii="Arial" w:cs="Arial" w:eastAsia="Arial" w:hAnsi="Arial"/>
                <w:color w:val="AAAAAA"/>
                <w:sz w:val="22"/>
                <w:szCs w:val="22"/>
              </w:rPr>
              <w:t xml:space="preserve"/>
            </w:r>
          </w:p>
        </w:tc>
      </w:tr>
      <w:tr>
        <w:tc>
          <w:tcPr>
            <w:tcBorders>
              <w:top w:val="single" w:color="CCCCCC" w:sz="1"/>
              <w:left w:val="single" w:color="CCCCCC" w:sz="1"/>
              <w:bottom w:val="single" w:color="CCCCCC" w:sz="1"/>
              <w:right w:val="single" w:color="CCCCCC" w:sz="1"/>
            </w:tcBorders>
            <w:shd w:fill="FFF3E0" w:val="clear"/>
            <w:tcMar>
              <w:top w:type="dxa" w:w="80"/>
              <w:left w:type="dxa" w:w="140"/>
              <w:bottom w:type="dxa" w:w="80"/>
              <w:right w:type="dxa" w:w="140"/>
            </w:tcMar>
          </w:tcPr>
          <w:p>
            <w:pPr>
              <w:jc w:val="center"/>
            </w:pPr>
            <w:r>
              <w:rPr>
                <w:rFonts w:ascii="Arial" w:cs="Arial" w:eastAsia="Arial" w:hAnsi="Arial"/>
                <w:b/>
                <w:bCs/>
                <w:color w:val="C05A00"/>
                <w:sz w:val="22"/>
                <w:szCs w:val="22"/>
              </w:rPr>
              <w:t xml:space="preserve">Core Services Layer</w:t>
            </w:r>
          </w:p>
        </w:tc>
      </w:tr>
      <w:tr>
        <w:tc>
          <w:tcPr>
            <w:tcBorders>
              <w:top w:val="none"/>
              <w:left w:val="single" w:color="CCCCCC" w:sz="1"/>
              <w:bottom w:val="single" w:color="CCCCCC" w:sz="1"/>
              <w:right w:val="single" w:color="CCCCCC" w:sz="1"/>
            </w:tcBorders>
            <w:shd w:fill="FFFDF5" w:val="clear"/>
            <w:tcMar>
              <w:top w:type="dxa" w:w="60"/>
              <w:left w:type="dxa" w:w="140"/>
              <w:bottom w:type="dxa" w:w="80"/>
              <w:right w:type="dxa" w:w="140"/>
            </w:tcMar>
          </w:tcPr>
          <w:p>
            <w:pPr>
              <w:jc w:val="center"/>
            </w:pPr>
            <w:r>
              <w:rPr>
                <w:rFonts w:ascii="Arial" w:cs="Arial" w:eastAsia="Arial" w:hAnsi="Arial"/>
                <w:color w:val="555555"/>
                <w:sz w:val="20"/>
                <w:szCs w:val="20"/>
              </w:rPr>
              <w:t xml:space="preserve">Auth  |  Booking Engine  |  Notification  |  Payment  |  Analytics</w:t>
            </w:r>
          </w:p>
        </w:tc>
      </w:tr>
      <w:tr>
        <w:tc>
          <w:tcPr>
            <w:tcBorders>
              <w:top w:val="none"/>
              <w:left w:val="none"/>
              <w:bottom w:val="none"/>
              <w:right w:val="none"/>
            </w:tcBorders>
            <w:shd w:fill="FFFFFF" w:val="clear"/>
            <w:tcMar>
              <w:top w:type="dxa" w:w="20"/>
              <w:left w:type="dxa" w:w="80"/>
              <w:bottom w:type="dxa" w:w="20"/>
              <w:right w:type="dxa" w:w="80"/>
            </w:tcMar>
          </w:tcPr>
          <w:p>
            <w:pPr>
              <w:jc w:val="center"/>
            </w:pPr>
            <w:r>
              <w:rPr>
                <w:rFonts w:ascii="Arial" w:cs="Arial" w:eastAsia="Arial" w:hAnsi="Arial"/>
                <w:color w:val="AAAAAA"/>
                <w:sz w:val="22"/>
                <w:szCs w:val="22"/>
              </w:rPr>
              <w:t xml:space="preserve">▼</w:t>
            </w:r>
          </w:p>
        </w:tc>
        <w:tc>
          <w:tcPr>
            <w:tcBorders>
              <w:top w:val="none"/>
              <w:left w:val="none"/>
              <w:bottom w:val="none"/>
              <w:right w:val="none"/>
            </w:tcBorders>
            <w:shd w:fill="FFFFFF" w:val="clear"/>
          </w:tcPr>
          <w:p>
            <w:r>
              <w:t xml:space="preserve"/>
            </w:r>
          </w:p>
        </w:tc>
        <w:tc>
          <w:tcPr>
            <w:tcBorders>
              <w:top w:val="none"/>
              <w:left w:val="none"/>
              <w:bottom w:val="none"/>
              <w:right w:val="none"/>
            </w:tcBorders>
            <w:shd w:fill="FFFFFF" w:val="clear"/>
            <w:tcMar>
              <w:top w:type="dxa" w:w="20"/>
              <w:left w:type="dxa" w:w="80"/>
              <w:bottom w:type="dxa" w:w="20"/>
              <w:right w:type="dxa" w:w="80"/>
            </w:tcMar>
          </w:tcPr>
          <w:p>
            <w:pPr>
              <w:jc w:val="center"/>
            </w:pPr>
            <w:r>
              <w:rPr>
                <w:rFonts w:ascii="Arial" w:cs="Arial" w:eastAsia="Arial" w:hAnsi="Arial"/>
                <w:color w:val="AAAAAA"/>
                <w:sz w:val="22"/>
                <w:szCs w:val="22"/>
              </w:rPr>
              <w:t xml:space="preserve"/>
            </w:r>
          </w:p>
        </w:tc>
      </w:tr>
      <w:tr>
        <w:tc>
          <w:tcPr>
            <w:tcBorders>
              <w:top w:val="single" w:color="CCCCCC" w:sz="1"/>
              <w:left w:val="single" w:color="CCCCCC" w:sz="1"/>
              <w:bottom w:val="single" w:color="CCCCCC" w:sz="1"/>
              <w:right w:val="single" w:color="CCCCCC" w:sz="1"/>
            </w:tcBorders>
            <w:shd w:fill="EEF6EE" w:val="clear"/>
            <w:tcMar>
              <w:top w:type="dxa" w:w="80"/>
              <w:left w:type="dxa" w:w="140"/>
              <w:bottom w:type="dxa" w:w="80"/>
              <w:right w:type="dxa" w:w="140"/>
            </w:tcMar>
          </w:tcPr>
          <w:p>
            <w:pPr>
              <w:jc w:val="center"/>
            </w:pPr>
            <w:r>
              <w:rPr>
                <w:rFonts w:ascii="Arial" w:cs="Arial" w:eastAsia="Arial" w:hAnsi="Arial"/>
                <w:b/>
                <w:bCs/>
                <w:color w:val="1A7A4A"/>
                <w:sz w:val="22"/>
                <w:szCs w:val="22"/>
              </w:rPr>
              <w:t xml:space="preserve">Data Layer</w:t>
            </w:r>
          </w:p>
        </w:tc>
      </w:tr>
      <w:tr>
        <w:tc>
          <w:tcPr>
            <w:tcBorders>
              <w:top w:val="none"/>
              <w:left w:val="single" w:color="CCCCCC" w:sz="1"/>
              <w:bottom w:val="single" w:color="CCCCCC" w:sz="1"/>
              <w:right w:val="single" w:color="CCCCCC" w:sz="1"/>
            </w:tcBorders>
            <w:shd w:fill="F6FBF6" w:val="clear"/>
            <w:tcMar>
              <w:top w:type="dxa" w:w="60"/>
              <w:left w:type="dxa" w:w="140"/>
              <w:bottom w:type="dxa" w:w="80"/>
              <w:right w:type="dxa" w:w="140"/>
            </w:tcMar>
          </w:tcPr>
          <w:p>
            <w:pPr>
              <w:jc w:val="center"/>
            </w:pPr>
            <w:r>
              <w:rPr>
                <w:rFonts w:ascii="Arial" w:cs="Arial" w:eastAsia="Arial" w:hAnsi="Arial"/>
                <w:color w:val="555555"/>
                <w:sz w:val="20"/>
                <w:szCs w:val="20"/>
              </w:rPr>
              <w:t xml:space="preserve">PostgreSQL (Primary DB)  |  Redis (Cache / Lock)  |  AWS S3 (Files)</w:t>
            </w:r>
          </w:p>
        </w:tc>
      </w:tr>
      <w:tr>
        <w:tc>
          <w:tcPr>
            <w:tcBorders>
              <w:top w:val="none"/>
              <w:left w:val="none"/>
              <w:bottom w:val="none"/>
              <w:right w:val="none"/>
            </w:tcBorders>
            <w:shd w:fill="FFFFFF" w:val="clear"/>
            <w:tcMar>
              <w:top w:type="dxa" w:w="20"/>
              <w:left w:type="dxa" w:w="80"/>
              <w:bottom w:type="dxa" w:w="20"/>
              <w:right w:type="dxa" w:w="80"/>
            </w:tcMar>
          </w:tcPr>
          <w:p>
            <w:pPr>
              <w:jc w:val="center"/>
            </w:pPr>
            <w:r>
              <w:rPr>
                <w:rFonts w:ascii="Arial" w:cs="Arial" w:eastAsia="Arial" w:hAnsi="Arial"/>
                <w:color w:val="AAAAAA"/>
                <w:sz w:val="22"/>
                <w:szCs w:val="22"/>
              </w:rPr>
              <w:t xml:space="preserve">▼</w:t>
            </w:r>
          </w:p>
        </w:tc>
        <w:tc>
          <w:tcPr>
            <w:tcBorders>
              <w:top w:val="none"/>
              <w:left w:val="none"/>
              <w:bottom w:val="none"/>
              <w:right w:val="none"/>
            </w:tcBorders>
            <w:shd w:fill="FFFFFF" w:val="clear"/>
          </w:tcPr>
          <w:p>
            <w:r>
              <w:t xml:space="preserve"/>
            </w:r>
          </w:p>
        </w:tc>
        <w:tc>
          <w:tcPr>
            <w:tcBorders>
              <w:top w:val="none"/>
              <w:left w:val="none"/>
              <w:bottom w:val="none"/>
              <w:right w:val="none"/>
            </w:tcBorders>
            <w:shd w:fill="FFFFFF" w:val="clear"/>
            <w:tcMar>
              <w:top w:type="dxa" w:w="20"/>
              <w:left w:type="dxa" w:w="80"/>
              <w:bottom w:type="dxa" w:w="20"/>
              <w:right w:type="dxa" w:w="80"/>
            </w:tcMar>
          </w:tcPr>
          <w:p>
            <w:pPr>
              <w:jc w:val="center"/>
            </w:pPr>
            <w:r>
              <w:rPr>
                <w:rFonts w:ascii="Arial" w:cs="Arial" w:eastAsia="Arial" w:hAnsi="Arial"/>
                <w:color w:val="AAAAAA"/>
                <w:sz w:val="22"/>
                <w:szCs w:val="22"/>
              </w:rPr>
              <w:t xml:space="preserve"/>
            </w:r>
          </w:p>
        </w:tc>
      </w:tr>
      <w:tr>
        <w:tc>
          <w:tcPr>
            <w:tcBorders>
              <w:top w:val="single" w:color="CCCCCC" w:sz="1"/>
              <w:left w:val="single" w:color="CCCCCC" w:sz="1"/>
              <w:bottom w:val="single" w:color="CCCCCC" w:sz="1"/>
              <w:right w:val="single" w:color="CCCCCC" w:sz="1"/>
            </w:tcBorders>
            <w:shd w:fill="F0E8FB" w:val="clear"/>
            <w:tcMar>
              <w:top w:type="dxa" w:w="80"/>
              <w:left w:type="dxa" w:w="140"/>
              <w:bottom w:type="dxa" w:w="80"/>
              <w:right w:type="dxa" w:w="140"/>
            </w:tcMar>
          </w:tcPr>
          <w:p>
            <w:pPr>
              <w:jc w:val="center"/>
            </w:pPr>
            <w:r>
              <w:rPr>
                <w:rFonts w:ascii="Arial" w:cs="Arial" w:eastAsia="Arial" w:hAnsi="Arial"/>
                <w:b/>
                <w:bCs/>
                <w:color w:val="6B3FA0"/>
                <w:sz w:val="22"/>
                <w:szCs w:val="22"/>
              </w:rPr>
              <w:t xml:space="preserve">External Integrations</w:t>
            </w:r>
          </w:p>
        </w:tc>
      </w:tr>
      <w:tr>
        <w:tc>
          <w:tcPr>
            <w:tcBorders>
              <w:top w:val="none"/>
              <w:left w:val="single" w:color="CCCCCC" w:sz="1"/>
              <w:bottom w:val="single" w:color="CCCCCC" w:sz="1"/>
              <w:right w:val="single" w:color="CCCCCC" w:sz="1"/>
            </w:tcBorders>
            <w:shd w:fill="F9F5FF" w:val="clear"/>
            <w:tcMar>
              <w:top w:type="dxa" w:w="60"/>
              <w:left w:type="dxa" w:w="140"/>
              <w:bottom w:type="dxa" w:w="80"/>
              <w:right w:type="dxa" w:w="140"/>
            </w:tcMar>
          </w:tcPr>
          <w:p>
            <w:pPr>
              <w:jc w:val="center"/>
            </w:pPr>
            <w:r>
              <w:rPr>
                <w:rFonts w:ascii="Arial" w:cs="Arial" w:eastAsia="Arial" w:hAnsi="Arial"/>
                <w:color w:val="555555"/>
                <w:sz w:val="20"/>
                <w:szCs w:val="20"/>
              </w:rPr>
              <w:t xml:space="preserve">Razorpay  |  Twilio SMS  |  Firebase Push  |  SendGrid Email  |  AWS CloudWatch</w:t>
            </w:r>
          </w:p>
        </w:tc>
      </w:tr>
    </w:tbl>
    <w:p>
      <w:pPr>
        <w:spacing w:after="80" w:before="80"/>
      </w:pPr>
      <w:r>
        <w:t xml:space="preserve"/>
      </w:r>
    </w:p>
    <w:p>
      <w:pPr>
        <w:pStyle w:val="Heading2"/>
        <w:spacing w:after="100" w:before="260"/>
      </w:pPr>
      <w:r>
        <w:rPr>
          <w:rFonts w:ascii="Arial" w:cs="Arial" w:eastAsia="Arial" w:hAnsi="Arial"/>
          <w:b/>
          <w:bCs/>
          <w:color w:val="1A1A2E"/>
          <w:sz w:val="26"/>
          <w:szCs w:val="26"/>
        </w:rPr>
        <w:t xml:space="preserve">2.3 Deployment Architecture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2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Hosting</w:t>
            </w:r>
          </w:p>
        </w:tc>
        <w:tc>
          <w:tcPr>
            <w:tcW w:type="dxa" w:w="376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Scaling Strategy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Frontend (Web)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AWS CloudFront + S3 (static)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CDN edge caching</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Mobile App</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App Store / Google Play</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Client-side, OTA updates via CodePush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API Server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AWS ECS (Fargate)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Auto-scaling on CPU/memory thresholds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PostgreSQL</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AWS RDS (Multi-AZ)</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Read replicas for analytics queries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AWS ElastiCache (Cluster Mode)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Horizontal sharding</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File Storage</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AWS S3 + CloudFront</w:t>
            </w:r>
          </w:p>
        </w:tc>
        <w:tc>
          <w:tcPr>
            <w:tcW w:type="dxa" w:w="37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CDN distribution for images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Background Jobs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AWS SQS + ECS Workers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Queue-based auto-scaling</w:t>
            </w:r>
          </w:p>
        </w:tc>
      </w:tr>
    </w:tbl>
    <w:p>
      <w:pPr>
        <w:spacing w:after="80" w:before="80"/>
      </w:pPr>
      <w:r>
        <w:t xml:space="preserve"/>
      </w:r>
    </w:p>
    <w:p>
      <w:r>
        <w:br w:type="page"/>
      </w:r>
    </w:p>
    <w:p>
      <w:pPr>
        <w:pStyle w:val="Heading1"/>
        <w:pBdr>
          <w:bottom w:val="single" w:color="1E5FA8" w:sz="8" w:space="4"/>
        </w:pBdr>
        <w:spacing w:after="140" w:before="400"/>
      </w:pPr>
      <w:r>
        <w:rPr>
          <w:rFonts w:ascii="Arial" w:cs="Arial" w:eastAsia="Arial" w:hAnsi="Arial"/>
          <w:b/>
          <w:bCs/>
          <w:color w:val="1E5FA8"/>
          <w:sz w:val="34"/>
          <w:szCs w:val="34"/>
        </w:rPr>
        <w:t xml:space="preserve">3. Core System Components</w:t>
      </w:r>
    </w:p>
    <w:p>
      <w:pPr>
        <w:pStyle w:val="Heading2"/>
        <w:spacing w:after="100" w:before="260"/>
      </w:pPr>
      <w:r>
        <w:rPr>
          <w:rFonts w:ascii="Arial" w:cs="Arial" w:eastAsia="Arial" w:hAnsi="Arial"/>
          <w:b/>
          <w:bCs/>
          <w:color w:val="1A1A2E"/>
          <w:sz w:val="26"/>
          <w:szCs w:val="26"/>
        </w:rPr>
        <w:t xml:space="preserve">3.1 Client Applications</w:t>
      </w:r>
    </w:p>
    <w:p>
      <w:pPr>
        <w:spacing w:after="80" w:before="180"/>
      </w:pPr>
      <w:r>
        <w:rPr>
          <w:rFonts w:ascii="Arial" w:cs="Arial" w:eastAsia="Arial" w:hAnsi="Arial"/>
          <w:b/>
          <w:bCs/>
          <w:color w:val="2E75B6"/>
          <w:sz w:val="22"/>
          <w:szCs w:val="22"/>
        </w:rPr>
        <w:t xml:space="preserve">Customer App (React Native + Web)</w:t>
      </w:r>
    </w:p>
    <w:p>
      <w:pPr>
        <w:pStyle w:val="ListParagraph"/>
        <w:numPr>
          <w:ilvl w:val="0"/>
          <w:numId w:val="2"/>
        </w:numPr>
        <w:spacing w:after="40" w:before="40"/>
      </w:pPr>
      <w:r>
        <w:rPr>
          <w:rFonts w:ascii="Arial" w:cs="Arial" w:eastAsia="Arial" w:hAnsi="Arial"/>
          <w:color w:val="555555"/>
          <w:sz w:val="22"/>
          <w:szCs w:val="22"/>
        </w:rPr>
        <w:t xml:space="preserve">Single codebase targeting iOS, Android, and mobile web</w:t>
      </w:r>
    </w:p>
    <w:p>
      <w:pPr>
        <w:pStyle w:val="ListParagraph"/>
        <w:numPr>
          <w:ilvl w:val="0"/>
          <w:numId w:val="2"/>
        </w:numPr>
        <w:spacing w:after="40" w:before="40"/>
      </w:pPr>
      <w:r>
        <w:rPr>
          <w:rFonts w:ascii="Arial" w:cs="Arial" w:eastAsia="Arial" w:hAnsi="Arial"/>
          <w:color w:val="555555"/>
          <w:sz w:val="22"/>
          <w:szCs w:val="22"/>
        </w:rPr>
        <w:t xml:space="preserve">Handles service discovery, booking flow, payment, and history</w:t>
      </w:r>
    </w:p>
    <w:p>
      <w:pPr>
        <w:pStyle w:val="ListParagraph"/>
        <w:numPr>
          <w:ilvl w:val="0"/>
          <w:numId w:val="2"/>
        </w:numPr>
        <w:spacing w:after="40" w:before="40"/>
      </w:pPr>
      <w:r>
        <w:rPr>
          <w:rFonts w:ascii="Arial" w:cs="Arial" w:eastAsia="Arial" w:hAnsi="Arial"/>
          <w:color w:val="555555"/>
          <w:sz w:val="22"/>
          <w:szCs w:val="22"/>
        </w:rPr>
        <w:t xml:space="preserve">Communicates exclusively through REST API — no direct DB access</w:t>
      </w:r>
    </w:p>
    <w:p>
      <w:pPr>
        <w:pStyle w:val="ListParagraph"/>
        <w:numPr>
          <w:ilvl w:val="0"/>
          <w:numId w:val="2"/>
        </w:numPr>
        <w:spacing w:after="40" w:before="40"/>
      </w:pPr>
      <w:r>
        <w:rPr>
          <w:rFonts w:ascii="Arial" w:cs="Arial" w:eastAsia="Arial" w:hAnsi="Arial"/>
          <w:color w:val="555555"/>
          <w:sz w:val="22"/>
          <w:szCs w:val="22"/>
        </w:rPr>
        <w:t xml:space="preserve">Push notifications via Firebase Cloud Messaging (FCM)</w:t>
      </w:r>
    </w:p>
    <w:p>
      <w:pPr>
        <w:spacing w:after="80" w:before="80"/>
      </w:pPr>
      <w:r>
        <w:t xml:space="preserve"/>
      </w:r>
    </w:p>
    <w:p>
      <w:pPr>
        <w:spacing w:after="80" w:before="180"/>
      </w:pPr>
      <w:r>
        <w:rPr>
          <w:rFonts w:ascii="Arial" w:cs="Arial" w:eastAsia="Arial" w:hAnsi="Arial"/>
          <w:b/>
          <w:bCs/>
          <w:color w:val="2E75B6"/>
          <w:sz w:val="22"/>
          <w:szCs w:val="22"/>
        </w:rPr>
        <w:t xml:space="preserve">Provider Dashboard (React.js)</w:t>
      </w:r>
    </w:p>
    <w:p>
      <w:pPr>
        <w:pStyle w:val="ListParagraph"/>
        <w:numPr>
          <w:ilvl w:val="0"/>
          <w:numId w:val="2"/>
        </w:numPr>
        <w:spacing w:after="40" w:before="40"/>
      </w:pPr>
      <w:r>
        <w:rPr>
          <w:rFonts w:ascii="Arial" w:cs="Arial" w:eastAsia="Arial" w:hAnsi="Arial"/>
          <w:color w:val="555555"/>
          <w:sz w:val="22"/>
          <w:szCs w:val="22"/>
        </w:rPr>
        <w:t xml:space="preserve">Desktop-optimised web application for business management</w:t>
      </w:r>
    </w:p>
    <w:p>
      <w:pPr>
        <w:pStyle w:val="ListParagraph"/>
        <w:numPr>
          <w:ilvl w:val="0"/>
          <w:numId w:val="2"/>
        </w:numPr>
        <w:spacing w:after="40" w:before="40"/>
      </w:pPr>
      <w:r>
        <w:rPr>
          <w:rFonts w:ascii="Arial" w:cs="Arial" w:eastAsia="Arial" w:hAnsi="Arial"/>
          <w:color w:val="555555"/>
          <w:sz w:val="22"/>
          <w:szCs w:val="22"/>
        </w:rPr>
        <w:t xml:space="preserve">Real-time slot updates using WebSocket connection to the API</w:t>
      </w:r>
    </w:p>
    <w:p>
      <w:pPr>
        <w:pStyle w:val="ListParagraph"/>
        <w:numPr>
          <w:ilvl w:val="0"/>
          <w:numId w:val="2"/>
        </w:numPr>
        <w:spacing w:after="40" w:before="40"/>
      </w:pPr>
      <w:r>
        <w:rPr>
          <w:rFonts w:ascii="Arial" w:cs="Arial" w:eastAsia="Arial" w:hAnsi="Arial"/>
          <w:color w:val="555555"/>
          <w:sz w:val="22"/>
          <w:szCs w:val="22"/>
        </w:rPr>
        <w:t xml:space="preserve">Role-aware: Owner, Staff, and Admin roles with different views</w:t>
      </w:r>
    </w:p>
    <w:p>
      <w:pPr>
        <w:spacing w:after="80" w:before="80"/>
      </w:pPr>
      <w:r>
        <w:t xml:space="preserve"/>
      </w:r>
    </w:p>
    <w:p>
      <w:pPr>
        <w:pStyle w:val="Heading2"/>
        <w:spacing w:after="100" w:before="260"/>
      </w:pPr>
      <w:r>
        <w:rPr>
          <w:rFonts w:ascii="Arial" w:cs="Arial" w:eastAsia="Arial" w:hAnsi="Arial"/>
          <w:b/>
          <w:bCs/>
          <w:color w:val="1A1A2E"/>
          <w:sz w:val="26"/>
          <w:szCs w:val="26"/>
        </w:rPr>
        <w:t xml:space="preserve">3.2 API Gateway</w:t>
      </w:r>
    </w:p>
    <w:p>
      <w:pPr>
        <w:spacing w:after="100" w:before="60"/>
      </w:pPr>
      <w:r>
        <w:rPr>
          <w:rFonts w:ascii="Arial" w:cs="Arial" w:eastAsia="Arial" w:hAnsi="Arial"/>
          <w:color w:val="555555"/>
          <w:sz w:val="22"/>
          <w:szCs w:val="22"/>
        </w:rPr>
        <w:t xml:space="preserve">Nginx-based API Gateway acts as the single entry point for all client traffic. Responsibilities include:</w:t>
      </w:r>
    </w:p>
    <w:p>
      <w:pPr>
        <w:pStyle w:val="ListParagraph"/>
        <w:numPr>
          <w:ilvl w:val="0"/>
          <w:numId w:val="2"/>
        </w:numPr>
        <w:spacing w:after="40" w:before="40"/>
      </w:pPr>
      <w:r>
        <w:rPr>
          <w:rFonts w:ascii="Arial" w:cs="Arial" w:eastAsia="Arial" w:hAnsi="Arial"/>
          <w:color w:val="555555"/>
          <w:sz w:val="22"/>
          <w:szCs w:val="22"/>
        </w:rPr>
        <w:t xml:space="preserve">TLS termination and request forwarding</w:t>
      </w:r>
    </w:p>
    <w:p>
      <w:pPr>
        <w:pStyle w:val="ListParagraph"/>
        <w:numPr>
          <w:ilvl w:val="0"/>
          <w:numId w:val="2"/>
        </w:numPr>
        <w:spacing w:after="40" w:before="40"/>
      </w:pPr>
      <w:r>
        <w:rPr>
          <w:rFonts w:ascii="Arial" w:cs="Arial" w:eastAsia="Arial" w:hAnsi="Arial"/>
          <w:color w:val="555555"/>
          <w:sz w:val="22"/>
          <w:szCs w:val="22"/>
        </w:rPr>
        <w:t xml:space="preserve">JWT validation and request authentication before routing to services</w:t>
      </w:r>
    </w:p>
    <w:p>
      <w:pPr>
        <w:pStyle w:val="ListParagraph"/>
        <w:numPr>
          <w:ilvl w:val="0"/>
          <w:numId w:val="2"/>
        </w:numPr>
        <w:spacing w:after="40" w:before="40"/>
      </w:pPr>
      <w:r>
        <w:rPr>
          <w:rFonts w:ascii="Arial" w:cs="Arial" w:eastAsia="Arial" w:hAnsi="Arial"/>
          <w:color w:val="555555"/>
          <w:sz w:val="22"/>
          <w:szCs w:val="22"/>
        </w:rPr>
        <w:t xml:space="preserve">Rate limiting: 100 req/min per authenticated user; 20 req/min for unauthenticated</w:t>
      </w:r>
    </w:p>
    <w:p>
      <w:pPr>
        <w:pStyle w:val="ListParagraph"/>
        <w:numPr>
          <w:ilvl w:val="0"/>
          <w:numId w:val="2"/>
        </w:numPr>
        <w:spacing w:after="40" w:before="40"/>
      </w:pPr>
      <w:r>
        <w:rPr>
          <w:rFonts w:ascii="Arial" w:cs="Arial" w:eastAsia="Arial" w:hAnsi="Arial"/>
          <w:color w:val="555555"/>
          <w:sz w:val="22"/>
          <w:szCs w:val="22"/>
        </w:rPr>
        <w:t xml:space="preserve">Request/response logging to AWS CloudWatch</w:t>
      </w:r>
    </w:p>
    <w:p>
      <w:pPr>
        <w:pStyle w:val="ListParagraph"/>
        <w:numPr>
          <w:ilvl w:val="0"/>
          <w:numId w:val="2"/>
        </w:numPr>
        <w:spacing w:after="40" w:before="40"/>
      </w:pPr>
      <w:r>
        <w:rPr>
          <w:rFonts w:ascii="Arial" w:cs="Arial" w:eastAsia="Arial" w:hAnsi="Arial"/>
          <w:color w:val="555555"/>
          <w:sz w:val="22"/>
          <w:szCs w:val="22"/>
        </w:rPr>
        <w:t xml:space="preserve">Circuit breaker for downstream service failures</w:t>
      </w:r>
    </w:p>
    <w:p>
      <w:pPr>
        <w:spacing w:after="80" w:before="80"/>
      </w:pPr>
      <w:r>
        <w:t xml:space="preserve"/>
      </w:r>
    </w:p>
    <w:p>
      <w:pPr>
        <w:pStyle w:val="Heading2"/>
        <w:spacing w:after="100" w:before="260"/>
      </w:pPr>
      <w:r>
        <w:rPr>
          <w:rFonts w:ascii="Arial" w:cs="Arial" w:eastAsia="Arial" w:hAnsi="Arial"/>
          <w:b/>
          <w:bCs/>
          <w:color w:val="1A1A2E"/>
          <w:sz w:val="26"/>
          <w:szCs w:val="26"/>
        </w:rPr>
        <w:t xml:space="preserve">3.3 Core Service Modules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2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416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Key Interactions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Auth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Registration, login, JWT issuance, refresh, OAuth</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Redis (token store), PostgreSQL (users)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Booking Engine</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Slot management, booking creation, conflict prevention</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Redis (distributed locks), PostgreSQL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Notification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Email, SMS, push dispatch via async queue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AWS SQS, Twilio, Firebase, SendGrid</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Payment Service</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Payment initiation, webhook handling, refunds</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Razorpay API, PostgreSQL (payment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Analytics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Aggregated reporting, dashboard data APIs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PostgreSQL read replica, Redis cache</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Search Service</w:t>
            </w:r>
          </w:p>
        </w:tc>
        <w:tc>
          <w:tcPr>
            <w:tcW w:type="dxa" w:w="3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Provider/service discovery with filters</w:t>
            </w:r>
          </w:p>
        </w:tc>
        <w:tc>
          <w:tcPr>
            <w:tcW w:type="dxa" w:w="41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PostgreSQL full-text search + PostGIS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Review Service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Rating submission, moderation, aggregate scores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PostgreSQL</w:t>
            </w:r>
          </w:p>
        </w:tc>
      </w:tr>
    </w:tbl>
    <w:p>
      <w:pPr>
        <w:spacing w:after="80" w:before="80"/>
      </w:pPr>
      <w:r>
        <w:t xml:space="preserve"/>
      </w:r>
    </w:p>
    <w:p>
      <w:r>
        <w:br w:type="page"/>
      </w:r>
    </w:p>
    <w:p>
      <w:pPr>
        <w:pStyle w:val="Heading1"/>
        <w:pBdr>
          <w:bottom w:val="single" w:color="1E5FA8" w:sz="8" w:space="4"/>
        </w:pBdr>
        <w:spacing w:after="140" w:before="400"/>
      </w:pPr>
      <w:r>
        <w:rPr>
          <w:rFonts w:ascii="Arial" w:cs="Arial" w:eastAsia="Arial" w:hAnsi="Arial"/>
          <w:b/>
          <w:bCs/>
          <w:color w:val="1E5FA8"/>
          <w:sz w:val="34"/>
          <w:szCs w:val="34"/>
        </w:rPr>
        <w:t xml:space="preserve">4. Key Data Flows</w:t>
      </w:r>
    </w:p>
    <w:p>
      <w:pPr>
        <w:pStyle w:val="Heading2"/>
        <w:spacing w:after="100" w:before="260"/>
      </w:pPr>
      <w:r>
        <w:rPr>
          <w:rFonts w:ascii="Arial" w:cs="Arial" w:eastAsia="Arial" w:hAnsi="Arial"/>
          <w:b/>
          <w:bCs/>
          <w:color w:val="1A1A2E"/>
          <w:sz w:val="26"/>
          <w:szCs w:val="26"/>
        </w:rPr>
        <w:t xml:space="preserve">4.1 Booking Flow</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200"/>
        <w:gridCol w:w="3000"/>
        <w:gridCol w:w="4600"/>
      </w:tblGrid>
      <w:tr>
        <w:trPr>
          <w:tblHeader/>
        </w:trPr>
        <w:tc>
          <w:tcPr>
            <w:tcW w:type="dxa" w:w="56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12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Actor</w:t>
            </w:r>
          </w:p>
        </w:tc>
        <w:tc>
          <w:tcPr>
            <w:tcW w:type="dxa" w:w="30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46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System</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Search for service / provider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Search Service + PostgreSQL</w:t>
            </w:r>
          </w:p>
        </w:tc>
      </w:tr>
      <w:tr>
        <w:tc>
          <w:tcPr>
            <w:tcW w:type="dxa" w:w="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2</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Select service, staff, date/time slot</w:t>
            </w:r>
          </w:p>
        </w:tc>
        <w:tc>
          <w:tcPr>
            <w:tcW w:type="dxa" w:w="4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Booking Engine reads available slots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Acquire Redis distributed lock on slot</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Redis (prevents race condition)</w:t>
            </w:r>
          </w:p>
        </w:tc>
      </w:tr>
      <w:tr>
        <w:tc>
          <w:tcPr>
            <w:tcW w:type="dxa" w:w="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4</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Customer</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Confirm booking + payment</w:t>
            </w:r>
          </w:p>
        </w:tc>
        <w:tc>
          <w:tcPr>
            <w:tcW w:type="dxa" w:w="4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Payment Service → Razorpay</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Payment confirmed webhook received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Payment Service → Razorpay webhook</w:t>
            </w:r>
          </w:p>
        </w:tc>
      </w:tr>
      <w:tr>
        <w:tc>
          <w:tcPr>
            <w:tcW w:type="dxa" w:w="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6</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System</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Booking record created, slot marked booked</w:t>
            </w:r>
          </w:p>
        </w:tc>
        <w:tc>
          <w:tcPr>
            <w:tcW w:type="dxa" w:w="4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PostgreSQL write</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System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Release Redis lock</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Redis</w:t>
            </w:r>
          </w:p>
        </w:tc>
      </w:tr>
      <w:tr>
        <w:tc>
          <w:tcPr>
            <w:tcW w:type="dxa" w:w="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8</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System</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Emit BookingCreated event</w:t>
            </w:r>
          </w:p>
        </w:tc>
        <w:tc>
          <w:tcPr>
            <w:tcW w:type="dxa" w:w="4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AWS SQS</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Notification Service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Send confirmation email + SMS + push</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SendGrid, Twilio, Firebase</w:t>
            </w:r>
          </w:p>
        </w:tc>
      </w:tr>
      <w:tr>
        <w:tc>
          <w:tcPr>
            <w:tcW w:type="dxa" w:w="5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10</w:t>
            </w:r>
          </w:p>
        </w:tc>
        <w:tc>
          <w:tcPr>
            <w:tcW w:type="dxa" w:w="12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Provider</w:t>
            </w:r>
          </w:p>
        </w:tc>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Sees new booking on dashboard (WebSocket)</w:t>
            </w:r>
          </w:p>
        </w:tc>
        <w:tc>
          <w:tcPr>
            <w:tcW w:type="dxa" w:w="46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WebSocket push to provider client</w:t>
            </w:r>
          </w:p>
        </w:tc>
      </w:tr>
    </w:tbl>
    <w:p>
      <w:pPr>
        <w:spacing w:after="80" w:before="80"/>
      </w:pPr>
      <w:r>
        <w:t xml:space="preserve"/>
      </w:r>
    </w:p>
    <w:p>
      <w:pPr>
        <w:pStyle w:val="Heading2"/>
        <w:spacing w:after="100" w:before="260"/>
      </w:pPr>
      <w:r>
        <w:rPr>
          <w:rFonts w:ascii="Arial" w:cs="Arial" w:eastAsia="Arial" w:hAnsi="Arial"/>
          <w:b/>
          <w:bCs/>
          <w:color w:val="1A1A2E"/>
          <w:sz w:val="26"/>
          <w:szCs w:val="26"/>
        </w:rPr>
        <w:t xml:space="preserve">4.2 Authentication Flow</w:t>
      </w:r>
    </w:p>
    <w:p>
      <w:pPr>
        <w:pStyle w:val="ListParagraph"/>
        <w:numPr>
          <w:ilvl w:val="0"/>
          <w:numId w:val="2"/>
        </w:numPr>
        <w:spacing w:after="40" w:before="40"/>
      </w:pPr>
      <w:r>
        <w:rPr>
          <w:rFonts w:ascii="Arial" w:cs="Arial" w:eastAsia="Arial" w:hAnsi="Arial"/>
          <w:color w:val="555555"/>
          <w:sz w:val="22"/>
          <w:szCs w:val="22"/>
        </w:rPr>
        <w:t xml:space="preserve">Customer submits credentials → Auth Service validates → issues access token (15 min) + refresh token (30 days)</w:t>
      </w:r>
    </w:p>
    <w:p>
      <w:pPr>
        <w:pStyle w:val="ListParagraph"/>
        <w:numPr>
          <w:ilvl w:val="0"/>
          <w:numId w:val="2"/>
        </w:numPr>
        <w:spacing w:after="40" w:before="40"/>
      </w:pPr>
      <w:r>
        <w:rPr>
          <w:rFonts w:ascii="Arial" w:cs="Arial" w:eastAsia="Arial" w:hAnsi="Arial"/>
          <w:color w:val="555555"/>
          <w:sz w:val="22"/>
          <w:szCs w:val="22"/>
        </w:rPr>
        <w:t xml:space="preserve">Refresh token stored in Redis with user ID mapping</w:t>
      </w:r>
    </w:p>
    <w:p>
      <w:pPr>
        <w:pStyle w:val="ListParagraph"/>
        <w:numPr>
          <w:ilvl w:val="0"/>
          <w:numId w:val="2"/>
        </w:numPr>
        <w:spacing w:after="40" w:before="40"/>
      </w:pPr>
      <w:r>
        <w:rPr>
          <w:rFonts w:ascii="Arial" w:cs="Arial" w:eastAsia="Arial" w:hAnsi="Arial"/>
          <w:color w:val="555555"/>
          <w:sz w:val="22"/>
          <w:szCs w:val="22"/>
        </w:rPr>
        <w:t xml:space="preserve">On expiry: client uses refresh token to get new access token (silent refresh)</w:t>
      </w:r>
    </w:p>
    <w:p>
      <w:pPr>
        <w:pStyle w:val="ListParagraph"/>
        <w:numPr>
          <w:ilvl w:val="0"/>
          <w:numId w:val="2"/>
        </w:numPr>
        <w:spacing w:after="40" w:before="40"/>
      </w:pPr>
      <w:r>
        <w:rPr>
          <w:rFonts w:ascii="Arial" w:cs="Arial" w:eastAsia="Arial" w:hAnsi="Arial"/>
          <w:color w:val="555555"/>
          <w:sz w:val="22"/>
          <w:szCs w:val="22"/>
        </w:rPr>
        <w:t xml:space="preserve">Logout: refresh token deleted from Redis; access token expires naturally</w:t>
      </w:r>
    </w:p>
    <w:p>
      <w:pPr>
        <w:spacing w:after="80" w:before="80"/>
      </w:pPr>
      <w:r>
        <w:t xml:space="preserve"/>
      </w:r>
    </w:p>
    <w:p>
      <w:pPr>
        <w:pStyle w:val="Heading2"/>
        <w:spacing w:after="100" w:before="260"/>
      </w:pPr>
      <w:r>
        <w:rPr>
          <w:rFonts w:ascii="Arial" w:cs="Arial" w:eastAsia="Arial" w:hAnsi="Arial"/>
          <w:b/>
          <w:bCs/>
          <w:color w:val="1A1A2E"/>
          <w:sz w:val="26"/>
          <w:szCs w:val="26"/>
        </w:rPr>
        <w:t xml:space="preserve">4.3 Notification Flow (Async)</w:t>
      </w:r>
    </w:p>
    <w:p>
      <w:pPr>
        <w:pStyle w:val="ListParagraph"/>
        <w:numPr>
          <w:ilvl w:val="0"/>
          <w:numId w:val="2"/>
        </w:numPr>
        <w:spacing w:after="40" w:before="40"/>
      </w:pPr>
      <w:r>
        <w:rPr>
          <w:rFonts w:ascii="Arial" w:cs="Arial" w:eastAsia="Arial" w:hAnsi="Arial"/>
          <w:color w:val="555555"/>
          <w:sz w:val="22"/>
          <w:szCs w:val="22"/>
        </w:rPr>
        <w:t xml:space="preserve">All notification triggers are published to AWS SQS as events (BookingCreated, BookingCancelled, Reminder24h, etc.)</w:t>
      </w:r>
    </w:p>
    <w:p>
      <w:pPr>
        <w:pStyle w:val="ListParagraph"/>
        <w:numPr>
          <w:ilvl w:val="0"/>
          <w:numId w:val="2"/>
        </w:numPr>
        <w:spacing w:after="40" w:before="40"/>
      </w:pPr>
      <w:r>
        <w:rPr>
          <w:rFonts w:ascii="Arial" w:cs="Arial" w:eastAsia="Arial" w:hAnsi="Arial"/>
          <w:color w:val="555555"/>
          <w:sz w:val="22"/>
          <w:szCs w:val="22"/>
        </w:rPr>
        <w:t xml:space="preserve">Notification Worker pods consume SQS messages and dispatch via appropriate channel</w:t>
      </w:r>
    </w:p>
    <w:p>
      <w:pPr>
        <w:pStyle w:val="ListParagraph"/>
        <w:numPr>
          <w:ilvl w:val="0"/>
          <w:numId w:val="2"/>
        </w:numPr>
        <w:spacing w:after="40" w:before="40"/>
      </w:pPr>
      <w:r>
        <w:rPr>
          <w:rFonts w:ascii="Arial" w:cs="Arial" w:eastAsia="Arial" w:hAnsi="Arial"/>
          <w:color w:val="555555"/>
          <w:sz w:val="22"/>
          <w:szCs w:val="22"/>
        </w:rPr>
        <w:t xml:space="preserve">Failed deliveries are retried up to 3 times; dead-letter queue captures permanent failures</w:t>
      </w:r>
    </w:p>
    <w:p>
      <w:pPr>
        <w:spacing w:after="80" w:before="80"/>
      </w:pPr>
      <w:r>
        <w:t xml:space="preserve"/>
      </w:r>
    </w:p>
    <w:p>
      <w:r>
        <w:br w:type="page"/>
      </w:r>
    </w:p>
    <w:p>
      <w:pPr>
        <w:pStyle w:val="Heading1"/>
        <w:pBdr>
          <w:bottom w:val="single" w:color="1E5FA8" w:sz="8" w:space="4"/>
        </w:pBdr>
        <w:spacing w:after="140" w:before="400"/>
      </w:pPr>
      <w:r>
        <w:rPr>
          <w:rFonts w:ascii="Arial" w:cs="Arial" w:eastAsia="Arial" w:hAnsi="Arial"/>
          <w:b/>
          <w:bCs/>
          <w:color w:val="1E5FA8"/>
          <w:sz w:val="34"/>
          <w:szCs w:val="34"/>
        </w:rPr>
        <w:t xml:space="preserve">5. External Integration Points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000"/>
        <w:gridCol w:w="3660"/>
      </w:tblGrid>
      <w:tr>
        <w:trPr>
          <w:tblHeader/>
        </w:trPr>
        <w:tc>
          <w:tcPr>
            <w:tcW w:type="dxa" w:w="18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External System</w:t>
            </w:r>
          </w:p>
        </w:tc>
        <w:tc>
          <w:tcPr>
            <w:tcW w:type="dxa" w:w="19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0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Integration Method</w:t>
            </w:r>
          </w:p>
        </w:tc>
        <w:tc>
          <w:tcPr>
            <w:tcW w:type="dxa" w:w="366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Failure Handling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Razorpay</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Payment processing &amp; refunds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REST API + Webhook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Retry with idempotency key; alert on failure</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Twilio</w:t>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SMS OTP and reminders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REST API</w:t>
            </w:r>
          </w:p>
        </w:tc>
        <w:tc>
          <w:tcPr>
            <w:tcW w:type="dxa" w:w="36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Fallback to email; retry queue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FCM</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Push notifications (mobile)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Firebase Admin SDK</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Graceful skip; log undelivered</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SendGrid</w:t>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Transactional email</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REST API</w:t>
            </w:r>
          </w:p>
        </w:tc>
        <w:tc>
          <w:tcPr>
            <w:tcW w:type="dxa" w:w="36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Retry x3; fallback SMTP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AWS S3</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Profile images, provider photos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AWS SDK (presigned URLs)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Upload retry; CDN fallback</w:t>
            </w:r>
          </w:p>
        </w:tc>
      </w:tr>
      <w:tr>
        <w:tc>
          <w:tcPr>
            <w:tcW w:type="dxa" w:w="18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AWS CloudWatch</w:t>
            </w:r>
          </w:p>
        </w:tc>
        <w:tc>
          <w:tcPr>
            <w:tcW w:type="dxa" w:w="19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Logging and monitoring</w:t>
            </w:r>
          </w:p>
        </w:tc>
        <w:tc>
          <w:tcPr>
            <w:tcW w:type="dxa" w:w="2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AWS SDK</w:t>
            </w:r>
          </w:p>
        </w:tc>
        <w:tc>
          <w:tcPr>
            <w:tcW w:type="dxa" w:w="36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Best-effort; non-blocking</w:t>
            </w:r>
          </w:p>
        </w:tc>
      </w:tr>
    </w:tbl>
    <w:p>
      <w:pPr>
        <w:spacing w:after="80" w:before="80"/>
      </w:pPr>
      <w:r>
        <w:t xml:space="preserve"/>
      </w:r>
    </w:p>
    <w:p>
      <w:pPr>
        <w:pStyle w:val="Heading1"/>
        <w:pBdr>
          <w:bottom w:val="single" w:color="1E5FA8" w:sz="8" w:space="4"/>
        </w:pBdr>
        <w:spacing w:after="140" w:before="400"/>
      </w:pPr>
      <w:r>
        <w:rPr>
          <w:rFonts w:ascii="Arial" w:cs="Arial" w:eastAsia="Arial" w:hAnsi="Arial"/>
          <w:b/>
          <w:bCs/>
          <w:color w:val="1E5FA8"/>
          <w:sz w:val="34"/>
          <w:szCs w:val="34"/>
        </w:rPr>
        <w:t xml:space="preserve">6. Security Architecture</w:t>
      </w:r>
    </w:p>
    <w:p>
      <w:pPr>
        <w:pStyle w:val="Heading2"/>
        <w:spacing w:after="100" w:before="260"/>
      </w:pPr>
      <w:r>
        <w:rPr>
          <w:rFonts w:ascii="Arial" w:cs="Arial" w:eastAsia="Arial" w:hAnsi="Arial"/>
          <w:b/>
          <w:bCs/>
          <w:color w:val="1A1A2E"/>
          <w:sz w:val="26"/>
          <w:szCs w:val="26"/>
        </w:rPr>
        <w:t xml:space="preserve">6.1 Authentication &amp; Authorisation</w:t>
      </w:r>
    </w:p>
    <w:p>
      <w:pPr>
        <w:pStyle w:val="ListParagraph"/>
        <w:numPr>
          <w:ilvl w:val="0"/>
          <w:numId w:val="2"/>
        </w:numPr>
        <w:spacing w:after="40" w:before="40"/>
      </w:pPr>
      <w:r>
        <w:rPr>
          <w:rFonts w:ascii="Arial" w:cs="Arial" w:eastAsia="Arial" w:hAnsi="Arial"/>
          <w:color w:val="555555"/>
          <w:sz w:val="22"/>
          <w:szCs w:val="22"/>
        </w:rPr>
        <w:t xml:space="preserve">All API requests require a valid JWT (except /auth/* and /public/* endpoints)</w:t>
      </w:r>
    </w:p>
    <w:p>
      <w:pPr>
        <w:pStyle w:val="ListParagraph"/>
        <w:numPr>
          <w:ilvl w:val="0"/>
          <w:numId w:val="2"/>
        </w:numPr>
        <w:spacing w:after="40" w:before="40"/>
      </w:pPr>
      <w:r>
        <w:rPr>
          <w:rFonts w:ascii="Arial" w:cs="Arial" w:eastAsia="Arial" w:hAnsi="Arial"/>
          <w:color w:val="555555"/>
          <w:sz w:val="22"/>
          <w:szCs w:val="22"/>
        </w:rPr>
        <w:t xml:space="preserve">RBAC enforced at the route level: Customer, Provider, Staff, Admin roles</w:t>
      </w:r>
    </w:p>
    <w:p>
      <w:pPr>
        <w:pStyle w:val="ListParagraph"/>
        <w:numPr>
          <w:ilvl w:val="0"/>
          <w:numId w:val="2"/>
        </w:numPr>
        <w:spacing w:after="40" w:before="40"/>
      </w:pPr>
      <w:r>
        <w:rPr>
          <w:rFonts w:ascii="Arial" w:cs="Arial" w:eastAsia="Arial" w:hAnsi="Arial"/>
          <w:color w:val="555555"/>
          <w:sz w:val="22"/>
          <w:szCs w:val="22"/>
        </w:rPr>
        <w:t xml:space="preserve">Sensitive provider actions (delete service, refund) require re-authentication (step-up auth)</w:t>
      </w:r>
    </w:p>
    <w:p>
      <w:pPr>
        <w:spacing w:after="80" w:before="80"/>
      </w:pPr>
      <w:r>
        <w:t xml:space="preserve"/>
      </w:r>
    </w:p>
    <w:p>
      <w:pPr>
        <w:pStyle w:val="Heading2"/>
        <w:spacing w:after="100" w:before="260"/>
      </w:pPr>
      <w:r>
        <w:rPr>
          <w:rFonts w:ascii="Arial" w:cs="Arial" w:eastAsia="Arial" w:hAnsi="Arial"/>
          <w:b/>
          <w:bCs/>
          <w:color w:val="1A1A2E"/>
          <w:sz w:val="26"/>
          <w:szCs w:val="26"/>
        </w:rPr>
        <w:t xml:space="preserve">6.2 Data Protection</w:t>
      </w:r>
    </w:p>
    <w:p>
      <w:pPr>
        <w:pStyle w:val="ListParagraph"/>
        <w:numPr>
          <w:ilvl w:val="0"/>
          <w:numId w:val="2"/>
        </w:numPr>
        <w:spacing w:after="40" w:before="40"/>
      </w:pPr>
      <w:r>
        <w:rPr>
          <w:rFonts w:ascii="Arial" w:cs="Arial" w:eastAsia="Arial" w:hAnsi="Arial"/>
          <w:color w:val="555555"/>
          <w:sz w:val="22"/>
          <w:szCs w:val="22"/>
        </w:rPr>
        <w:t xml:space="preserve">All data at rest encrypted using AES-256 (AWS RDS + S3 managed encryption)</w:t>
      </w:r>
    </w:p>
    <w:p>
      <w:pPr>
        <w:pStyle w:val="ListParagraph"/>
        <w:numPr>
          <w:ilvl w:val="0"/>
          <w:numId w:val="2"/>
        </w:numPr>
        <w:spacing w:after="40" w:before="40"/>
      </w:pPr>
      <w:r>
        <w:rPr>
          <w:rFonts w:ascii="Arial" w:cs="Arial" w:eastAsia="Arial" w:hAnsi="Arial"/>
          <w:color w:val="555555"/>
          <w:sz w:val="22"/>
          <w:szCs w:val="22"/>
        </w:rPr>
        <w:t xml:space="preserve">All data in transit over TLS 1.3</w:t>
      </w:r>
    </w:p>
    <w:p>
      <w:pPr>
        <w:pStyle w:val="ListParagraph"/>
        <w:numPr>
          <w:ilvl w:val="0"/>
          <w:numId w:val="2"/>
        </w:numPr>
        <w:spacing w:after="40" w:before="40"/>
      </w:pPr>
      <w:r>
        <w:rPr>
          <w:rFonts w:ascii="Arial" w:cs="Arial" w:eastAsia="Arial" w:hAnsi="Arial"/>
          <w:color w:val="555555"/>
          <w:sz w:val="22"/>
          <w:szCs w:val="22"/>
        </w:rPr>
        <w:t xml:space="preserve">PII (name, phone, email) stored in hashed/encrypted columns; never logged</w:t>
      </w:r>
    </w:p>
    <w:p>
      <w:pPr>
        <w:pStyle w:val="ListParagraph"/>
        <w:numPr>
          <w:ilvl w:val="0"/>
          <w:numId w:val="2"/>
        </w:numPr>
        <w:spacing w:after="40" w:before="40"/>
      </w:pPr>
      <w:r>
        <w:rPr>
          <w:rFonts w:ascii="Arial" w:cs="Arial" w:eastAsia="Arial" w:hAnsi="Arial"/>
          <w:color w:val="555555"/>
          <w:sz w:val="22"/>
          <w:szCs w:val="22"/>
        </w:rPr>
        <w:t xml:space="preserve">Payment card data never stored on AppointEase servers — tokenised by Razorpay</w:t>
      </w:r>
    </w:p>
    <w:p>
      <w:pPr>
        <w:spacing w:after="80" w:before="80"/>
      </w:pPr>
      <w:r>
        <w:t xml:space="preserve"/>
      </w:r>
    </w:p>
    <w:p>
      <w:pPr>
        <w:pStyle w:val="Heading2"/>
        <w:spacing w:after="100" w:before="260"/>
      </w:pPr>
      <w:r>
        <w:rPr>
          <w:rFonts w:ascii="Arial" w:cs="Arial" w:eastAsia="Arial" w:hAnsi="Arial"/>
          <w:b/>
          <w:bCs/>
          <w:color w:val="1A1A2E"/>
          <w:sz w:val="26"/>
          <w:szCs w:val="26"/>
        </w:rPr>
        <w:t xml:space="preserve">6.3 Infrastructure Security</w:t>
      </w:r>
    </w:p>
    <w:p>
      <w:pPr>
        <w:pStyle w:val="ListParagraph"/>
        <w:numPr>
          <w:ilvl w:val="0"/>
          <w:numId w:val="2"/>
        </w:numPr>
        <w:spacing w:after="40" w:before="40"/>
      </w:pPr>
      <w:r>
        <w:rPr>
          <w:rFonts w:ascii="Arial" w:cs="Arial" w:eastAsia="Arial" w:hAnsi="Arial"/>
          <w:color w:val="555555"/>
          <w:sz w:val="22"/>
          <w:szCs w:val="22"/>
        </w:rPr>
        <w:t xml:space="preserve">API servers in private VPC subnet; only API Gateway is public-facing</w:t>
      </w:r>
    </w:p>
    <w:p>
      <w:pPr>
        <w:pStyle w:val="ListParagraph"/>
        <w:numPr>
          <w:ilvl w:val="0"/>
          <w:numId w:val="2"/>
        </w:numPr>
        <w:spacing w:after="40" w:before="40"/>
      </w:pPr>
      <w:r>
        <w:rPr>
          <w:rFonts w:ascii="Arial" w:cs="Arial" w:eastAsia="Arial" w:hAnsi="Arial"/>
          <w:color w:val="555555"/>
          <w:sz w:val="22"/>
          <w:szCs w:val="22"/>
        </w:rPr>
        <w:t xml:space="preserve">Database and Redis accessible only from within VPC</w:t>
      </w:r>
    </w:p>
    <w:p>
      <w:pPr>
        <w:pStyle w:val="ListParagraph"/>
        <w:numPr>
          <w:ilvl w:val="0"/>
          <w:numId w:val="2"/>
        </w:numPr>
        <w:spacing w:after="40" w:before="40"/>
      </w:pPr>
      <w:r>
        <w:rPr>
          <w:rFonts w:ascii="Arial" w:cs="Arial" w:eastAsia="Arial" w:hAnsi="Arial"/>
          <w:color w:val="555555"/>
          <w:sz w:val="22"/>
          <w:szCs w:val="22"/>
        </w:rPr>
        <w:t xml:space="preserve">WAF (AWS WAF) in front of CloudFront for DDoS and OWASP Top 10 protection</w:t>
      </w:r>
    </w:p>
    <w:p>
      <w:pPr>
        <w:spacing w:after="80" w:before="80"/>
      </w:pPr>
      <w:r>
        <w:t xml:space="preserve"/>
      </w:r>
    </w:p>
    <w:p>
      <w:pPr>
        <w:pStyle w:val="Heading1"/>
        <w:pBdr>
          <w:bottom w:val="single" w:color="1E5FA8" w:sz="8" w:space="4"/>
        </w:pBdr>
        <w:spacing w:after="140" w:before="400"/>
      </w:pPr>
      <w:r>
        <w:rPr>
          <w:rFonts w:ascii="Arial" w:cs="Arial" w:eastAsia="Arial" w:hAnsi="Arial"/>
          <w:b/>
          <w:bCs/>
          <w:color w:val="1E5FA8"/>
          <w:sz w:val="34"/>
          <w:szCs w:val="34"/>
        </w:rPr>
        <w:t xml:space="preserve">7. Scalability &amp; Resilience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Concern</w:t>
            </w:r>
          </w:p>
        </w:tc>
        <w:tc>
          <w:tcPr>
            <w:tcW w:type="dxa" w:w="6360"/>
            <w:tcBorders>
              <w:top w:val="single" w:color="CCCCCC" w:sz="1"/>
              <w:left w:val="single" w:color="CCCCCC" w:sz="1"/>
              <w:bottom w:val="single" w:color="CCCCCC" w:sz="1"/>
              <w:right w:val="single" w:color="CCCCCC" w:sz="1"/>
            </w:tcBorders>
            <w:shd w:fill="1E5FA8" w:val="clear"/>
            <w:tcMar>
              <w:top w:type="dxa" w:w="80"/>
              <w:left w:type="dxa" w:w="120"/>
              <w:bottom w:type="dxa" w:w="80"/>
              <w:right w:type="dxa" w:w="120"/>
            </w:tcMar>
          </w:tcPr>
          <w:p>
            <w:r>
              <w:rPr>
                <w:rFonts w:ascii="Arial" w:cs="Arial" w:eastAsia="Arial" w:hAnsi="Arial"/>
                <w:b/>
                <w:bCs/>
                <w:color w:val="FFFFFF"/>
                <w:sz w:val="20"/>
                <w:szCs w:val="20"/>
              </w:rPr>
              <w:t xml:space="preserve">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High booking concurrency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Redis distributed locking prevents double-booking at slot level</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API traffic spikes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ECS auto-scaling based on CPU; scales to 50 pods in &lt; 2 minutes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DB read load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Read replica for analytics + Redis cache for provider schedule reads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Notification spikes</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SQS queue absorbs bursts; worker pool scales independently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Single-region failure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555555"/>
                <w:sz w:val="20"/>
                <w:szCs w:val="20"/>
              </w:rPr>
              <w:t xml:space="preserve">Multi-AZ RDS; ECS tasks spread across AZs; S3 is region-resilient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Graceful degradation</w:t>
            </w:r>
          </w:p>
        </w:tc>
        <w:tc>
          <w:tcPr>
            <w:tcW w:type="dxa" w:w="6360"/>
            <w:tcBorders>
              <w:top w:val="single" w:color="CCCCCC" w:sz="1"/>
              <w:left w:val="single" w:color="CCCCCC" w:sz="1"/>
              <w:bottom w:val="single" w:color="CCCCCC" w:sz="1"/>
              <w:right w:val="single" w:color="CCCCCC" w:sz="1"/>
            </w:tcBorders>
            <w:shd w:fill="F4F6F9" w:val="clear"/>
            <w:tcMar>
              <w:top w:type="dxa" w:w="80"/>
              <w:left w:type="dxa" w:w="120"/>
              <w:bottom w:type="dxa" w:w="80"/>
              <w:right w:type="dxa" w:w="120"/>
            </w:tcMar>
          </w:tcPr>
          <w:p>
            <w:r>
              <w:rPr>
                <w:rFonts w:ascii="Arial" w:cs="Arial" w:eastAsia="Arial" w:hAnsi="Arial"/>
                <w:color w:val="555555"/>
                <w:sz w:val="20"/>
                <w:szCs w:val="20"/>
              </w:rPr>
              <w:t xml:space="preserve">Booking confirmation works even if analytics/notifications are down</w:t>
            </w:r>
          </w:p>
        </w:tc>
      </w:tr>
    </w:tbl>
    <w:p>
      <w:pPr>
        <w:spacing w:after="80" w:before="80"/>
      </w:pPr>
      <w:r>
        <w:t xml:space="preserve"/>
      </w:r>
    </w:p>
    <w:p>
      <w:pPr>
        <w:pStyle w:val="Heading1"/>
        <w:pBdr>
          <w:bottom w:val="single" w:color="1E5FA8" w:sz="8" w:space="4"/>
        </w:pBdr>
        <w:spacing w:after="140" w:before="400"/>
      </w:pPr>
      <w:r>
        <w:rPr>
          <w:rFonts w:ascii="Arial" w:cs="Arial" w:eastAsia="Arial" w:hAnsi="Arial"/>
          <w:b/>
          <w:bCs/>
          <w:color w:val="1E5FA8"/>
          <w:sz w:val="34"/>
          <w:szCs w:val="34"/>
        </w:rPr>
        <w:t xml:space="preserve">8. Observability &amp; Monitoring</w:t>
      </w:r>
    </w:p>
    <w:p>
      <w:pPr>
        <w:pStyle w:val="ListParagraph"/>
        <w:numPr>
          <w:ilvl w:val="0"/>
          <w:numId w:val="2"/>
        </w:numPr>
        <w:spacing w:after="40" w:before="40"/>
      </w:pPr>
      <w:r>
        <w:rPr>
          <w:rFonts w:ascii="Arial" w:cs="Arial" w:eastAsia="Arial" w:hAnsi="Arial"/>
          <w:color w:val="555555"/>
          <w:sz w:val="22"/>
          <w:szCs w:val="22"/>
        </w:rPr>
        <w:t xml:space="preserve">Structured JSON logging from all services → AWS CloudWatch Logs</w:t>
      </w:r>
    </w:p>
    <w:p>
      <w:pPr>
        <w:pStyle w:val="ListParagraph"/>
        <w:numPr>
          <w:ilvl w:val="0"/>
          <w:numId w:val="2"/>
        </w:numPr>
        <w:spacing w:after="40" w:before="40"/>
      </w:pPr>
      <w:r>
        <w:rPr>
          <w:rFonts w:ascii="Arial" w:cs="Arial" w:eastAsia="Arial" w:hAnsi="Arial"/>
          <w:color w:val="555555"/>
          <w:sz w:val="22"/>
          <w:szCs w:val="22"/>
        </w:rPr>
        <w:t xml:space="preserve">Key metrics dashboards: booking success rate, payment conversion, API p95 latency, error rate</w:t>
      </w:r>
    </w:p>
    <w:p>
      <w:pPr>
        <w:pStyle w:val="ListParagraph"/>
        <w:numPr>
          <w:ilvl w:val="0"/>
          <w:numId w:val="2"/>
        </w:numPr>
        <w:spacing w:after="40" w:before="40"/>
      </w:pPr>
      <w:r>
        <w:rPr>
          <w:rFonts w:ascii="Arial" w:cs="Arial" w:eastAsia="Arial" w:hAnsi="Arial"/>
          <w:color w:val="555555"/>
          <w:sz w:val="22"/>
          <w:szCs w:val="22"/>
        </w:rPr>
        <w:t xml:space="preserve">Alerting via PagerDuty on: error rate &gt; 1%, p95 latency &gt; 1s, failed payment webhook rate &gt; 5%</w:t>
      </w:r>
    </w:p>
    <w:p>
      <w:pPr>
        <w:pStyle w:val="ListParagraph"/>
        <w:numPr>
          <w:ilvl w:val="0"/>
          <w:numId w:val="2"/>
        </w:numPr>
        <w:spacing w:after="40" w:before="40"/>
      </w:pPr>
      <w:r>
        <w:rPr>
          <w:rFonts w:ascii="Arial" w:cs="Arial" w:eastAsia="Arial" w:hAnsi="Arial"/>
          <w:color w:val="555555"/>
          <w:sz w:val="22"/>
          <w:szCs w:val="22"/>
        </w:rPr>
        <w:t xml:space="preserve">Distributed tracing via AWS X-Ray for cross-service request tracking</w:t>
      </w:r>
    </w:p>
    <w:p>
      <w:pPr>
        <w:pStyle w:val="ListParagraph"/>
        <w:numPr>
          <w:ilvl w:val="0"/>
          <w:numId w:val="2"/>
        </w:numPr>
        <w:spacing w:after="40" w:before="40"/>
      </w:pPr>
      <w:r>
        <w:rPr>
          <w:rFonts w:ascii="Arial" w:cs="Arial" w:eastAsia="Arial" w:hAnsi="Arial"/>
          <w:color w:val="555555"/>
          <w:sz w:val="22"/>
          <w:szCs w:val="22"/>
        </w:rPr>
        <w:t xml:space="preserve">Synthetic uptime monitoring on critical paths (book appointment, login, search) every 60 seconds</w:t>
      </w:r>
    </w:p>
    <w:p>
      <w:pPr>
        <w:spacing w:after="80" w:before="80"/>
      </w:pPr>
      <w:r>
        <w:t xml:space="preserve"/>
      </w:r>
    </w:p>
    <w:p>
      <w:pPr>
        <w:pStyle w:val="Heading1"/>
        <w:pBdr>
          <w:bottom w:val="single" w:color="1E5FA8" w:sz="8" w:space="4"/>
        </w:pBdr>
        <w:spacing w:after="140" w:before="400"/>
      </w:pPr>
      <w:r>
        <w:rPr>
          <w:rFonts w:ascii="Arial" w:cs="Arial" w:eastAsia="Arial" w:hAnsi="Arial"/>
          <w:b/>
          <w:bCs/>
          <w:color w:val="1E5FA8"/>
          <w:sz w:val="34"/>
          <w:szCs w:val="34"/>
        </w:rPr>
        <w:t xml:space="preserve">9. Assumptions &amp; Constraints</w:t>
      </w:r>
    </w:p>
    <w:p>
      <w:pPr>
        <w:pStyle w:val="ListParagraph"/>
        <w:numPr>
          <w:ilvl w:val="0"/>
          <w:numId w:val="2"/>
        </w:numPr>
        <w:spacing w:after="40" w:before="40"/>
      </w:pPr>
      <w:r>
        <w:rPr>
          <w:rFonts w:ascii="Arial" w:cs="Arial" w:eastAsia="Arial" w:hAnsi="Arial"/>
          <w:color w:val="555555"/>
          <w:sz w:val="22"/>
          <w:szCs w:val="22"/>
        </w:rPr>
        <w:t xml:space="preserve">v1.0 deployed to AWS ap-south-1 (Mumbai) for India-first launch</w:t>
      </w:r>
    </w:p>
    <w:p>
      <w:pPr>
        <w:pStyle w:val="ListParagraph"/>
        <w:numPr>
          <w:ilvl w:val="0"/>
          <w:numId w:val="2"/>
        </w:numPr>
        <w:spacing w:after="40" w:before="40"/>
      </w:pPr>
      <w:r>
        <w:rPr>
          <w:rFonts w:ascii="Arial" w:cs="Arial" w:eastAsia="Arial" w:hAnsi="Arial"/>
          <w:color w:val="555555"/>
          <w:sz w:val="22"/>
          <w:szCs w:val="22"/>
        </w:rPr>
        <w:t xml:space="preserve">Single currency (INR) and single payment gateway (Razorpay) at launch</w:t>
      </w:r>
    </w:p>
    <w:p>
      <w:pPr>
        <w:pStyle w:val="ListParagraph"/>
        <w:numPr>
          <w:ilvl w:val="0"/>
          <w:numId w:val="2"/>
        </w:numPr>
        <w:spacing w:after="40" w:before="40"/>
      </w:pPr>
      <w:r>
        <w:rPr>
          <w:rFonts w:ascii="Arial" w:cs="Arial" w:eastAsia="Arial" w:hAnsi="Arial"/>
          <w:color w:val="555555"/>
          <w:sz w:val="22"/>
          <w:szCs w:val="22"/>
        </w:rPr>
        <w:t xml:space="preserve">No real-time video/telehealth in scope for this architecture</w:t>
      </w:r>
    </w:p>
    <w:p>
      <w:pPr>
        <w:pStyle w:val="ListParagraph"/>
        <w:numPr>
          <w:ilvl w:val="0"/>
          <w:numId w:val="2"/>
        </w:numPr>
        <w:spacing w:after="40" w:before="40"/>
      </w:pPr>
      <w:r>
        <w:rPr>
          <w:rFonts w:ascii="Arial" w:cs="Arial" w:eastAsia="Arial" w:hAnsi="Arial"/>
          <w:color w:val="555555"/>
          <w:sz w:val="22"/>
          <w:szCs w:val="22"/>
        </w:rPr>
        <w:t xml:space="preserve">Mobile app uses React Native — no separate native Swift/Kotlin codebase</w:t>
      </w:r>
    </w:p>
    <w:p>
      <w:pPr>
        <w:pStyle w:val="ListParagraph"/>
        <w:numPr>
          <w:ilvl w:val="0"/>
          <w:numId w:val="2"/>
        </w:numPr>
        <w:spacing w:after="40" w:before="40"/>
      </w:pPr>
      <w:r>
        <w:rPr>
          <w:rFonts w:ascii="Arial" w:cs="Arial" w:eastAsia="Arial" w:hAnsi="Arial"/>
          <w:color w:val="555555"/>
          <w:sz w:val="22"/>
          <w:szCs w:val="22"/>
        </w:rPr>
        <w:t xml:space="preserve">WebSocket connections used only for provider dashboard (not customer app in v1)</w:t>
      </w:r>
    </w:p>
    <w:p>
      <w:pPr>
        <w:spacing w:after="80" w:before="80"/>
      </w:pPr>
      <w:r>
        <w:t xml:space="preserve"/>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5FA8" w:sz="4" w:space="2"/>
      </w:pBdr>
    </w:pPr>
    <w:r>
      <w:rPr>
        <w:rFonts w:ascii="Arial" w:cs="Arial" w:eastAsia="Arial" w:hAnsi="Arial"/>
        <w:color w:val="888888"/>
        <w:sz w:val="18"/>
        <w:szCs w:val="18"/>
      </w:rPr>
      <w:t xml:space="preserve">AppointEase HLD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5FA8" w:sz="4" w:space="2"/>
      </w:pBdr>
      <w:tabs>
        <w:tab w:val="right" w:pos="9360"/>
      </w:tabs>
    </w:pPr>
    <w:r>
      <w:rPr>
        <w:rFonts w:ascii="Arial" w:cs="Arial" w:eastAsia="Arial" w:hAnsi="Arial"/>
        <w:b/>
        <w:bCs/>
        <w:color w:val="1E5FA8"/>
        <w:sz w:val="20"/>
        <w:szCs w:val="20"/>
      </w:rPr>
      <w:t xml:space="preserve">AppointEase</w:t>
    </w:r>
    <w:r>
      <w:rPr>
        <w:rFonts w:ascii="Arial" w:cs="Arial" w:eastAsia="Arial" w:hAnsi="Arial"/>
        <w:color w:val="888888"/>
        <w:sz w:val="18"/>
        <w:szCs w:val="18"/>
      </w:rPr>
      <w:t xml:space="preserve">	High-Level Design (HLD)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E5FA8"/>
      <w:sz w:val="34"/>
      <w:szCs w:val="34"/>
    </w:rPr>
  </w:style>
  <w:style w:type="paragraph" w:styleId="Heading2">
    <w:name w:val="Heading 2"/>
    <w:basedOn w:val="Normal"/>
    <w:next w:val="Normal"/>
    <w:qFormat/>
    <w:pPr>
      <w:spacing w:after="100" w:before="26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2026-04-22T15:58:29.112Z</dcterms:created>
  <dcterms:modified xsi:type="dcterms:W3CDTF">2026-04-22T15:58:29.113Z</dcterms:modified>
</cp:coreProperties>
</file>

<file path=docProps/custom.xml><?xml version="1.0" encoding="utf-8"?>
<Properties xmlns="http://schemas.openxmlformats.org/officeDocument/2006/custom-properties" xmlns:vt="http://schemas.openxmlformats.org/officeDocument/2006/docPropsVTypes"/>
</file>