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79500" w14:textId="5C541DCB" w:rsidR="001B5A43" w:rsidRPr="00D97951" w:rsidRDefault="001B5A43" w:rsidP="00D80610">
      <w:pPr>
        <w:jc w:val="center"/>
        <w:rPr>
          <w:rFonts w:ascii="Roboto" w:hAnsi="Roboto"/>
          <w:b/>
          <w:bCs/>
          <w:color w:val="1F3864" w:themeColor="accent1" w:themeShade="80"/>
          <w:sz w:val="32"/>
          <w:szCs w:val="32"/>
          <w:u w:val="single"/>
        </w:rPr>
      </w:pPr>
      <w:r w:rsidRPr="001B5A43">
        <w:rPr>
          <w:rFonts w:ascii="Roboto" w:hAnsi="Roboto"/>
          <w:b/>
          <w:bCs/>
          <w:color w:val="1F3864" w:themeColor="accent1" w:themeShade="80"/>
          <w:sz w:val="32"/>
          <w:szCs w:val="32"/>
          <w:u w:val="single"/>
        </w:rPr>
        <w:t>Strangler Fig Pattern</w:t>
      </w:r>
    </w:p>
    <w:p w14:paraId="397FB462" w14:textId="77777777" w:rsidR="00CF6224" w:rsidRPr="00D97951" w:rsidRDefault="00CF6224" w:rsidP="00CF6224">
      <w:pPr>
        <w:ind w:left="720"/>
        <w:rPr>
          <w:rFonts w:ascii="Roboto" w:hAnsi="Roboto"/>
          <w:color w:val="1F3864" w:themeColor="accent1" w:themeShade="80"/>
          <w:sz w:val="24"/>
          <w:szCs w:val="24"/>
        </w:rPr>
      </w:pPr>
      <w:r w:rsidRPr="00CF6224">
        <w:rPr>
          <w:rFonts w:ascii="Roboto" w:hAnsi="Roboto"/>
          <w:color w:val="1F3864" w:themeColor="accent1" w:themeShade="80"/>
          <w:sz w:val="24"/>
          <w:szCs w:val="24"/>
        </w:rPr>
        <w:t xml:space="preserve">The </w:t>
      </w:r>
      <w:r w:rsidRPr="00CF6224">
        <w:rPr>
          <w:rFonts w:ascii="Roboto" w:hAnsi="Roboto"/>
          <w:b/>
          <w:bCs/>
          <w:color w:val="1F3864" w:themeColor="accent1" w:themeShade="80"/>
          <w:sz w:val="24"/>
          <w:szCs w:val="24"/>
        </w:rPr>
        <w:t>Strangler Fig Pattern</w:t>
      </w:r>
      <w:r w:rsidRPr="00CF6224">
        <w:rPr>
          <w:rFonts w:ascii="Roboto" w:hAnsi="Roboto"/>
          <w:color w:val="1F3864" w:themeColor="accent1" w:themeShade="80"/>
          <w:sz w:val="24"/>
          <w:szCs w:val="24"/>
        </w:rPr>
        <w:t xml:space="preserve"> is a software design pattern used to gradually replace or refactor an existing legacy system with a new one, typically in a microservices architecture. The idea is inspired by the way a strangler fig plant grows around a tree, eventually replacing it.</w:t>
      </w:r>
    </w:p>
    <w:p w14:paraId="1DC17520" w14:textId="4BB7E07B" w:rsidR="00D81EA5" w:rsidRPr="00CF6224" w:rsidRDefault="00D81EA5" w:rsidP="00CF6224">
      <w:pPr>
        <w:spacing w:after="160" w:line="259" w:lineRule="auto"/>
        <w:ind w:left="720"/>
        <w:rPr>
          <w:rFonts w:ascii="Roboto" w:hAnsi="Roboto"/>
          <w:color w:val="1F3864" w:themeColor="accent1" w:themeShade="80"/>
          <w:sz w:val="24"/>
          <w:szCs w:val="24"/>
        </w:rPr>
      </w:pPr>
      <w:r w:rsidRPr="00D97951">
        <w:rPr>
          <w:noProof/>
          <w:color w:val="1F3864" w:themeColor="accent1" w:themeShade="80"/>
        </w:rPr>
        <w:drawing>
          <wp:inline distT="0" distB="0" distL="0" distR="0" wp14:anchorId="3AFD2850" wp14:editId="2BA315ED">
            <wp:extent cx="5731510" cy="3820795"/>
            <wp:effectExtent l="0" t="0" r="0" b="8255"/>
            <wp:docPr id="177716524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B34905A" w14:textId="77777777" w:rsidR="00D81EA5" w:rsidRPr="00D97951" w:rsidRDefault="00D81EA5" w:rsidP="00CF6224">
      <w:pPr>
        <w:ind w:left="720"/>
        <w:rPr>
          <w:rFonts w:ascii="Roboto" w:hAnsi="Roboto"/>
          <w:b/>
          <w:bCs/>
          <w:color w:val="1F3864" w:themeColor="accent1" w:themeShade="80"/>
          <w:sz w:val="24"/>
          <w:szCs w:val="24"/>
        </w:rPr>
      </w:pPr>
    </w:p>
    <w:p w14:paraId="7337DB4E" w14:textId="2A8CEB88" w:rsidR="00CF6224" w:rsidRPr="00CF6224" w:rsidRDefault="00CF6224" w:rsidP="00CF6224">
      <w:pPr>
        <w:spacing w:after="160" w:line="259" w:lineRule="auto"/>
        <w:ind w:left="720"/>
        <w:rPr>
          <w:rFonts w:ascii="Roboto" w:hAnsi="Roboto"/>
          <w:b/>
          <w:bCs/>
          <w:color w:val="1F3864" w:themeColor="accent1" w:themeShade="80"/>
          <w:sz w:val="24"/>
          <w:szCs w:val="24"/>
        </w:rPr>
      </w:pPr>
      <w:r w:rsidRPr="00CF6224">
        <w:rPr>
          <w:rFonts w:ascii="Roboto" w:hAnsi="Roboto"/>
          <w:b/>
          <w:bCs/>
          <w:color w:val="1F3864" w:themeColor="accent1" w:themeShade="80"/>
          <w:sz w:val="24"/>
          <w:szCs w:val="24"/>
        </w:rPr>
        <w:t>Key Concepts of Strangler Fig Pattern:</w:t>
      </w:r>
    </w:p>
    <w:p w14:paraId="40E53905" w14:textId="77777777" w:rsidR="00CF6224" w:rsidRPr="00CF6224" w:rsidRDefault="00CF6224" w:rsidP="00CF6224">
      <w:pPr>
        <w:numPr>
          <w:ilvl w:val="0"/>
          <w:numId w:val="3"/>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Incremental Migration</w:t>
      </w:r>
      <w:r w:rsidRPr="00CF6224">
        <w:rPr>
          <w:rFonts w:ascii="Roboto" w:hAnsi="Roboto"/>
          <w:color w:val="1F3864" w:themeColor="accent1" w:themeShade="80"/>
          <w:sz w:val="24"/>
          <w:szCs w:val="24"/>
        </w:rPr>
        <w:t>: Instead of replacing the legacy system in one big step (which can be risky), the new system is developed and integrated alongside the old one. Over time, parts of the old system are incrementally replaced by the new system.</w:t>
      </w:r>
    </w:p>
    <w:p w14:paraId="34C94E0F" w14:textId="77777777" w:rsidR="00CF6224" w:rsidRPr="00CF6224" w:rsidRDefault="00CF6224" w:rsidP="00CF6224">
      <w:pPr>
        <w:numPr>
          <w:ilvl w:val="0"/>
          <w:numId w:val="3"/>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Parallel Operation</w:t>
      </w:r>
      <w:r w:rsidRPr="00CF6224">
        <w:rPr>
          <w:rFonts w:ascii="Roboto" w:hAnsi="Roboto"/>
          <w:color w:val="1F3864" w:themeColor="accent1" w:themeShade="80"/>
          <w:sz w:val="24"/>
          <w:szCs w:val="24"/>
        </w:rPr>
        <w:t>: Both the legacy system and the new system can operate simultaneously. Specific functionalities or services can be routed to either the legacy or the new system depending on where they’ve been implemented.</w:t>
      </w:r>
    </w:p>
    <w:p w14:paraId="29C455BD" w14:textId="77777777" w:rsidR="00CF6224" w:rsidRPr="00CF6224" w:rsidRDefault="00CF6224" w:rsidP="00CF6224">
      <w:pPr>
        <w:numPr>
          <w:ilvl w:val="0"/>
          <w:numId w:val="3"/>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Decomposing Monoliths</w:t>
      </w:r>
      <w:r w:rsidRPr="00CF6224">
        <w:rPr>
          <w:rFonts w:ascii="Roboto" w:hAnsi="Roboto"/>
          <w:color w:val="1F3864" w:themeColor="accent1" w:themeShade="80"/>
          <w:sz w:val="24"/>
          <w:szCs w:val="24"/>
        </w:rPr>
        <w:t>: In microservice architectures, this pattern is especially useful when refactoring monolithic systems into microservices. By isolating and replacing parts of the monolith with new microservices, the system can gradually evolve without a complete re-write.</w:t>
      </w:r>
    </w:p>
    <w:p w14:paraId="6C1A07A7" w14:textId="5B770116" w:rsidR="00CF6224" w:rsidRPr="00CF6224" w:rsidRDefault="00CF6224" w:rsidP="00CF6224">
      <w:pPr>
        <w:numPr>
          <w:ilvl w:val="0"/>
          <w:numId w:val="3"/>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Controlled Transition</w:t>
      </w:r>
      <w:r w:rsidRPr="00CF6224">
        <w:rPr>
          <w:rFonts w:ascii="Roboto" w:hAnsi="Roboto"/>
          <w:color w:val="1F3864" w:themeColor="accent1" w:themeShade="80"/>
          <w:sz w:val="24"/>
          <w:szCs w:val="24"/>
        </w:rPr>
        <w:t xml:space="preserve">: The system </w:t>
      </w:r>
      <w:r w:rsidRPr="00D97951">
        <w:rPr>
          <w:rFonts w:ascii="Roboto" w:hAnsi="Roboto"/>
          <w:color w:val="1F3864" w:themeColor="accent1" w:themeShade="80"/>
          <w:sz w:val="24"/>
          <w:szCs w:val="24"/>
        </w:rPr>
        <w:t>behaviour</w:t>
      </w:r>
      <w:r w:rsidRPr="00CF6224">
        <w:rPr>
          <w:rFonts w:ascii="Roboto" w:hAnsi="Roboto"/>
          <w:color w:val="1F3864" w:themeColor="accent1" w:themeShade="80"/>
          <w:sz w:val="24"/>
          <w:szCs w:val="24"/>
        </w:rPr>
        <w:t xml:space="preserve"> is closely monitored during the transition phase to ensure the new system is functioning correctly. If issues arise, it’s easier to revert to the legacy system.</w:t>
      </w:r>
    </w:p>
    <w:p w14:paraId="3DA48342" w14:textId="77777777" w:rsidR="00CF6224" w:rsidRPr="00CF6224" w:rsidRDefault="00CF6224" w:rsidP="00CF6224">
      <w:pPr>
        <w:numPr>
          <w:ilvl w:val="0"/>
          <w:numId w:val="3"/>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lastRenderedPageBreak/>
        <w:t>Router/Gateway</w:t>
      </w:r>
      <w:r w:rsidRPr="00CF6224">
        <w:rPr>
          <w:rFonts w:ascii="Roboto" w:hAnsi="Roboto"/>
          <w:color w:val="1F3864" w:themeColor="accent1" w:themeShade="80"/>
          <w:sz w:val="24"/>
          <w:szCs w:val="24"/>
        </w:rPr>
        <w:t>: Typically, a router or API gateway is used to direct traffic between the legacy and new systems. This ensures that users interact with a single interface, even though the backend is being transformed.</w:t>
      </w:r>
    </w:p>
    <w:p w14:paraId="61C8B8CB" w14:textId="77777777" w:rsidR="00D81EA5" w:rsidRPr="00D97951" w:rsidRDefault="00D81EA5" w:rsidP="00CF6224">
      <w:pPr>
        <w:spacing w:after="160" w:line="259" w:lineRule="auto"/>
        <w:ind w:left="720"/>
        <w:rPr>
          <w:rFonts w:ascii="Roboto" w:hAnsi="Roboto"/>
          <w:b/>
          <w:bCs/>
          <w:color w:val="1F3864" w:themeColor="accent1" w:themeShade="80"/>
          <w:sz w:val="24"/>
          <w:szCs w:val="24"/>
        </w:rPr>
      </w:pPr>
    </w:p>
    <w:p w14:paraId="6B4C62E6" w14:textId="1D33A835" w:rsidR="00CF6224" w:rsidRPr="00CF6224" w:rsidRDefault="00CF6224" w:rsidP="00CF6224">
      <w:pPr>
        <w:spacing w:after="160" w:line="259" w:lineRule="auto"/>
        <w:ind w:left="720"/>
        <w:rPr>
          <w:rFonts w:ascii="Roboto" w:hAnsi="Roboto"/>
          <w:b/>
          <w:bCs/>
          <w:color w:val="1F3864" w:themeColor="accent1" w:themeShade="80"/>
          <w:sz w:val="24"/>
          <w:szCs w:val="24"/>
        </w:rPr>
      </w:pPr>
      <w:r w:rsidRPr="00CF6224">
        <w:rPr>
          <w:rFonts w:ascii="Roboto" w:hAnsi="Roboto"/>
          <w:b/>
          <w:bCs/>
          <w:color w:val="1F3864" w:themeColor="accent1" w:themeShade="80"/>
          <w:sz w:val="24"/>
          <w:szCs w:val="24"/>
        </w:rPr>
        <w:t>Steps to Implement the Strangler Fig Pattern:</w:t>
      </w:r>
    </w:p>
    <w:p w14:paraId="6C7B0F48" w14:textId="77777777" w:rsidR="00CF6224" w:rsidRPr="00CF6224" w:rsidRDefault="00CF6224" w:rsidP="00CF6224">
      <w:pPr>
        <w:numPr>
          <w:ilvl w:val="0"/>
          <w:numId w:val="4"/>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Identify Candidate Services</w:t>
      </w:r>
      <w:r w:rsidRPr="00CF6224">
        <w:rPr>
          <w:rFonts w:ascii="Roboto" w:hAnsi="Roboto"/>
          <w:color w:val="1F3864" w:themeColor="accent1" w:themeShade="80"/>
          <w:sz w:val="24"/>
          <w:szCs w:val="24"/>
        </w:rPr>
        <w:t>: Break down the legacy system into discrete components or services. Prioritize which parts of the system should be replaced first.</w:t>
      </w:r>
    </w:p>
    <w:p w14:paraId="48063591" w14:textId="77777777" w:rsidR="00CF6224" w:rsidRPr="00CF6224" w:rsidRDefault="00CF6224" w:rsidP="00CF6224">
      <w:pPr>
        <w:numPr>
          <w:ilvl w:val="0"/>
          <w:numId w:val="4"/>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Create a Proxy or API Gateway</w:t>
      </w:r>
      <w:r w:rsidRPr="00CF6224">
        <w:rPr>
          <w:rFonts w:ascii="Roboto" w:hAnsi="Roboto"/>
          <w:color w:val="1F3864" w:themeColor="accent1" w:themeShade="80"/>
          <w:sz w:val="24"/>
          <w:szCs w:val="24"/>
        </w:rPr>
        <w:t>: This will handle incoming requests and direct them either to the legacy system or to the new microservices based on which functionalities have been refactored.</w:t>
      </w:r>
    </w:p>
    <w:p w14:paraId="3141D19F" w14:textId="77777777" w:rsidR="00CF6224" w:rsidRPr="00CF6224" w:rsidRDefault="00CF6224" w:rsidP="00CF6224">
      <w:pPr>
        <w:numPr>
          <w:ilvl w:val="0"/>
          <w:numId w:val="4"/>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Develop New Microservices</w:t>
      </w:r>
      <w:r w:rsidRPr="00CF6224">
        <w:rPr>
          <w:rFonts w:ascii="Roboto" w:hAnsi="Roboto"/>
          <w:color w:val="1F3864" w:themeColor="accent1" w:themeShade="80"/>
          <w:sz w:val="24"/>
          <w:szCs w:val="24"/>
        </w:rPr>
        <w:t>: Gradually implement new services or systems to replace the legacy functionality. These services should be independently deployable and scalable.</w:t>
      </w:r>
    </w:p>
    <w:p w14:paraId="4513815A" w14:textId="77777777" w:rsidR="00CF6224" w:rsidRPr="00CF6224" w:rsidRDefault="00CF6224" w:rsidP="00CF6224">
      <w:pPr>
        <w:numPr>
          <w:ilvl w:val="0"/>
          <w:numId w:val="4"/>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Incremental Cutover</w:t>
      </w:r>
      <w:r w:rsidRPr="00CF6224">
        <w:rPr>
          <w:rFonts w:ascii="Roboto" w:hAnsi="Roboto"/>
          <w:color w:val="1F3864" w:themeColor="accent1" w:themeShade="80"/>
          <w:sz w:val="24"/>
          <w:szCs w:val="24"/>
        </w:rPr>
        <w:t>: As each piece of functionality is migrated, the proxy redirects traffic to the new system. Over time, more traffic is handled by the new services.</w:t>
      </w:r>
    </w:p>
    <w:p w14:paraId="18562334" w14:textId="77777777" w:rsidR="00CF6224" w:rsidRPr="00CF6224" w:rsidRDefault="00CF6224" w:rsidP="00CF6224">
      <w:pPr>
        <w:numPr>
          <w:ilvl w:val="0"/>
          <w:numId w:val="4"/>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Retire Legacy Code</w:t>
      </w:r>
      <w:r w:rsidRPr="00CF6224">
        <w:rPr>
          <w:rFonts w:ascii="Roboto" w:hAnsi="Roboto"/>
          <w:color w:val="1F3864" w:themeColor="accent1" w:themeShade="80"/>
          <w:sz w:val="24"/>
          <w:szCs w:val="24"/>
        </w:rPr>
        <w:t>: Once the legacy functionality is fully migrated and verified, the old system can be decommissioned.</w:t>
      </w:r>
    </w:p>
    <w:p w14:paraId="2C42E40E" w14:textId="77777777" w:rsidR="00D81EA5" w:rsidRPr="00D97951" w:rsidRDefault="00D81EA5" w:rsidP="00CF6224">
      <w:pPr>
        <w:spacing w:after="160" w:line="259" w:lineRule="auto"/>
        <w:ind w:left="720"/>
        <w:rPr>
          <w:rFonts w:ascii="Roboto" w:hAnsi="Roboto"/>
          <w:b/>
          <w:bCs/>
          <w:color w:val="1F3864" w:themeColor="accent1" w:themeShade="80"/>
          <w:sz w:val="24"/>
          <w:szCs w:val="24"/>
        </w:rPr>
      </w:pPr>
    </w:p>
    <w:p w14:paraId="3B913CA3" w14:textId="168FF8A7" w:rsidR="00CF6224" w:rsidRPr="00CF6224" w:rsidRDefault="00CF6224" w:rsidP="00CF6224">
      <w:pPr>
        <w:spacing w:after="160" w:line="259" w:lineRule="auto"/>
        <w:ind w:left="720"/>
        <w:rPr>
          <w:rFonts w:ascii="Roboto" w:hAnsi="Roboto"/>
          <w:b/>
          <w:bCs/>
          <w:color w:val="1F3864" w:themeColor="accent1" w:themeShade="80"/>
          <w:sz w:val="24"/>
          <w:szCs w:val="24"/>
        </w:rPr>
      </w:pPr>
      <w:r w:rsidRPr="00CF6224">
        <w:rPr>
          <w:rFonts w:ascii="Roboto" w:hAnsi="Roboto"/>
          <w:b/>
          <w:bCs/>
          <w:color w:val="1F3864" w:themeColor="accent1" w:themeShade="80"/>
          <w:sz w:val="24"/>
          <w:szCs w:val="24"/>
        </w:rPr>
        <w:t>Benefits of the Strangler Fig Pattern:</w:t>
      </w:r>
    </w:p>
    <w:p w14:paraId="4DCFFC46" w14:textId="77777777" w:rsidR="00CF6224" w:rsidRPr="00CF6224" w:rsidRDefault="00CF6224" w:rsidP="008B1584">
      <w:pPr>
        <w:numPr>
          <w:ilvl w:val="0"/>
          <w:numId w:val="6"/>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Reduced Risk</w:t>
      </w:r>
      <w:r w:rsidRPr="00CF6224">
        <w:rPr>
          <w:rFonts w:ascii="Roboto" w:hAnsi="Roboto"/>
          <w:color w:val="1F3864" w:themeColor="accent1" w:themeShade="80"/>
          <w:sz w:val="24"/>
          <w:szCs w:val="24"/>
        </w:rPr>
        <w:t>: By migrating incrementally, you reduce the risk of large-scale failures.</w:t>
      </w:r>
    </w:p>
    <w:p w14:paraId="3F0DF913" w14:textId="77777777" w:rsidR="00CF6224" w:rsidRPr="00CF6224" w:rsidRDefault="00CF6224" w:rsidP="008B1584">
      <w:pPr>
        <w:numPr>
          <w:ilvl w:val="0"/>
          <w:numId w:val="6"/>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Flexibility</w:t>
      </w:r>
      <w:r w:rsidRPr="00CF6224">
        <w:rPr>
          <w:rFonts w:ascii="Roboto" w:hAnsi="Roboto"/>
          <w:color w:val="1F3864" w:themeColor="accent1" w:themeShade="80"/>
          <w:sz w:val="24"/>
          <w:szCs w:val="24"/>
        </w:rPr>
        <w:t>: It allows for refactoring and system improvements without freezing or halting existing development.</w:t>
      </w:r>
    </w:p>
    <w:p w14:paraId="16191A1B" w14:textId="77777777" w:rsidR="00CF6224" w:rsidRPr="00CF6224" w:rsidRDefault="00CF6224" w:rsidP="008B1584">
      <w:pPr>
        <w:numPr>
          <w:ilvl w:val="0"/>
          <w:numId w:val="6"/>
        </w:numPr>
        <w:spacing w:after="160" w:line="259" w:lineRule="auto"/>
        <w:rPr>
          <w:rFonts w:ascii="Roboto" w:hAnsi="Roboto"/>
          <w:color w:val="1F3864" w:themeColor="accent1" w:themeShade="80"/>
          <w:sz w:val="24"/>
          <w:szCs w:val="24"/>
        </w:rPr>
      </w:pPr>
      <w:r w:rsidRPr="00CF6224">
        <w:rPr>
          <w:rFonts w:ascii="Roboto" w:hAnsi="Roboto"/>
          <w:b/>
          <w:bCs/>
          <w:color w:val="1F3864" w:themeColor="accent1" w:themeShade="80"/>
          <w:sz w:val="24"/>
          <w:szCs w:val="24"/>
        </w:rPr>
        <w:t>Continuity</w:t>
      </w:r>
      <w:r w:rsidRPr="00CF6224">
        <w:rPr>
          <w:rFonts w:ascii="Roboto" w:hAnsi="Roboto"/>
          <w:color w:val="1F3864" w:themeColor="accent1" w:themeShade="80"/>
          <w:sz w:val="24"/>
          <w:szCs w:val="24"/>
        </w:rPr>
        <w:t>: Users experience minimal disruption as both systems can run in parallel during the migration.</w:t>
      </w:r>
    </w:p>
    <w:p w14:paraId="5C0B4D3B" w14:textId="77777777" w:rsidR="00CF6224" w:rsidRPr="00D97951" w:rsidRDefault="00CF6224" w:rsidP="008B1584">
      <w:pPr>
        <w:pStyle w:val="ListParagraph"/>
        <w:numPr>
          <w:ilvl w:val="1"/>
          <w:numId w:val="6"/>
        </w:numPr>
        <w:spacing w:after="160" w:line="259" w:lineRule="auto"/>
        <w:rPr>
          <w:rFonts w:ascii="Roboto" w:hAnsi="Roboto"/>
          <w:color w:val="1F3864" w:themeColor="accent1" w:themeShade="80"/>
          <w:sz w:val="24"/>
          <w:szCs w:val="24"/>
        </w:rPr>
      </w:pPr>
      <w:r w:rsidRPr="00D97951">
        <w:rPr>
          <w:rFonts w:ascii="Roboto" w:hAnsi="Roboto"/>
          <w:color w:val="1F3864" w:themeColor="accent1" w:themeShade="80"/>
          <w:sz w:val="24"/>
          <w:szCs w:val="24"/>
        </w:rPr>
        <w:t>This pattern is frequently used in legacy modernization projects to refactor monolithic applications into microservices, providing a safe and efficient path toward modernization.</w:t>
      </w:r>
    </w:p>
    <w:p w14:paraId="049970A8" w14:textId="77777777" w:rsidR="00CF6224" w:rsidRPr="001B5A43" w:rsidRDefault="00CF6224" w:rsidP="001B5A43">
      <w:pPr>
        <w:spacing w:after="160" w:line="259" w:lineRule="auto"/>
        <w:ind w:left="720"/>
        <w:rPr>
          <w:color w:val="1F3864" w:themeColor="accent1" w:themeShade="80"/>
        </w:rPr>
      </w:pPr>
    </w:p>
    <w:p w14:paraId="6C9E4AF2" w14:textId="77777777" w:rsidR="001E46DA" w:rsidRPr="00D97951" w:rsidRDefault="001E46DA">
      <w:pPr>
        <w:rPr>
          <w:color w:val="1F3864" w:themeColor="accent1" w:themeShade="80"/>
        </w:rPr>
      </w:pPr>
    </w:p>
    <w:sectPr w:rsidR="001E46DA" w:rsidRPr="00D9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84970"/>
    <w:multiLevelType w:val="multilevel"/>
    <w:tmpl w:val="0E2A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57D47"/>
    <w:multiLevelType w:val="multilevel"/>
    <w:tmpl w:val="C92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20BB"/>
    <w:multiLevelType w:val="hybridMultilevel"/>
    <w:tmpl w:val="D2EC4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074E1"/>
    <w:multiLevelType w:val="multilevel"/>
    <w:tmpl w:val="6A1A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60A8A"/>
    <w:multiLevelType w:val="multilevel"/>
    <w:tmpl w:val="E66A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07E74"/>
    <w:multiLevelType w:val="multilevel"/>
    <w:tmpl w:val="03A6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26506">
    <w:abstractNumId w:val="3"/>
  </w:num>
  <w:num w:numId="2" w16cid:durableId="402068548">
    <w:abstractNumId w:val="0"/>
  </w:num>
  <w:num w:numId="3" w16cid:durableId="1973166491">
    <w:abstractNumId w:val="5"/>
  </w:num>
  <w:num w:numId="4" w16cid:durableId="1486359947">
    <w:abstractNumId w:val="4"/>
  </w:num>
  <w:num w:numId="5" w16cid:durableId="1208759706">
    <w:abstractNumId w:val="1"/>
  </w:num>
  <w:num w:numId="6" w16cid:durableId="142229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94"/>
    <w:rsid w:val="001B5A43"/>
    <w:rsid w:val="001E46DA"/>
    <w:rsid w:val="005E4786"/>
    <w:rsid w:val="008B1584"/>
    <w:rsid w:val="00AE2794"/>
    <w:rsid w:val="00CF6224"/>
    <w:rsid w:val="00D80610"/>
    <w:rsid w:val="00D81EA5"/>
    <w:rsid w:val="00D97951"/>
    <w:rsid w:val="00EA3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07F0"/>
  <w15:chartTrackingRefBased/>
  <w15:docId w15:val="{2ED2EAC7-3E92-4BF0-B958-FF92399C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EA5"/>
  </w:style>
  <w:style w:type="paragraph" w:styleId="Heading1">
    <w:name w:val="heading 1"/>
    <w:basedOn w:val="Normal"/>
    <w:next w:val="Normal"/>
    <w:link w:val="Heading1Char"/>
    <w:uiPriority w:val="9"/>
    <w:qFormat/>
    <w:rsid w:val="00D81EA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1E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81EA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81E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1E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81E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81E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81E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81E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E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81E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81E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81E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1E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81E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81E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81E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81E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81E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81E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81E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81E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1EA5"/>
    <w:rPr>
      <w:rFonts w:asciiTheme="majorHAnsi" w:eastAsiaTheme="majorEastAsia" w:hAnsiTheme="majorHAnsi" w:cstheme="majorBidi"/>
      <w:sz w:val="24"/>
      <w:szCs w:val="24"/>
    </w:rPr>
  </w:style>
  <w:style w:type="character" w:styleId="Strong">
    <w:name w:val="Strong"/>
    <w:basedOn w:val="DefaultParagraphFont"/>
    <w:uiPriority w:val="22"/>
    <w:qFormat/>
    <w:rsid w:val="00D81EA5"/>
    <w:rPr>
      <w:b/>
      <w:bCs/>
    </w:rPr>
  </w:style>
  <w:style w:type="character" w:styleId="Emphasis">
    <w:name w:val="Emphasis"/>
    <w:basedOn w:val="DefaultParagraphFont"/>
    <w:uiPriority w:val="20"/>
    <w:qFormat/>
    <w:rsid w:val="00D81EA5"/>
    <w:rPr>
      <w:i/>
      <w:iCs/>
    </w:rPr>
  </w:style>
  <w:style w:type="paragraph" w:styleId="NoSpacing">
    <w:name w:val="No Spacing"/>
    <w:uiPriority w:val="1"/>
    <w:qFormat/>
    <w:rsid w:val="00D81EA5"/>
    <w:pPr>
      <w:spacing w:after="0" w:line="240" w:lineRule="auto"/>
    </w:pPr>
  </w:style>
  <w:style w:type="paragraph" w:styleId="Quote">
    <w:name w:val="Quote"/>
    <w:basedOn w:val="Normal"/>
    <w:next w:val="Normal"/>
    <w:link w:val="QuoteChar"/>
    <w:uiPriority w:val="29"/>
    <w:qFormat/>
    <w:rsid w:val="00D81E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1EA5"/>
    <w:rPr>
      <w:i/>
      <w:iCs/>
      <w:color w:val="404040" w:themeColor="text1" w:themeTint="BF"/>
    </w:rPr>
  </w:style>
  <w:style w:type="paragraph" w:styleId="IntenseQuote">
    <w:name w:val="Intense Quote"/>
    <w:basedOn w:val="Normal"/>
    <w:next w:val="Normal"/>
    <w:link w:val="IntenseQuoteChar"/>
    <w:uiPriority w:val="30"/>
    <w:qFormat/>
    <w:rsid w:val="00D81E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81E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81EA5"/>
    <w:rPr>
      <w:i/>
      <w:iCs/>
      <w:color w:val="404040" w:themeColor="text1" w:themeTint="BF"/>
    </w:rPr>
  </w:style>
  <w:style w:type="character" w:styleId="IntenseEmphasis">
    <w:name w:val="Intense Emphasis"/>
    <w:basedOn w:val="DefaultParagraphFont"/>
    <w:uiPriority w:val="21"/>
    <w:qFormat/>
    <w:rsid w:val="00D81EA5"/>
    <w:rPr>
      <w:b/>
      <w:bCs/>
      <w:i/>
      <w:iCs/>
    </w:rPr>
  </w:style>
  <w:style w:type="character" w:styleId="SubtleReference">
    <w:name w:val="Subtle Reference"/>
    <w:basedOn w:val="DefaultParagraphFont"/>
    <w:uiPriority w:val="31"/>
    <w:qFormat/>
    <w:rsid w:val="00D81E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1EA5"/>
    <w:rPr>
      <w:b/>
      <w:bCs/>
      <w:smallCaps/>
      <w:spacing w:val="5"/>
      <w:u w:val="single"/>
    </w:rPr>
  </w:style>
  <w:style w:type="character" w:styleId="BookTitle">
    <w:name w:val="Book Title"/>
    <w:basedOn w:val="DefaultParagraphFont"/>
    <w:uiPriority w:val="33"/>
    <w:qFormat/>
    <w:rsid w:val="00D81EA5"/>
    <w:rPr>
      <w:b/>
      <w:bCs/>
      <w:smallCaps/>
    </w:rPr>
  </w:style>
  <w:style w:type="paragraph" w:styleId="TOCHeading">
    <w:name w:val="TOC Heading"/>
    <w:basedOn w:val="Heading1"/>
    <w:next w:val="Normal"/>
    <w:uiPriority w:val="39"/>
    <w:semiHidden/>
    <w:unhideWhenUsed/>
    <w:qFormat/>
    <w:rsid w:val="00D81EA5"/>
    <w:pPr>
      <w:outlineLvl w:val="9"/>
    </w:pPr>
  </w:style>
  <w:style w:type="paragraph" w:styleId="ListParagraph">
    <w:name w:val="List Paragraph"/>
    <w:basedOn w:val="Normal"/>
    <w:uiPriority w:val="34"/>
    <w:qFormat/>
    <w:rsid w:val="008B1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961685">
      <w:bodyDiv w:val="1"/>
      <w:marLeft w:val="0"/>
      <w:marRight w:val="0"/>
      <w:marTop w:val="0"/>
      <w:marBottom w:val="0"/>
      <w:divBdr>
        <w:top w:val="none" w:sz="0" w:space="0" w:color="auto"/>
        <w:left w:val="none" w:sz="0" w:space="0" w:color="auto"/>
        <w:bottom w:val="none" w:sz="0" w:space="0" w:color="auto"/>
        <w:right w:val="none" w:sz="0" w:space="0" w:color="auto"/>
      </w:divBdr>
    </w:div>
    <w:div w:id="795180653">
      <w:bodyDiv w:val="1"/>
      <w:marLeft w:val="0"/>
      <w:marRight w:val="0"/>
      <w:marTop w:val="0"/>
      <w:marBottom w:val="0"/>
      <w:divBdr>
        <w:top w:val="none" w:sz="0" w:space="0" w:color="auto"/>
        <w:left w:val="none" w:sz="0" w:space="0" w:color="auto"/>
        <w:bottom w:val="none" w:sz="0" w:space="0" w:color="auto"/>
        <w:right w:val="none" w:sz="0" w:space="0" w:color="auto"/>
      </w:divBdr>
    </w:div>
    <w:div w:id="924529777">
      <w:bodyDiv w:val="1"/>
      <w:marLeft w:val="0"/>
      <w:marRight w:val="0"/>
      <w:marTop w:val="0"/>
      <w:marBottom w:val="0"/>
      <w:divBdr>
        <w:top w:val="none" w:sz="0" w:space="0" w:color="auto"/>
        <w:left w:val="none" w:sz="0" w:space="0" w:color="auto"/>
        <w:bottom w:val="none" w:sz="0" w:space="0" w:color="auto"/>
        <w:right w:val="none" w:sz="0" w:space="0" w:color="auto"/>
      </w:divBdr>
    </w:div>
    <w:div w:id="111614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Rajnesh Thakur</dc:creator>
  <cp:keywords/>
  <dc:description/>
  <cp:lastModifiedBy>Rajnesh Thakur</cp:lastModifiedBy>
  <cp:revision>10</cp:revision>
  <dcterms:created xsi:type="dcterms:W3CDTF">2024-10-02T08:54:00Z</dcterms:created>
  <dcterms:modified xsi:type="dcterms:W3CDTF">2024-10-02T09:04:00Z</dcterms:modified>
</cp:coreProperties>
</file>