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right="-360"/>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Lead Scoring Model Summary: Optimizing Conversions for X Education</w:t>
      </w:r>
    </w:p>
    <w:p w:rsidR="00000000" w:rsidDel="00000000" w:rsidP="00000000" w:rsidRDefault="00000000" w:rsidRPr="00000000" w14:paraId="00000002">
      <w:pPr>
        <w:ind w:right="-36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ind w:right="-360"/>
        <w:rPr/>
      </w:pPr>
      <w:r w:rsidDel="00000000" w:rsidR="00000000" w:rsidRPr="00000000">
        <w:rPr>
          <w:rtl w:val="0"/>
        </w:rPr>
        <w:t xml:space="preserve">The primary objective of this project is to construct an effective lead scoring model for X Education, with the aim of identifying prospective leads most likely to convert into paying customers. The overarching goal is to significantly boost the existing lead conversion rate from 30% to a challenging target of approximately 80%. This strategic endeavor relies on the precise identification of promising leads, facilitating the concentration of the sales team's efforts on effectively nurturing and converting them. The lead scoring model plays a pivotal role in achieving this mission, offering the means to prioritize leads and optimize sales endeavors. The ultimate objective is to bolster the conversion rate substantially, optimize resource allocation, and enhance overall business performance.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ind w:right="-360"/>
        <w:rPr/>
      </w:pPr>
      <w:r w:rsidDel="00000000" w:rsidR="00000000" w:rsidRPr="00000000">
        <w:rPr>
          <w:rtl w:val="0"/>
        </w:rPr>
        <w:t xml:space="preserve">This multifaceted journey begins with meticulous data preprocessing. The dataset, sourced from 'leads.csv,' undergoes comprehensive scrutiny. Null values in columns and rows exceeding 30% and 2%, respectively, are systematically eliminated. Skewed data columns are pruned, and outlier handling is meticulously applied to ensure data integrity. For categorical variables, 'Select' and null entries are categorized as 'Others,' while numerical outliers are adjusted to match the 95th percentile value.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ind w:right="-360"/>
        <w:rPr/>
      </w:pPr>
      <w:r w:rsidDel="00000000" w:rsidR="00000000" w:rsidRPr="00000000">
        <w:rPr>
          <w:rtl w:val="0"/>
        </w:rPr>
        <w:t xml:space="preserve">The feature selection and engineering phase follows, where irrelevant features, including IDs, are pruned from the dataset. Binary variables are thoughtfully transformed into 1s and 0s, while categorical attributes are converted into dummy variables. Rigorous correlation checks are performed, and numerical columns are normalized using MinMaxScaler. The dataset is then partitioned into an 80-20 ratio for both training and testing purposes.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ind w:right="-360"/>
        <w:rPr/>
      </w:pPr>
      <w:r w:rsidDel="00000000" w:rsidR="00000000" w:rsidRPr="00000000">
        <w:rPr>
          <w:rtl w:val="0"/>
        </w:rPr>
        <w:t xml:space="preserve">The model building phase commences with the assembly of the lead scoring model. Leveraging Recursive Feature Elimination (RFE), the model identifies the top 20 dependent variables. A robust logistic regression model is meticulously crafted using the training data. The iterative process begins to purge columns exhibiting high Variance Inflation Factor (VIF) to combat multicollinearity. Simultaneously, columns with high p-values, indicating non-significant predictors, are systematically eliminated. This iterative refinement continues until multicollinearity is minimized, and all remaining columns are deemed statistically significant.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ind w:right="-360"/>
        <w:rPr/>
      </w:pPr>
      <w:r w:rsidDel="00000000" w:rsidR="00000000" w:rsidRPr="00000000">
        <w:rPr>
          <w:rtl w:val="0"/>
        </w:rPr>
        <w:t xml:space="preserve">Once the model is refined, it is crucial to evaluate its performance comprehensively. Metrics such as accuracy, specificity, and sensitivity are rigorously assessed. The Receiver Operating Characteristic (ROC) curve plays a pivotal role in determining the optimal cutoff point, ensuring a delicate balance between true positives and false positives. Lead scores are then thoughtfully assigned based on the model's forecasts of conversion probabilities. These scores are subsequently scaled within the 0-100 range for enhanced interpretability. Higher scores clearly signify a heightened potential for lead conversion, providing invaluable guidance for the prioritization of leads.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right="-360"/>
        <w:rPr/>
      </w:pPr>
      <w:r w:rsidDel="00000000" w:rsidR="00000000" w:rsidRPr="00000000">
        <w:rPr>
          <w:rtl w:val="0"/>
        </w:rPr>
        <w:t xml:space="preserve">In terms of accuracy, the model consistently excels, achieving an impressive rate of approximately 80.2% on the train dataset and 79.13% on the test dataset. This robust accuracy underscores the model's reliability in making precise predictions.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Rule="auto"/>
        <w:ind w:right="-360"/>
        <w:rPr/>
      </w:pPr>
      <w:r w:rsidDel="00000000" w:rsidR="00000000" w:rsidRPr="00000000">
        <w:rPr>
          <w:rtl w:val="0"/>
        </w:rPr>
        <w:t xml:space="preserve">In conclusion, this model holds great promise for forecasting lead conversions. Armed with a formidable accuracy rate, it offers a potent tool for revolutionizing lead management strategies. The pivotal features identified by the model, includi</w:t>
      </w:r>
      <w:r w:rsidDel="00000000" w:rsidR="00000000" w:rsidRPr="00000000">
        <w:rPr>
          <w:rtl w:val="0"/>
        </w:rPr>
        <w:t xml:space="preserve">ng "Lead Source: Welingak Website" (Coefficient: 4.83), "Total Time Spent on Website" (Coefficient: 4.50), "Lead Source: Reference" (Coefficient: 3.98), "Current Occupation: Working Professional" (Coefficient: 2.58), and "Last Activity: Had a Phone Conversation" (Coefficient: 2.06)</w:t>
      </w:r>
      <w:r w:rsidDel="00000000" w:rsidR="00000000" w:rsidRPr="00000000">
        <w:rPr>
          <w:rtl w:val="0"/>
        </w:rPr>
        <w:t xml:space="preserve">, are instrumental in guiding prioritization and resource allocation. This model promises to be a powerful asset, propelling X Education closer to the realization of its ambitious business objectives.</w:t>
      </w:r>
      <w:r w:rsidDel="00000000" w:rsidR="00000000" w:rsidRPr="00000000">
        <w:rPr>
          <w:rtl w:val="0"/>
        </w:rPr>
      </w:r>
    </w:p>
    <w:sectPr>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