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Contract Risk Analysis Report</w:t>
      </w:r>
    </w:p>
    <w:p>
      <w:r>
        <w:rPr>
          <w:b/>
        </w:rPr>
        <w:t xml:space="preserve">Document ID: </w:t>
      </w:r>
      <w:r>
        <w:t>synthetic_demo_e2e_001</w:t>
        <w:br/>
      </w:r>
      <w:r>
        <w:rPr>
          <w:b/>
        </w:rPr>
        <w:t xml:space="preserve">Generated: </w:t>
      </w:r>
      <w:r>
        <w:t>2026-04-28T07:34:26.375393+00:00</w:t>
        <w:br/>
      </w:r>
      <w:r>
        <w:rPr>
          <w:b/>
        </w:rPr>
        <w:t xml:space="preserve">Overall Risk Score: </w:t>
      </w:r>
      <w:r>
        <w:t>5.24 / 10</w:t>
      </w:r>
    </w:p>
    <w:p>
      <w:pPr>
        <w:pStyle w:val="Heading1"/>
      </w:pPr>
      <w:r>
        <w:t>Document Metadata</w:t>
      </w:r>
    </w:p>
    <w:tbl>
      <w:tblPr>
        <w:tblStyle w:val="LightGrid-Accent1"/>
        <w:tblW w:type="auto" w:w="0"/>
        <w:jc w:val="left"/>
        <w:tblLook w:firstColumn="1" w:firstRow="1" w:lastColumn="0" w:lastRow="0" w:noHBand="0" w:noVBand="1" w:val="04A0"/>
      </w:tblPr>
      <w:tblGrid>
        <w:gridCol w:w="4320"/>
        <w:gridCol w:w="4320"/>
      </w:tblGrid>
      <w:tr>
        <w:tc>
          <w:tcPr>
            <w:tcW w:type="dxa" w:w="2551"/>
          </w:tcPr>
          <w:p>
            <w:r>
              <w:rPr>
                <w:b/>
              </w:rPr>
              <w:t>Document Name</w:t>
            </w:r>
          </w:p>
        </w:tc>
        <w:tc>
          <w:tcPr>
            <w:tcW w:type="dxa" w:w="6520"/>
          </w:tcPr>
          <w:p>
            <w:r>
              <w:t>Promotion Agreement</w:t>
            </w:r>
          </w:p>
        </w:tc>
      </w:tr>
      <w:tr>
        <w:tc>
          <w:tcPr>
            <w:tcW w:type="dxa" w:w="2551"/>
          </w:tcPr>
          <w:p>
            <w:r>
              <w:rPr>
                <w:b/>
              </w:rPr>
              <w:t>Parties</w:t>
            </w:r>
          </w:p>
        </w:tc>
        <w:tc>
          <w:tcPr>
            <w:tcW w:type="dxa" w:w="6520"/>
          </w:tcPr>
          <w:p>
            <w:r>
              <w:t>Acme Inc. and Buyer Co.</w:t>
            </w:r>
          </w:p>
        </w:tc>
      </w:tr>
      <w:tr>
        <w:tc>
          <w:tcPr>
            <w:tcW w:type="dxa" w:w="2551"/>
          </w:tcPr>
          <w:p>
            <w:r>
              <w:rPr>
                <w:b/>
              </w:rPr>
              <w:t>Agreement Date</w:t>
            </w:r>
          </w:p>
        </w:tc>
        <w:tc>
          <w:tcPr>
            <w:tcW w:type="dxa" w:w="6520"/>
          </w:tcPr>
          <w:p>
            <w:r>
              <w:t>—</w:t>
            </w:r>
          </w:p>
        </w:tc>
      </w:tr>
      <w:tr>
        <w:tc>
          <w:tcPr>
            <w:tcW w:type="dxa" w:w="2551"/>
          </w:tcPr>
          <w:p>
            <w:r>
              <w:rPr>
                <w:b/>
              </w:rPr>
              <w:t>Effective Date</w:t>
            </w:r>
          </w:p>
        </w:tc>
        <w:tc>
          <w:tcPr>
            <w:tcW w:type="dxa" w:w="6520"/>
          </w:tcPr>
          <w:p>
            <w:r>
              <w:t>January 1, 2024</w:t>
            </w:r>
          </w:p>
        </w:tc>
      </w:tr>
      <w:tr>
        <w:tc>
          <w:tcPr>
            <w:tcW w:type="dxa" w:w="2551"/>
          </w:tcPr>
          <w:p>
            <w:r>
              <w:rPr>
                <w:b/>
              </w:rPr>
              <w:t>Expiration Date</w:t>
            </w:r>
          </w:p>
        </w:tc>
        <w:tc>
          <w:tcPr>
            <w:tcW w:type="dxa" w:w="6520"/>
          </w:tcPr>
          <w:p>
            <w:r>
              <w:t>December 31, 2026</w:t>
            </w:r>
          </w:p>
        </w:tc>
      </w:tr>
    </w:tbl>
    <w:p>
      <w:pPr>
        <w:pStyle w:val="Heading1"/>
      </w:pPr>
      <w:r>
        <w:t>Contract Summary</w:t>
      </w:r>
    </w:p>
    <w:p>
      <w:r>
        <w:t>PROMOTION AGREEMENT between Acme Inc. This contract was assessed across 3 clause(s), with 1 flagged as high risk, 1 as medium risk, and 1 as low risk.</w:t>
      </w:r>
    </w:p>
    <w:p>
      <w:pPr>
        <w:pStyle w:val="Heading1"/>
      </w:pPr>
      <w:r>
        <w:t>Risk-Classified Clauses</w:t>
      </w:r>
    </w:p>
    <w:p>
      <w:pPr>
        <w:pStyle w:val="Heading2"/>
      </w:pPr>
      <w:r>
        <w:rPr>
          <w:color w:val="C0392B"/>
        </w:rPr>
        <w:t>HIGH Risk Clauses (n=1)</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1984"/>
          </w:tcPr>
          <w:p>
            <w:r>
              <w:rPr>
                <w:b/>
              </w:rPr>
              <w:t>Clause Type</w:t>
            </w:r>
          </w:p>
        </w:tc>
        <w:tc>
          <w:tcPr>
            <w:tcW w:type="dxa" w:w="3969"/>
          </w:tcPr>
          <w:p>
            <w:r>
              <w:rPr>
                <w:b/>
              </w:rPr>
              <w:t>Clause Text</w:t>
            </w:r>
          </w:p>
        </w:tc>
        <w:tc>
          <w:tcPr>
            <w:tcW w:type="dxa" w:w="2835"/>
          </w:tcPr>
          <w:p>
            <w:r>
              <w:rPr>
                <w:b/>
              </w:rPr>
              <w:t>Reasoning</w:t>
            </w:r>
          </w:p>
        </w:tc>
        <w:tc>
          <w:tcPr>
            <w:tcW w:type="dxa" w:w="1134"/>
          </w:tcPr>
          <w:p>
            <w:r>
              <w:rPr>
                <w:b/>
              </w:rPr>
              <w:t>Confidence</w:t>
            </w:r>
          </w:p>
        </w:tc>
      </w:tr>
      <w:tr>
        <w:tc>
          <w:tcPr>
            <w:tcW w:type="dxa" w:w="1984"/>
            <w:vAlign w:val="top"/>
          </w:tcPr>
          <w:p>
            <w:r>
              <w:t>Indemnification</w:t>
            </w:r>
          </w:p>
        </w:tc>
        <w:tc>
          <w:tcPr>
            <w:tcW w:type="dxa" w:w="3969"/>
            <w:vAlign w:val="top"/>
          </w:tcPr>
          <w:p>
            <w:r>
              <w:t>Vendor indemnifies Buyer against all third-party claims.</w:t>
            </w:r>
          </w:p>
        </w:tc>
        <w:tc>
          <w:tcPr>
            <w:tcW w:type="dxa" w:w="2835"/>
            <w:vAlign w:val="top"/>
          </w:tcPr>
          <w:p>
            <w:r>
              <w:t>One-sided indemnification covering counterparty negligence.</w:t>
            </w:r>
          </w:p>
        </w:tc>
        <w:tc>
          <w:tcPr>
            <w:tcW w:type="dxa" w:w="1134"/>
            <w:vAlign w:val="top"/>
          </w:tcPr>
          <w:p>
            <w:r>
              <w:t>0.85</w:t>
            </w:r>
          </w:p>
        </w:tc>
      </w:tr>
    </w:tbl>
    <w:p>
      <w:pPr>
        <w:pStyle w:val="Heading2"/>
      </w:pPr>
      <w:r>
        <w:rPr>
          <w:color w:val="E67E22"/>
        </w:rPr>
        <w:t>MEDIUM Risk Clauses (n=1)</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1984"/>
          </w:tcPr>
          <w:p>
            <w:r>
              <w:rPr>
                <w:b/>
              </w:rPr>
              <w:t>Clause Type</w:t>
            </w:r>
          </w:p>
        </w:tc>
        <w:tc>
          <w:tcPr>
            <w:tcW w:type="dxa" w:w="3969"/>
          </w:tcPr>
          <w:p>
            <w:r>
              <w:rPr>
                <w:b/>
              </w:rPr>
              <w:t>Clause Text</w:t>
            </w:r>
          </w:p>
        </w:tc>
        <w:tc>
          <w:tcPr>
            <w:tcW w:type="dxa" w:w="2835"/>
          </w:tcPr>
          <w:p>
            <w:r>
              <w:rPr>
                <w:b/>
              </w:rPr>
              <w:t>Reasoning</w:t>
            </w:r>
          </w:p>
        </w:tc>
        <w:tc>
          <w:tcPr>
            <w:tcW w:type="dxa" w:w="1134"/>
          </w:tcPr>
          <w:p>
            <w:r>
              <w:rPr>
                <w:b/>
              </w:rPr>
              <w:t>Confidence</w:t>
            </w:r>
          </w:p>
        </w:tc>
      </w:tr>
      <w:tr>
        <w:tc>
          <w:tcPr>
            <w:tcW w:type="dxa" w:w="1984"/>
            <w:vAlign w:val="top"/>
          </w:tcPr>
          <w:p>
            <w:r>
              <w:t>Exclusivity</w:t>
            </w:r>
          </w:p>
        </w:tc>
        <w:tc>
          <w:tcPr>
            <w:tcW w:type="dxa" w:w="3969"/>
            <w:vAlign w:val="top"/>
          </w:tcPr>
          <w:p>
            <w:r>
              <w:t>Exclusive distribution rights in North America.</w:t>
            </w:r>
          </w:p>
        </w:tc>
        <w:tc>
          <w:tcPr>
            <w:tcW w:type="dxa" w:w="2835"/>
            <w:vAlign w:val="top"/>
          </w:tcPr>
          <w:p>
            <w:r>
              <w:t>Exclusivity without minimum-volume off-ramps creates downside risk.</w:t>
            </w:r>
          </w:p>
        </w:tc>
        <w:tc>
          <w:tcPr>
            <w:tcW w:type="dxa" w:w="1134"/>
            <w:vAlign w:val="top"/>
          </w:tcPr>
          <w:p>
            <w:r>
              <w:t>0.78</w:t>
            </w:r>
          </w:p>
        </w:tc>
      </w:tr>
    </w:tbl>
    <w:p>
      <w:pPr>
        <w:pStyle w:val="Heading2"/>
      </w:pPr>
      <w:r>
        <w:rPr>
          <w:color w:val="27AE60"/>
        </w:rPr>
        <w:t>LOW Risk Clauses (n=1)</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1984"/>
          </w:tcPr>
          <w:p>
            <w:r>
              <w:rPr>
                <w:b/>
              </w:rPr>
              <w:t>Clause Type</w:t>
            </w:r>
          </w:p>
        </w:tc>
        <w:tc>
          <w:tcPr>
            <w:tcW w:type="dxa" w:w="3969"/>
          </w:tcPr>
          <w:p>
            <w:r>
              <w:rPr>
                <w:b/>
              </w:rPr>
              <w:t>Clause Text</w:t>
            </w:r>
          </w:p>
        </w:tc>
        <w:tc>
          <w:tcPr>
            <w:tcW w:type="dxa" w:w="2835"/>
          </w:tcPr>
          <w:p>
            <w:r>
              <w:rPr>
                <w:b/>
              </w:rPr>
              <w:t>Reasoning</w:t>
            </w:r>
          </w:p>
        </w:tc>
        <w:tc>
          <w:tcPr>
            <w:tcW w:type="dxa" w:w="1134"/>
          </w:tcPr>
          <w:p>
            <w:r>
              <w:rPr>
                <w:b/>
              </w:rPr>
              <w:t>Confidence</w:t>
            </w:r>
          </w:p>
        </w:tc>
      </w:tr>
      <w:tr>
        <w:tc>
          <w:tcPr>
            <w:tcW w:type="dxa" w:w="1984"/>
            <w:vAlign w:val="top"/>
          </w:tcPr>
          <w:p>
            <w:r>
              <w:t>Cap On Liability</w:t>
            </w:r>
          </w:p>
        </w:tc>
        <w:tc>
          <w:tcPr>
            <w:tcW w:type="dxa" w:w="3969"/>
            <w:vAlign w:val="top"/>
          </w:tcPr>
          <w:p>
            <w:r>
              <w:t>Total liability shall not exceed twelve months of fees.</w:t>
            </w:r>
          </w:p>
        </w:tc>
        <w:tc>
          <w:tcPr>
            <w:tcW w:type="dxa" w:w="2835"/>
            <w:vAlign w:val="top"/>
          </w:tcPr>
          <w:p>
            <w:r>
              <w:t>Standard 12-month-fees cap; mutual; reasonable.</w:t>
            </w:r>
          </w:p>
        </w:tc>
        <w:tc>
          <w:tcPr>
            <w:tcW w:type="dxa" w:w="1134"/>
            <w:vAlign w:val="top"/>
          </w:tcPr>
          <w:p>
            <w:r>
              <w:t>0.91</w:t>
            </w:r>
          </w:p>
        </w:tc>
      </w:tr>
    </w:tbl>
    <w:p>
      <w:pPr>
        <w:pStyle w:val="Heading1"/>
      </w:pPr>
      <w:r>
        <w:t>Conclusion &amp; Recommendations</w:t>
      </w:r>
    </w:p>
    <w:p>
      <w:r>
        <w:t>The contract carries elevated risk in 1 area(s); legal review of high-risk clauses is strongly recommended before signing.</w:t>
      </w:r>
    </w:p>
    <w:p>
      <w:pPr>
        <w:pStyle w:val="Heading2"/>
      </w:pPr>
      <w:r>
        <w:t>High-Priority Actions</w:t>
      </w:r>
    </w:p>
    <w:p>
      <w:pPr>
        <w:pStyle w:val="ListBullet"/>
      </w:pPr>
      <w:r>
        <w:t>Review and negotiate the indemnification clause to limit counterparty exposure.</w:t>
      </w:r>
    </w:p>
    <w:p>
      <w:pPr>
        <w:pStyle w:val="Heading2"/>
      </w:pPr>
      <w:r>
        <w:t>Medium-Priority Actions</w:t>
      </w:r>
    </w:p>
    <w:p>
      <w:pPr>
        <w:pStyle w:val="ListBullet"/>
      </w:pPr>
      <w:r>
        <w:t>Confirm the exclusivity clause is commercially reasonable with legal counsel.</w:t>
      </w:r>
    </w:p>
    <w:p>
      <w:pPr>
        <w:pStyle w:val="Heading2"/>
      </w:pPr>
      <w:r>
        <w:t>Disclaimer</w:t>
      </w:r>
    </w:p>
    <w:p>
      <w:r>
        <w:rPr>
          <w:i/>
          <w:sz w:val="20"/>
        </w:rPr>
        <w:t>This automated risk analysis is intended as a decision-support tool and does not constitute legal advice. All findings should be reviewed and confirmed by licensed legal counsel before relying on this document for any contract decision, negotiation, or signing.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