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rStyle w:val="Page Number"/>
          <w:lang w:val="en-US"/>
        </w:rPr>
      </w:pPr>
    </w:p>
    <w:tbl>
      <w:tblPr>
        <w:tblW w:w="106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90"/>
        <w:gridCol w:w="5400"/>
        <w:gridCol w:w="3330"/>
      </w:tblGrid>
      <w:tr>
        <w:tblPrEx>
          <w:shd w:val="clear" w:color="auto" w:fill="ced7e7"/>
        </w:tblPrEx>
        <w:trPr>
          <w:trHeight w:val="822" w:hRule="atLeast"/>
        </w:trPr>
        <w:tc>
          <w:tcPr>
            <w:tcW w:type="dxa" w:w="189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Header"/>
              <w:jc w:val="center"/>
              <w:rPr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7 MTPA INTEGRATED PELLETIZATION PROJECT</w:t>
            </w:r>
          </w:p>
          <w:p>
            <w:pPr>
              <w:pStyle w:val="Header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NASHWAUK, MINNESOTA</w:t>
            </w:r>
          </w:p>
        </w:tc>
        <w:tc>
          <w:tcPr>
            <w:tcW w:type="dxa" w:w="3330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21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360" w:lineRule="auto"/>
              <w:ind w:left="41" w:firstLine="0"/>
              <w:rPr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 M C L</w:t>
            </w:r>
          </w:p>
          <w:p>
            <w:pPr>
              <w:pStyle w:val="Normal.0"/>
              <w:bidi w:val="0"/>
              <w:spacing w:before="41" w:line="360" w:lineRule="auto"/>
              <w:ind w:left="1529" w:right="0" w:hanging="1488"/>
              <w:jc w:val="left"/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17113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COUNTY</w:t>
            </w:r>
            <w:r>
              <w:rPr>
                <w:b w:val="1"/>
                <w:bCs w:val="1"/>
                <w:spacing w:val="-7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RD.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58</w:t>
            </w:r>
          </w:p>
          <w:p>
            <w:pPr>
              <w:pStyle w:val="Normal.0"/>
              <w:bidi w:val="0"/>
              <w:spacing w:line="360" w:lineRule="auto"/>
              <w:ind w:left="0" w:right="0" w:firstLine="41"/>
              <w:jc w:val="left"/>
              <w:rPr>
                <w:rtl w:val="0"/>
              </w:rPr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MN 55769</w:t>
            </w:r>
          </w:p>
        </w:tc>
      </w:tr>
      <w:tr>
        <w:tblPrEx>
          <w:shd w:val="clear" w:color="auto" w:fill="ced7e7"/>
        </w:tblPrEx>
        <w:trPr>
          <w:trHeight w:val="560" w:hRule="atLeast"/>
        </w:trPr>
        <w:tc>
          <w:tcPr>
            <w:tcW w:type="dxa" w:w="189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5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Header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NOTE FOR APPROVAL </w:t>
            </w:r>
          </w:p>
        </w:tc>
        <w:tc>
          <w:tcPr>
            <w:tcW w:type="dxa" w:w="3330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rPr>
          <w:rStyle w:val="Page Number"/>
          <w:lang w:val="en-US"/>
        </w:rPr>
      </w:pPr>
    </w:p>
    <w:p>
      <w:pPr>
        <w:pStyle w:val="Normal.0"/>
        <w:ind w:left="1260" w:hanging="126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tbl>
      <w:tblPr>
        <w:tblW w:w="10637" w:type="dxa"/>
        <w:jc w:val="left"/>
        <w:tblInd w:w="136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84"/>
        <w:gridCol w:w="4252"/>
        <w:gridCol w:w="2551"/>
        <w:gridCol w:w="2450"/>
      </w:tblGrid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13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Project:</w:t>
            </w:r>
          </w:p>
        </w:tc>
        <w:tc>
          <w:tcPr>
            <w:tcW w:type="dxa" w:w="4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7 MMTPA iron ore pellet plant 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(Mesabi Metallics Company LLC)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13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Item Description:</w:t>
            </w:r>
          </w:p>
        </w:tc>
        <w:tc>
          <w:tcPr>
            <w:tcW w:type="dxa" w:w="9253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Supply of Softwater Plant for Pellet plant cooling system </w:t>
            </w:r>
            <w:r>
              <w:rPr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1 Unit.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13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NTD Ref No:</w:t>
            </w:r>
          </w:p>
        </w:tc>
        <w:tc>
          <w:tcPr>
            <w:tcW w:type="dxa" w:w="4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MMCL/2024-25/PROC/NFA/312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NFA Date: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vertAlign w:val="superscript"/>
                <w:rtl w:val="0"/>
                <w:lang w:val="en-US"/>
              </w:rPr>
              <w:t>th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March 2025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13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Indent No:</w:t>
            </w:r>
          </w:p>
        </w:tc>
        <w:tc>
          <w:tcPr>
            <w:tcW w:type="dxa" w:w="4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MMCL/PME/GEN/MER/PR-320 Rev-01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Technical Specification ref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138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SAP PR No:</w:t>
            </w:r>
          </w:p>
        </w:tc>
        <w:tc>
          <w:tcPr>
            <w:tcW w:type="dxa" w:w="42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Technical Specification Date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                      </w:t>
            </w:r>
          </w:p>
        </w:tc>
      </w:tr>
      <w:tr>
        <w:tblPrEx>
          <w:shd w:val="clear" w:color="auto" w:fill="ced7e7"/>
        </w:tblPrEx>
        <w:trPr>
          <w:trHeight w:val="263" w:hRule="atLeast"/>
        </w:trPr>
        <w:tc>
          <w:tcPr>
            <w:tcW w:type="dxa" w:w="1384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WBS: </w:t>
            </w:r>
          </w:p>
        </w:tc>
        <w:tc>
          <w:tcPr>
            <w:tcW w:type="dxa" w:w="4252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M-1017-G-PME-GEN-MER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WBS Budget total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USD    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10,796,095.43</w:t>
            </w:r>
          </w:p>
        </w:tc>
      </w:tr>
      <w:tr>
        <w:tblPrEx>
          <w:shd w:val="clear" w:color="auto" w:fill="ced7e7"/>
        </w:tblPrEx>
        <w:trPr>
          <w:trHeight w:val="303" w:hRule="atLeast"/>
        </w:trPr>
        <w:tc>
          <w:tcPr>
            <w:tcW w:type="dxa" w:w="13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25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WBS Budget balance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USD     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5,587,931.63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13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25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Value of current NFA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Fonts w:ascii="Arial" w:cs="Arial" w:hAnsi="Arial" w:eastAsia="Arial"/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USD      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85,500.00</w:t>
            </w:r>
            <w:r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503" w:hRule="atLeast"/>
        </w:trPr>
        <w:tc>
          <w:tcPr>
            <w:tcW w:type="dxa" w:w="1384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252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Estimate value for balance WBS </w:t>
            </w:r>
          </w:p>
        </w:tc>
        <w:tc>
          <w:tcPr>
            <w:tcW w:type="dxa" w:w="24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USD      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5,502,431.63</w:t>
            </w:r>
          </w:p>
        </w:tc>
      </w:tr>
    </w:tbl>
    <w:p>
      <w:pPr>
        <w:pStyle w:val="Normal.0"/>
        <w:ind w:left="1260" w:hanging="126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p>
      <w:pPr>
        <w:pStyle w:val="Normal.0"/>
        <w:ind w:left="1260" w:hanging="126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p>
      <w:pPr>
        <w:pStyle w:val="Normal.0"/>
        <w:numPr>
          <w:ilvl w:val="0"/>
          <w:numId w:val="2"/>
        </w:numPr>
        <w:bidi w:val="0"/>
        <w:ind w:right="397"/>
        <w:jc w:val="left"/>
        <w:rPr>
          <w:rFonts w:ascii="Arial" w:hAnsi="Arial"/>
          <w:b w:val="1"/>
          <w:bCs w:val="1"/>
          <w:sz w:val="22"/>
          <w:szCs w:val="22"/>
          <w:rtl w:val="0"/>
          <w:lang w:val="en-US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DESCRIPTION OF THE PACKAGE:</w:t>
      </w:r>
    </w:p>
    <w:p>
      <w:pPr>
        <w:pStyle w:val="Normal.0"/>
        <w:ind w:right="397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rmal.0"/>
        <w:ind w:right="397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This note covers Supply of Softwater Plant for Pellet plant cooling system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– </w:t>
      </w:r>
      <w:r>
        <w:rPr>
          <w:rFonts w:ascii="Arial" w:hAnsi="Arial"/>
          <w:sz w:val="22"/>
          <w:szCs w:val="22"/>
          <w:rtl w:val="0"/>
          <w:lang w:val="en-US"/>
        </w:rPr>
        <w:t>1 Unit required for 7 MMTPA Beneficiation and Pelletization plant for Mesabi project at Nashwauk, MN, USA.</w:t>
      </w:r>
    </w:p>
    <w:p>
      <w:pPr>
        <w:pStyle w:val="Normal.0"/>
        <w:ind w:right="397"/>
        <w:jc w:val="both"/>
        <w:rPr>
          <w:rFonts w:ascii="Arial" w:cs="Arial" w:hAnsi="Arial" w:eastAsia="Arial"/>
          <w:sz w:val="22"/>
          <w:szCs w:val="22"/>
          <w:shd w:val="clear" w:color="auto" w:fill="ffff00"/>
          <w:lang w:val="en-US"/>
        </w:rPr>
      </w:pPr>
    </w:p>
    <w:p>
      <w:pPr>
        <w:pStyle w:val="Normal.0"/>
        <w:ind w:right="397"/>
        <w:jc w:val="both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rmal.0"/>
        <w:ind w:right="397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Action taken-</w:t>
      </w:r>
    </w:p>
    <w:p>
      <w:pPr>
        <w:pStyle w:val="Normal.0"/>
        <w:ind w:right="397"/>
        <w:jc w:val="both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rmal.0"/>
        <w:ind w:right="397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Upon restart of the project, it was strategized to explore sourcing this Softwater Plant for Pellet plant cooling system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– </w:t>
      </w:r>
      <w:r>
        <w:rPr>
          <w:rFonts w:ascii="Arial" w:hAnsi="Arial"/>
          <w:sz w:val="22"/>
          <w:szCs w:val="22"/>
          <w:rtl w:val="0"/>
          <w:lang w:val="en-US"/>
        </w:rPr>
        <w:t>1 Unit.</w:t>
      </w:r>
      <w:r>
        <w:rPr>
          <w:sz w:val="23"/>
          <w:szCs w:val="23"/>
          <w:rtl w:val="0"/>
          <w:lang w:val="en-US"/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>and hence suitable vendors manufacturing these items were identified, who can supply as per MMCL, MN, USA specification requirement.</w:t>
      </w:r>
    </w:p>
    <w:p>
      <w:pPr>
        <w:pStyle w:val="Normal.0"/>
        <w:jc w:val="both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rmal.0"/>
        <w:jc w:val="both"/>
        <w:rPr>
          <w:rFonts w:ascii="Arial" w:cs="Arial" w:hAnsi="Arial" w:eastAsia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Accordingly, enquiry was floated to the following vendors: -</w:t>
      </w:r>
    </w:p>
    <w:p>
      <w:pPr>
        <w:pStyle w:val="Normal.0"/>
        <w:jc w:val="both"/>
        <w:rPr>
          <w:rFonts w:ascii="Arial" w:cs="Arial" w:hAnsi="Arial" w:eastAsia="Arial"/>
          <w:sz w:val="22"/>
          <w:szCs w:val="22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  </w:t>
      </w:r>
    </w:p>
    <w:p>
      <w:pPr>
        <w:pStyle w:val="Default"/>
        <w:numPr>
          <w:ilvl w:val="0"/>
          <w:numId w:val="4"/>
        </w:numPr>
        <w:bidi w:val="0"/>
        <w:spacing w:line="360" w:lineRule="auto"/>
        <w:ind w:right="0"/>
        <w:jc w:val="left"/>
        <w:rPr>
          <w:rFonts w:ascii="Arial" w:hAnsi="Arial"/>
          <w:sz w:val="22"/>
          <w:szCs w:val="22"/>
          <w:rtl w:val="0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WTE INFRA PROJECTS PVT LTD. (India) - offer submitted.</w:t>
      </w:r>
    </w:p>
    <w:p>
      <w:pPr>
        <w:pStyle w:val="Default"/>
        <w:numPr>
          <w:ilvl w:val="0"/>
          <w:numId w:val="4"/>
        </w:numPr>
        <w:bidi w:val="0"/>
        <w:spacing w:line="360" w:lineRule="auto"/>
        <w:ind w:right="0"/>
        <w:jc w:val="left"/>
        <w:rPr>
          <w:rFonts w:ascii="Arial" w:hAnsi="Arial"/>
          <w:sz w:val="22"/>
          <w:szCs w:val="22"/>
          <w:rtl w:val="0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ION EXCHANGE (India) - offer submitted.</w:t>
      </w:r>
    </w:p>
    <w:p>
      <w:pPr>
        <w:pStyle w:val="Default"/>
        <w:numPr>
          <w:ilvl w:val="0"/>
          <w:numId w:val="4"/>
        </w:numPr>
        <w:bidi w:val="0"/>
        <w:spacing w:line="360" w:lineRule="auto"/>
        <w:ind w:right="0"/>
        <w:jc w:val="left"/>
        <w:rPr>
          <w:rFonts w:ascii="Arial" w:hAnsi="Arial"/>
          <w:sz w:val="22"/>
          <w:szCs w:val="22"/>
          <w:rtl w:val="0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Doshi Ion (India)</w:t>
      </w:r>
      <w:r>
        <w:rPr>
          <w:rFonts w:ascii="Arial" w:hAnsi="Arial"/>
          <w:sz w:val="22"/>
          <w:szCs w:val="22"/>
          <w:rtl w:val="0"/>
          <w:lang w:val="en-US"/>
        </w:rPr>
        <w:t xml:space="preserve"> - offer submitted.</w:t>
      </w:r>
    </w:p>
    <w:p>
      <w:pPr>
        <w:pStyle w:val="Default"/>
        <w:numPr>
          <w:ilvl w:val="0"/>
          <w:numId w:val="4"/>
        </w:numPr>
        <w:bidi w:val="0"/>
        <w:spacing w:line="360" w:lineRule="auto"/>
        <w:ind w:right="0"/>
        <w:jc w:val="left"/>
        <w:rPr>
          <w:rFonts w:ascii="Arial" w:hAnsi="Arial"/>
          <w:sz w:val="22"/>
          <w:szCs w:val="22"/>
          <w:rtl w:val="0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Kurita (USA)-</w:t>
      </w: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>Partial offer submitted.</w:t>
      </w:r>
    </w:p>
    <w:p>
      <w:pPr>
        <w:pStyle w:val="Default"/>
        <w:numPr>
          <w:ilvl w:val="0"/>
          <w:numId w:val="4"/>
        </w:numPr>
        <w:bidi w:val="0"/>
        <w:spacing w:line="360" w:lineRule="auto"/>
        <w:ind w:right="0"/>
        <w:jc w:val="left"/>
        <w:rPr>
          <w:rFonts w:ascii="Arial" w:hAnsi="Arial"/>
          <w:sz w:val="22"/>
          <w:szCs w:val="22"/>
          <w:rtl w:val="0"/>
          <w:lang w:val="en-US"/>
        </w:rPr>
      </w:pPr>
      <w:r>
        <w:rPr>
          <w:rFonts w:ascii="Arial" w:hAnsi="Arial"/>
          <w:sz w:val="22"/>
          <w:szCs w:val="22"/>
          <w:rtl w:val="0"/>
          <w:lang w:val="en-US"/>
        </w:rPr>
        <w:t>Landmark</w:t>
      </w:r>
      <w:r>
        <w:rPr>
          <w:rFonts w:ascii="Arial" w:hAnsi="Arial"/>
          <w:sz w:val="22"/>
          <w:szCs w:val="22"/>
          <w:rtl w:val="0"/>
          <w:lang w:val="en-US"/>
        </w:rPr>
        <w:t xml:space="preserve"> (India) -</w:t>
      </w:r>
      <w:r>
        <w:rPr>
          <w:rFonts w:ascii="Times New Roman" w:hAnsi="Times New Roman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>Partial offer submitted.</w:t>
      </w:r>
    </w:p>
    <w:p>
      <w:pPr>
        <w:pStyle w:val="Normal.0"/>
        <w:spacing w:line="276" w:lineRule="auto"/>
        <w:ind w:right="441"/>
        <w:rPr>
          <w:rFonts w:ascii="Arial" w:cs="Arial" w:hAnsi="Arial" w:eastAsia="Arial"/>
          <w:sz w:val="22"/>
          <w:szCs w:val="22"/>
        </w:rPr>
      </w:pPr>
    </w:p>
    <w:p>
      <w:pPr>
        <w:pStyle w:val="Normal.0"/>
        <w:spacing w:line="276" w:lineRule="auto"/>
        <w:ind w:right="441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>Technical offers were evaluated by our Engineering team, and all vendors were technically acceptable.</w:t>
      </w:r>
    </w:p>
    <w:p>
      <w:pPr>
        <w:pStyle w:val="Normal.0"/>
        <w:spacing w:line="276" w:lineRule="auto"/>
        <w:ind w:right="441"/>
        <w:rPr>
          <w:rFonts w:ascii="Arial" w:cs="Arial" w:hAnsi="Arial" w:eastAsia="Arial"/>
          <w:b w:val="1"/>
          <w:bCs w:val="1"/>
          <w:sz w:val="22"/>
          <w:szCs w:val="22"/>
          <w:u w:val="single"/>
          <w:lang w:val="en-US"/>
        </w:rPr>
      </w:pPr>
    </w:p>
    <w:p>
      <w:pPr>
        <w:pStyle w:val="Normal.0"/>
        <w:spacing w:line="276" w:lineRule="auto"/>
        <w:ind w:right="441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rmal.0"/>
        <w:spacing w:line="276" w:lineRule="auto"/>
        <w:ind w:right="441"/>
        <w:rPr>
          <w:rFonts w:ascii="Arial" w:cs="Arial" w:hAnsi="Arial" w:eastAsia="Arial"/>
          <w:sz w:val="22"/>
          <w:szCs w:val="22"/>
          <w:lang w:val="en-US"/>
        </w:rPr>
      </w:pPr>
      <w:r>
        <w:rPr>
          <w:rFonts w:ascii="Arial" w:hAnsi="Arial"/>
          <w:b w:val="1"/>
          <w:bCs w:val="1"/>
          <w:sz w:val="22"/>
          <w:szCs w:val="22"/>
          <w:u w:val="single"/>
          <w:rtl w:val="0"/>
          <w:lang w:val="en-US"/>
        </w:rPr>
        <w:t xml:space="preserve">Price Comparison of Technically acceptable vendors  </w:t>
      </w:r>
    </w:p>
    <w:p>
      <w:pPr>
        <w:pStyle w:val="Normal.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tbl>
      <w:tblPr>
        <w:tblW w:w="112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900"/>
        <w:gridCol w:w="3149"/>
        <w:gridCol w:w="2376"/>
        <w:gridCol w:w="2845"/>
      </w:tblGrid>
      <w:tr>
        <w:tblPrEx>
          <w:shd w:val="clear" w:color="auto" w:fill="ced7e7"/>
        </w:tblPrEx>
        <w:trPr>
          <w:trHeight w:val="587" w:hRule="atLeast"/>
        </w:trPr>
        <w:tc>
          <w:tcPr>
            <w:tcW w:type="dxa" w:w="29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Supplier</w:t>
            </w:r>
          </w:p>
        </w:tc>
        <w:tc>
          <w:tcPr>
            <w:tcW w:type="dxa" w:w="3149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 xml:space="preserve">WTE INFRA PROJECTS PVT LTD, PUNE (India) </w:t>
            </w:r>
          </w:p>
        </w:tc>
        <w:tc>
          <w:tcPr>
            <w:tcW w:type="dxa" w:w="2376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DOSHION (India)</w:t>
            </w:r>
          </w:p>
        </w:tc>
        <w:tc>
          <w:tcPr>
            <w:tcW w:type="dxa" w:w="28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ION EXCHANGE (India)</w:t>
            </w:r>
          </w:p>
        </w:tc>
      </w:tr>
      <w:tr>
        <w:tblPrEx>
          <w:shd w:val="clear" w:color="auto" w:fill="ced7e7"/>
        </w:tblPrEx>
        <w:trPr>
          <w:trHeight w:val="499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Offer Ref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 xml:space="preserve">            Mail Dt: 2 March 026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DEWS/AE/25-26/76/R1 Date: 7th March 2026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IEI/3271/12/USA/6138/SMA/R5 Date: 17.02.2026</w:t>
            </w:r>
          </w:p>
        </w:tc>
      </w:tr>
      <w:tr>
        <w:tblPrEx>
          <w:shd w:val="clear" w:color="auto" w:fill="ced7e7"/>
        </w:tblPrEx>
        <w:trPr>
          <w:trHeight w:val="1352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Supply of Softwater Plant for Pellet plant cooling system </w:t>
            </w:r>
            <w:r>
              <w:rPr>
                <w:rFonts w:ascii="Arial" w:hAnsi="Arial" w:hint="default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– </w:t>
            </w:r>
            <w:r>
              <w:rPr>
                <w:rFonts w:ascii="Arial" w:hAnsi="Arial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1 Unit. 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95,000.00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107,247.31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Normal.0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Normal.0"/>
              <w:jc w:val="center"/>
              <w:rPr>
                <w:b w:val="1"/>
                <w:bCs w:val="1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236,000.00</w:t>
            </w:r>
          </w:p>
        </w:tc>
      </w:tr>
      <w:tr>
        <w:tblPrEx>
          <w:shd w:val="clear" w:color="auto" w:fill="ced7e7"/>
        </w:tblPrEx>
        <w:trPr>
          <w:trHeight w:val="281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Negotiated Price ($)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85,500.00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107,247.31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214,500.00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Freight Cost ($) (Estimated)**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12,000.00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12,000.00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12,000.00</w:t>
            </w:r>
          </w:p>
        </w:tc>
      </w:tr>
      <w:tr>
        <w:tblPrEx>
          <w:shd w:val="clear" w:color="auto" w:fill="ced7e7"/>
        </w:tblPrEx>
        <w:trPr>
          <w:trHeight w:val="470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Import Duty &amp; Tariff Value ($) (Estimated)**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15,390.00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19,304.52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38,610.00</w:t>
            </w:r>
          </w:p>
        </w:tc>
      </w:tr>
      <w:tr>
        <w:tblPrEx>
          <w:shd w:val="clear" w:color="auto" w:fill="ced7e7"/>
        </w:tblPrEx>
        <w:trPr>
          <w:trHeight w:val="380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Total (Landed Cost) ($)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112,390.00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138,551.83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265,110.00</w:t>
            </w:r>
          </w:p>
        </w:tc>
      </w:tr>
      <w:tr>
        <w:tblPrEx>
          <w:shd w:val="clear" w:color="auto" w:fill="ced7e7"/>
        </w:tblPrEx>
        <w:trPr>
          <w:trHeight w:val="887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Delivery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 xml:space="preserve">  10 weeks from Date of PO.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16-18 weeks from the date of receipt of manufacturing clearance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Delivery will be 7 months on FOB Mumbai/JNPT basis from the date of commercially clear PO with advance.</w:t>
            </w:r>
          </w:p>
        </w:tc>
      </w:tr>
      <w:tr>
        <w:tblPrEx>
          <w:shd w:val="clear" w:color="auto" w:fill="ced7e7"/>
        </w:tblPrEx>
        <w:trPr>
          <w:trHeight w:val="227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hd w:val="nil" w:color="auto" w:fill="auto"/>
                <w:rtl w:val="0"/>
                <w:lang w:val="en-US"/>
              </w:rPr>
              <w:t>Technical Evaluation</w:t>
            </w:r>
          </w:p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Technically Acceptable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Technically Acceptable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4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Technically Acceptable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2900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49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L1</w:t>
            </w:r>
          </w:p>
        </w:tc>
        <w:tc>
          <w:tcPr>
            <w:tcW w:type="dxa" w:w="2376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L2</w:t>
            </w:r>
          </w:p>
        </w:tc>
        <w:tc>
          <w:tcPr>
            <w:tcW w:type="dxa" w:w="2845"/>
            <w:tcBorders>
              <w:top w:val="single" w:color="000000" w:sz="4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L3</w:t>
            </w:r>
          </w:p>
        </w:tc>
      </w:tr>
    </w:tbl>
    <w:p>
      <w:pPr>
        <w:pStyle w:val="Normal.0"/>
        <w:widowControl w:val="0"/>
        <w:jc w:val="center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p>
      <w:pPr>
        <w:pStyle w:val="Normal.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p>
      <w:pPr>
        <w:pStyle w:val="Normal.0"/>
        <w:numPr>
          <w:ilvl w:val="0"/>
          <w:numId w:val="5"/>
        </w:numPr>
        <w:bidi w:val="0"/>
        <w:ind w:right="0"/>
        <w:jc w:val="both"/>
        <w:rPr>
          <w:rFonts w:ascii="Arial" w:hAnsi="Arial"/>
          <w:b w:val="1"/>
          <w:bCs w:val="1"/>
          <w:sz w:val="22"/>
          <w:szCs w:val="22"/>
          <w:rtl w:val="0"/>
          <w:lang w:val="en-US"/>
        </w:rPr>
      </w:pP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RECOMMENDATION:</w:t>
      </w:r>
    </w:p>
    <w:p>
      <w:pPr>
        <w:pStyle w:val="Normal.0"/>
        <w:ind w:left="630" w:firstLine="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p>
      <w:pPr>
        <w:pStyle w:val="Default"/>
        <w:spacing w:line="276" w:lineRule="auto"/>
        <w:ind w:left="720" w:firstLine="0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It is recommended to place purchase order on </w:t>
      </w:r>
      <w:r>
        <w:rPr>
          <w:rFonts w:ascii="Arial" w:hAnsi="Arial"/>
          <w:sz w:val="22"/>
          <w:szCs w:val="22"/>
          <w:rtl w:val="0"/>
          <w:lang w:val="en-US"/>
        </w:rPr>
        <w:t>WTE INFRA PROJECTS PVT LTD., PUNE (India).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>L-1</w:t>
      </w: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, </w:t>
      </w:r>
      <w:r>
        <w:rPr>
          <w:rFonts w:ascii="Arial" w:hAnsi="Arial"/>
          <w:sz w:val="22"/>
          <w:szCs w:val="22"/>
          <w:rtl w:val="0"/>
          <w:lang w:val="en-US"/>
        </w:rPr>
        <w:t>with brief terms &amp; conditions negotiated are as listed below:</w:t>
      </w:r>
    </w:p>
    <w:p>
      <w:pPr>
        <w:pStyle w:val="Normal.0"/>
        <w:jc w:val="both"/>
        <w:rPr>
          <w:rFonts w:ascii="Arial" w:cs="Arial" w:hAnsi="Arial" w:eastAsia="Arial"/>
          <w:sz w:val="22"/>
          <w:szCs w:val="22"/>
          <w:lang w:val="en-US"/>
        </w:rPr>
      </w:pPr>
    </w:p>
    <w:tbl>
      <w:tblPr>
        <w:tblW w:w="1009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02"/>
        <w:gridCol w:w="7296"/>
      </w:tblGrid>
      <w:tr>
        <w:tblPrEx>
          <w:shd w:val="clear" w:color="auto" w:fill="ced7e7"/>
        </w:tblPrEx>
        <w:trPr>
          <w:trHeight w:val="758" w:hRule="atLeast"/>
        </w:trPr>
        <w:tc>
          <w:tcPr>
            <w:tcW w:type="dxa" w:w="2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Final Value </w:t>
            </w:r>
          </w:p>
        </w:tc>
        <w:tc>
          <w:tcPr>
            <w:tcW w:type="dxa" w:w="7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spacing w:line="276" w:lineRule="auto"/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USD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85,500.00 FOB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JNPT, Mumbai MH, India,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Basis</w:t>
            </w: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.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as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per final technical scope agreed during technical evaluation. 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Insurance cost to the account of MMCL.</w:t>
            </w:r>
          </w:p>
        </w:tc>
      </w:tr>
      <w:tr>
        <w:tblPrEx>
          <w:shd w:val="clear" w:color="auto" w:fill="ced7e7"/>
        </w:tblPrEx>
        <w:trPr>
          <w:trHeight w:val="2223" w:hRule="atLeast"/>
        </w:trPr>
        <w:tc>
          <w:tcPr>
            <w:tcW w:type="dxa" w:w="2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Payment Terms</w:t>
            </w:r>
          </w:p>
        </w:tc>
        <w:tc>
          <w:tcPr>
            <w:tcW w:type="dxa" w:w="7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numPr>
                <w:ilvl w:val="0"/>
                <w:numId w:val="6"/>
              </w:numPr>
              <w:spacing w:line="276" w:lineRule="auto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20% advance along with Order against submission of Bank Guarantee.</w:t>
            </w:r>
          </w:p>
          <w:p>
            <w:pPr>
              <w:pStyle w:val="Normal.0"/>
              <w:numPr>
                <w:ilvl w:val="0"/>
                <w:numId w:val="6"/>
              </w:numPr>
              <w:bidi w:val="0"/>
              <w:spacing w:line="276" w:lineRule="auto"/>
              <w:ind w:right="0"/>
              <w:jc w:val="both"/>
              <w:rPr>
                <w:rFonts w:ascii="Arial" w:hAnsi="Arial"/>
                <w:sz w:val="22"/>
                <w:szCs w:val="22"/>
                <w:rtl w:val="0"/>
                <w:lang w:val="en-US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20% against drawing approval.</w:t>
            </w:r>
          </w:p>
          <w:p>
            <w:pPr>
              <w:pStyle w:val="Normal.0"/>
              <w:numPr>
                <w:ilvl w:val="0"/>
                <w:numId w:val="6"/>
              </w:numPr>
              <w:bidi w:val="0"/>
              <w:spacing w:line="276" w:lineRule="auto"/>
              <w:ind w:right="0"/>
              <w:jc w:val="both"/>
              <w:rPr>
                <w:rFonts w:ascii="Arial" w:hAnsi="Arial"/>
                <w:sz w:val="22"/>
                <w:szCs w:val="22"/>
                <w:rtl w:val="0"/>
                <w:lang w:val="en-US"/>
              </w:rPr>
            </w:pPr>
            <w:r>
              <w:rPr>
                <w:rFonts w:ascii="Aptos" w:cs="Aptos" w:hAnsi="Aptos" w:eastAsia="Aptos"/>
                <w:sz w:val="22"/>
                <w:szCs w:val="22"/>
                <w:shd w:val="nil" w:color="auto" w:fill="auto"/>
                <w:rtl w:val="0"/>
                <w:lang w:val="en-US"/>
              </w:rPr>
              <w:t>55% payment will be made upon material readiness, after successful inspection and prior to dispatch.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</w:t>
            </w:r>
          </w:p>
          <w:p>
            <w:pPr>
              <w:pStyle w:val="Normal.0"/>
              <w:numPr>
                <w:ilvl w:val="0"/>
                <w:numId w:val="6"/>
              </w:numPr>
              <w:bidi w:val="0"/>
              <w:spacing w:line="276" w:lineRule="auto"/>
              <w:ind w:right="0"/>
              <w:jc w:val="both"/>
              <w:rPr>
                <w:rFonts w:ascii="Arial" w:hAnsi="Arial"/>
                <w:sz w:val="22"/>
                <w:szCs w:val="22"/>
                <w:rtl w:val="0"/>
                <w:lang w:val="en-US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5% Performance Bank Guarantee (PBG) valid for the entire warranty period (18 months from installation or 24 months from dispatch, whichever is earlier).</w:t>
            </w:r>
          </w:p>
        </w:tc>
      </w:tr>
      <w:tr>
        <w:tblPrEx>
          <w:shd w:val="clear" w:color="auto" w:fill="ced7e7"/>
        </w:tblPrEx>
        <w:trPr>
          <w:trHeight w:val="793" w:hRule="atLeast"/>
        </w:trPr>
        <w:tc>
          <w:tcPr>
            <w:tcW w:type="dxa" w:w="2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Delivery Schedule</w:t>
            </w:r>
          </w:p>
        </w:tc>
        <w:tc>
          <w:tcPr>
            <w:tcW w:type="dxa" w:w="7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10 weeks from the date of Purchase Order.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GA Drawing Submission </w:t>
            </w: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Within 1 week from the date of PO release</w:t>
            </w:r>
            <w:r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n-US"/>
                <w14:textFill>
                  <w14:solidFill>
                    <w14:srgbClr w14:val="000000"/>
                  </w14:solidFill>
                </w14:textFill>
              </w:rPr>
              <w:t>Warranty Period</w:t>
            </w:r>
          </w:p>
        </w:tc>
        <w:tc>
          <w:tcPr>
            <w:tcW w:type="dxa" w:w="7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18 months from the date of acceptance after inspection of the equipment or 24 months from the date of commissioning whichever is earlier.</w:t>
            </w:r>
          </w:p>
        </w:tc>
      </w:tr>
      <w:tr>
        <w:tblPrEx>
          <w:shd w:val="clear" w:color="auto" w:fill="ced7e7"/>
        </w:tblPrEx>
        <w:trPr>
          <w:trHeight w:val="406" w:hRule="atLeast"/>
        </w:trPr>
        <w:tc>
          <w:tcPr>
            <w:tcW w:type="dxa" w:w="2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Other Terms &amp; Conditions</w:t>
            </w:r>
          </w:p>
        </w:tc>
        <w:tc>
          <w:tcPr>
            <w:tcW w:type="dxa" w:w="7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As per STC &amp; GTC.</w:t>
            </w:r>
          </w:p>
        </w:tc>
      </w:tr>
      <w:tr>
        <w:tblPrEx>
          <w:shd w:val="clear" w:color="auto" w:fill="ced7e7"/>
        </w:tblPrEx>
        <w:trPr>
          <w:trHeight w:val="400" w:hRule="atLeast"/>
        </w:trPr>
        <w:tc>
          <w:tcPr>
            <w:tcW w:type="dxa" w:w="28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ABG &amp; PBG </w:t>
            </w:r>
          </w:p>
        </w:tc>
        <w:tc>
          <w:tcPr>
            <w:tcW w:type="dxa" w:w="72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ABG: 20% and PBG: 5% of the total PO value.</w:t>
            </w:r>
          </w:p>
        </w:tc>
      </w:tr>
    </w:tbl>
    <w:p>
      <w:pPr>
        <w:pStyle w:val="Normal.0"/>
        <w:widowControl w:val="0"/>
        <w:jc w:val="both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Default"/>
        <w:spacing w:line="276" w:lineRule="auto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 xml:space="preserve">In view of above, it is recommended to place order for the Softwater Plant for Pellet plant cooling system </w:t>
      </w:r>
      <w:r>
        <w:rPr>
          <w:rFonts w:ascii="Arial" w:hAnsi="Arial" w:hint="default"/>
          <w:sz w:val="22"/>
          <w:szCs w:val="22"/>
          <w:rtl w:val="0"/>
          <w:lang w:val="en-US"/>
        </w:rPr>
        <w:t xml:space="preserve">– </w:t>
      </w:r>
      <w:r>
        <w:rPr>
          <w:rFonts w:ascii="Arial" w:hAnsi="Arial"/>
          <w:sz w:val="22"/>
          <w:szCs w:val="22"/>
          <w:rtl w:val="0"/>
          <w:lang w:val="en-US"/>
        </w:rPr>
        <w:t>1 Unit. with M/s.</w:t>
      </w: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>WTE INFRA PROJECTS PVT LTD., PUNE (India)</w:t>
      </w: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.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sz w:val="22"/>
          <w:szCs w:val="22"/>
          <w:rtl w:val="0"/>
          <w:lang w:val="en-US"/>
        </w:rPr>
        <w:t xml:space="preserve"> </w:t>
      </w: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 xml:space="preserve">for Value USD </w:t>
      </w:r>
      <w:r>
        <w:rPr>
          <w:rFonts w:ascii="Arial" w:hAnsi="Arial"/>
          <w:sz w:val="22"/>
          <w:szCs w:val="22"/>
          <w:rtl w:val="0"/>
          <w:lang w:val="en-US"/>
        </w:rPr>
        <w:t xml:space="preserve">85,500.00 </w:t>
      </w:r>
      <w:r>
        <w:rPr>
          <w:rFonts w:ascii="Arial" w:hAnsi="Arial"/>
          <w:sz w:val="22"/>
          <w:szCs w:val="22"/>
          <w:rtl w:val="0"/>
          <w:lang w:val="en-US"/>
        </w:rPr>
        <w:t>FOB JNPT, Mumbai MH, India,</w:t>
      </w:r>
      <w:r>
        <w:rPr>
          <w:rFonts w:ascii="Arial" w:hAnsi="Arial"/>
          <w:sz w:val="22"/>
          <w:szCs w:val="22"/>
          <w:rtl w:val="0"/>
          <w:lang w:val="en-US"/>
        </w:rPr>
        <w:t xml:space="preserve"> Basis</w:t>
      </w:r>
      <w:r>
        <w:rPr>
          <w:rFonts w:ascii="Arial" w:hAnsi="Arial"/>
          <w:b w:val="1"/>
          <w:bCs w:val="1"/>
          <w:sz w:val="22"/>
          <w:szCs w:val="22"/>
          <w:rtl w:val="0"/>
          <w:lang w:val="en-US"/>
        </w:rPr>
        <w:t>.</w:t>
      </w:r>
    </w:p>
    <w:p>
      <w:pPr>
        <w:pStyle w:val="List Paragraph"/>
        <w:ind w:left="0" w:firstLine="0"/>
        <w:jc w:val="both"/>
        <w:rPr>
          <w:rFonts w:ascii="Arial" w:cs="Arial" w:hAnsi="Arial" w:eastAsia="Arial"/>
          <w:b w:val="1"/>
          <w:bCs w:val="1"/>
          <w:sz w:val="22"/>
          <w:szCs w:val="22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2"/>
          <w:szCs w:val="22"/>
          <w:lang w:val="en-US"/>
        </w:rPr>
      </w:pPr>
    </w:p>
    <w:tbl>
      <w:tblPr>
        <w:tblW w:w="100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76"/>
        <w:gridCol w:w="3237"/>
        <w:gridCol w:w="3558"/>
      </w:tblGrid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3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Prepared &amp; Initiated By</w:t>
            </w:r>
          </w:p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b w:val="0"/>
                <w:bCs w:val="0"/>
                <w:sz w:val="22"/>
                <w:szCs w:val="22"/>
                <w:shd w:val="nil" w:color="auto" w:fill="auto"/>
                <w:rtl w:val="0"/>
                <w:lang w:val="en-US"/>
              </w:rPr>
              <w:t>NITIN SHETTY / SATYEN SINHA</w:t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7" w:hRule="atLeast"/>
        </w:trPr>
        <w:tc>
          <w:tcPr>
            <w:tcW w:type="dxa" w:w="3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Cost Control</w:t>
            </w:r>
          </w:p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MAHESH KOMMURU / MANINDRA AGRAWAL</w:t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2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Finance &amp; Accounts</w:t>
            </w:r>
          </w:p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SUNIL AGRAWAL / LALIT RUSTAGI</w:t>
            </w:r>
            <w:r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27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Recommendation &amp; Approval                     Committee</w:t>
            </w:r>
            <w:r>
              <w:rPr>
                <w:rFonts w:ascii="Arial" w:cs="Arial" w:hAnsi="Arial" w:eastAsia="Arial"/>
                <w:b w:val="1"/>
                <w:bCs w:val="1"/>
                <w:shd w:val="nil" w:color="auto" w:fill="auto"/>
              </w:rPr>
            </w:r>
          </w:p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SUBBARAO NAMALA</w:t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3" w:hRule="atLeast"/>
        </w:trPr>
        <w:tc>
          <w:tcPr>
            <w:tcW w:type="dxa" w:w="327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MOHAMMAD RIZWAN</w:t>
            </w:r>
            <w:r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327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n-US"/>
              </w:rPr>
              <w:t>Approved By</w:t>
            </w:r>
          </w:p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>
            <w:pPr>
              <w:pStyle w:val="Normal.0"/>
              <w:ind w:right="397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RAKESH KANKANALA</w:t>
            </w:r>
            <w:r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77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327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32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>AMIT SWARNKAR</w:t>
            </w:r>
            <w:r>
              <w:rPr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35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List Paragraph"/>
        <w:widowControl w:val="0"/>
        <w:ind w:left="0" w:firstLine="0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List Paragraph"/>
        <w:ind w:left="0" w:firstLine="0"/>
        <w:rPr>
          <w:rFonts w:ascii="Arial" w:cs="Arial" w:hAnsi="Arial" w:eastAsia="Arial"/>
          <w:sz w:val="22"/>
          <w:szCs w:val="22"/>
          <w:lang w:val="en-US"/>
        </w:rPr>
      </w:pPr>
    </w:p>
    <w:p>
      <w:pPr>
        <w:pStyle w:val="Normal.0"/>
        <w:jc w:val="both"/>
        <w:rPr>
          <w:rFonts w:ascii="Arial" w:cs="Arial" w:hAnsi="Arial" w:eastAsia="Arial"/>
          <w:sz w:val="22"/>
          <w:szCs w:val="22"/>
        </w:rPr>
      </w:pPr>
      <w:r>
        <w:rPr>
          <w:rFonts w:ascii="Arial" w:hAnsi="Arial"/>
          <w:sz w:val="22"/>
          <w:szCs w:val="22"/>
          <w:rtl w:val="0"/>
          <w:lang w:val="en-US"/>
        </w:rPr>
        <w:t>Enclosed:</w:t>
      </w:r>
    </w:p>
    <w:p>
      <w:pPr>
        <w:pStyle w:val="Normal.0"/>
        <w:jc w:val="both"/>
        <w:rPr>
          <w:rFonts w:ascii="Arial" w:cs="Arial" w:hAnsi="Arial" w:eastAsia="Arial"/>
          <w:sz w:val="22"/>
          <w:szCs w:val="22"/>
        </w:rPr>
      </w:pPr>
    </w:p>
    <w:p>
      <w:pPr>
        <w:pStyle w:val="Normal.0"/>
        <w:numPr>
          <w:ilvl w:val="0"/>
          <w:numId w:val="8"/>
        </w:numPr>
        <w:bidi w:val="0"/>
        <w:ind w:right="0"/>
        <w:jc w:val="both"/>
        <w:rPr>
          <w:rFonts w:ascii="Arial" w:hAnsi="Arial"/>
          <w:sz w:val="22"/>
          <w:szCs w:val="22"/>
          <w:rtl w:val="0"/>
          <w:lang w:val="en-US"/>
        </w:rPr>
      </w:pPr>
      <w:r>
        <w:rPr>
          <w:rStyle w:val="Page Number"/>
          <w:rFonts w:ascii="Arial" w:hAnsi="Arial"/>
          <w:sz w:val="22"/>
          <w:szCs w:val="22"/>
          <w:rtl w:val="0"/>
          <w:lang w:val="en-US"/>
        </w:rPr>
        <w:t>Latest offer from vendor.</w:t>
      </w:r>
    </w:p>
    <w:p>
      <w:pPr>
        <w:pStyle w:val="List Paragraph"/>
        <w:ind w:left="0" w:firstLine="0"/>
      </w:pPr>
      <w:r>
        <w:rPr>
          <w:rFonts w:ascii="Arial" w:hAnsi="Arial"/>
          <w:rtl w:val="0"/>
          <w:lang w:val="en-US"/>
        </w:rPr>
        <w:t xml:space="preserve"> </w:t>
      </w:r>
    </w:p>
    <w:sectPr>
      <w:headerReference w:type="default" r:id="rId4"/>
      <w:footerReference w:type="default" r:id="rId5"/>
      <w:pgSz w:w="11900" w:h="16840" w:orient="portrait"/>
      <w:pgMar w:top="990" w:right="749" w:bottom="72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>
      <w:rPr>
        <w:rStyle w:val="Page Number"/>
        <w:rtl w:val="0"/>
        <w:lang w:val="en-US"/>
      </w:rPr>
      <w:t xml:space="preserve"> of </w:t>
    </w:r>
    <w:r>
      <w:rPr>
        <w:rtl w:val="0"/>
      </w:rPr>
      <w:fldChar w:fldCharType="begin" w:fldLock="0"/>
    </w:r>
    <w:r>
      <w:rPr>
        <w:rtl w:val="0"/>
      </w:rPr>
      <w:instrText xml:space="preserve"> NUMPAGES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b w:val="1"/>
        <w:bCs w:val="1"/>
        <w:u w:val="single"/>
        <w:rtl w:val="0"/>
        <w:lang w:val="en-US"/>
      </w:rPr>
      <w:t>NOTE FOR APPROVAL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upperLetter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180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396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4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120" w:hanging="3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0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">
    <w:multiLevelType w:val="hybridMultilevel"/>
    <w:numStyleLink w:val="Imported Style 4"/>
  </w:abstractNum>
  <w:abstractNum w:abstractNumId="6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2"/>
      <w:lvl w:ilvl="0">
        <w:start w:val="2"/>
        <w:numFmt w:val="upperLetter"/>
        <w:suff w:val="tab"/>
        <w:lvlText w:val="%1."/>
        <w:lvlJc w:val="left"/>
        <w:pPr>
          <w:ind w:left="63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135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07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79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351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423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95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5670" w:hanging="36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6390" w:hanging="302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character" w:styleId="Page Number">
    <w:name w:val="Page Number"/>
    <w:rPr>
      <w:lang w:val="en-US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4">
    <w:name w:val="Imported Style 4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