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F5257"/>
          <w:sz w:val="30"/>
          <w:szCs w:val="30"/>
        </w:rPr>
        <w:t xml:space="preserve">CLAUDE CERTIFIED ARCHITECT</w:t>
      </w:r>
    </w:p>
    <w:p>
      <w:pPr>
        <w:spacing w:after="0" w:before="60"/>
        <w:jc w:val="center"/>
      </w:pPr>
      <w:r>
        <w:rPr>
          <w:rFonts w:ascii="Calibri" w:cs="Calibri" w:eastAsia="Calibri" w:hAnsi="Calibri"/>
          <w:b/>
          <w:bCs/>
          <w:color w:val="6B2D5C"/>
          <w:sz w:val="56"/>
          <w:szCs w:val="56"/>
        </w:rPr>
        <w:t xml:space="preserve">PROFESSIONAL</w:t>
      </w:r>
    </w:p>
    <w:p>
      <w:pPr>
        <w:spacing w:after="0" w:before="40"/>
        <w:jc w:val="center"/>
      </w:pPr>
      <w:r>
        <w:rPr>
          <w:rFonts w:ascii="Calibri" w:cs="Calibri" w:eastAsia="Calibri" w:hAnsi="Calibri"/>
          <w:color w:val="5A5A6E"/>
          <w:sz w:val="24"/>
          <w:szCs w:val="24"/>
        </w:rPr>
        <w:t xml:space="preserve">Exam Code CCAR-P</w:t>
      </w:r>
    </w:p>
    <w:p>
      <w:pPr>
        <w:pBdr>
          <w:top w:val="single" w:color="6B2D5C" w:sz="8"/>
          <w:bottom w:val="single" w:color="6B2D5C" w:sz="8"/>
        </w:pBdr>
        <w:spacing w:after="0" w:before="360"/>
        <w:jc w:val="center"/>
      </w:pPr>
      <w:r>
        <w:rPr>
          <w:rFonts w:ascii="Calibri" w:cs="Calibri" w:eastAsia="Calibri" w:hAnsi="Calibri"/>
          <w:b/>
          <w:bCs/>
          <w:color w:val="1A1A2E"/>
          <w:sz w:val="26"/>
          <w:szCs w:val="26"/>
        </w:rPr>
        <w:t xml:space="preserve">  A Complete End-to-End Preparation Guide  </w:t>
      </w:r>
    </w:p>
    <w:p>
      <w:pPr>
        <w:spacing w:after="0" w:before="280"/>
        <w:jc w:val="center"/>
      </w:pPr>
      <w:r>
        <w:rPr>
          <w:rFonts w:ascii="Calibri" w:cs="Calibri" w:eastAsia="Calibri" w:hAnsi="Calibri"/>
          <w:i/>
          <w:iCs/>
          <w:color w:val="5A5A6E"/>
          <w:sz w:val="20"/>
          <w:szCs w:val="20"/>
        </w:rPr>
        <w:t xml:space="preserve">Built from Anthropic's Official Exam Guide v1.0 (July 2026)</w:t>
      </w:r>
    </w:p>
    <w:p>
      <w:pPr>
        <w:spacing w:after="0" w:before="1100"/>
        <w:jc w:val="center"/>
      </w:pPr>
      <w:r>
        <w:rPr>
          <w:rFonts w:ascii="Calibri" w:cs="Calibri" w:eastAsia="Calibri" w:hAnsi="Calibri"/>
          <w:color w:val="0F5257"/>
          <w:sz w:val="20"/>
          <w:szCs w:val="20"/>
        </w:rPr>
        <w:t xml:space="preserve">63 items  ·  120 minutes  ·  720 / 1000 to pass  ·  7 domains</w:t>
      </w:r>
    </w:p>
    <w:p>
      <w:r>
        <w:br w:type="page"/>
      </w:r>
    </w:p>
    <w:p>
      <w:pPr>
        <w:pStyle w:val="Heading1"/>
        <w:spacing w:after="140" w:before="340"/>
      </w:pPr>
      <w:r>
        <w:rPr>
          <w:rFonts w:ascii="Calibri" w:cs="Calibri" w:eastAsia="Calibri" w:hAnsi="Calibri"/>
          <w:b/>
          <w:bCs/>
          <w:color w:val="6B2D5C"/>
          <w:sz w:val="32"/>
          <w:szCs w:val="32"/>
        </w:rPr>
        <w:t xml:space="preserve">Contents</w:t>
      </w:r>
    </w:p>
    <w:p>
      <w:pPr>
        <w:spacing w:after="80" w:before="40"/>
        <w:ind w:left="0"/>
      </w:pPr>
      <w:r>
        <w:rPr>
          <w:rFonts w:ascii="Calibri" w:cs="Calibri" w:eastAsia="Calibri" w:hAnsi="Calibri"/>
          <w:b/>
          <w:bCs/>
          <w:color w:val="6B2D5C"/>
          <w:sz w:val="22"/>
          <w:szCs w:val="22"/>
        </w:rPr>
        <w:t xml:space="preserve">How to Use This Guide</w:t>
      </w:r>
    </w:p>
    <w:p>
      <w:pPr>
        <w:spacing w:after="80" w:before="40"/>
        <w:ind w:left="0"/>
      </w:pPr>
      <w:r>
        <w:rPr>
          <w:rFonts w:ascii="Calibri" w:cs="Calibri" w:eastAsia="Calibri" w:hAnsi="Calibri"/>
          <w:b/>
          <w:bCs/>
          <w:color w:val="6B2D5C"/>
          <w:sz w:val="22"/>
          <w:szCs w:val="22"/>
        </w:rPr>
        <w:t xml:space="preserve">Part 1 · The Exam at a Glance</w:t>
      </w:r>
    </w:p>
    <w:p>
      <w:pPr>
        <w:spacing w:after="40" w:before="0"/>
        <w:ind w:left="360"/>
      </w:pPr>
      <w:r>
        <w:rPr>
          <w:rFonts w:ascii="Calibri" w:cs="Calibri" w:eastAsia="Calibri" w:hAnsi="Calibri"/>
          <w:b w:val="false"/>
          <w:bCs w:val="false"/>
          <w:color w:val="1A1A2E"/>
          <w:sz w:val="20"/>
          <w:szCs w:val="20"/>
        </w:rPr>
        <w:t xml:space="preserve">Format and scoring · Domain weights · Who it's for</w:t>
      </w:r>
    </w:p>
    <w:p>
      <w:pPr>
        <w:spacing w:after="80" w:before="40"/>
        <w:ind w:left="0"/>
      </w:pPr>
      <w:r>
        <w:rPr>
          <w:rFonts w:ascii="Calibri" w:cs="Calibri" w:eastAsia="Calibri" w:hAnsi="Calibri"/>
          <w:b/>
          <w:bCs/>
          <w:color w:val="6B2D5C"/>
          <w:sz w:val="22"/>
          <w:szCs w:val="22"/>
        </w:rPr>
        <w:t xml:space="preserve">Part 2 · A Running Case Study</w:t>
      </w:r>
    </w:p>
    <w:p>
      <w:pPr>
        <w:spacing w:after="40" w:before="0"/>
        <w:ind w:left="360"/>
      </w:pPr>
      <w:r>
        <w:rPr>
          <w:rFonts w:ascii="Calibri" w:cs="Calibri" w:eastAsia="Calibri" w:hAnsi="Calibri"/>
          <w:b w:val="false"/>
          <w:bCs w:val="false"/>
          <w:color w:val="1A1A2E"/>
          <w:sz w:val="20"/>
          <w:szCs w:val="20"/>
        </w:rPr>
        <w:t xml:space="preserve">Meridian Bank — AI Loan Origination Assistant</w:t>
      </w:r>
    </w:p>
    <w:p>
      <w:pPr>
        <w:spacing w:after="80" w:before="40"/>
        <w:ind w:left="0"/>
      </w:pPr>
      <w:r>
        <w:rPr>
          <w:rFonts w:ascii="Calibri" w:cs="Calibri" w:eastAsia="Calibri" w:hAnsi="Calibri"/>
          <w:b/>
          <w:bCs/>
          <w:color w:val="6B2D5C"/>
          <w:sz w:val="22"/>
          <w:szCs w:val="22"/>
        </w:rPr>
        <w:t xml:space="preserve">Part 3 · The Seven Domains</w:t>
      </w:r>
    </w:p>
    <w:p>
      <w:pPr>
        <w:spacing w:after="40" w:before="0"/>
        <w:ind w:left="360"/>
      </w:pPr>
      <w:r>
        <w:rPr>
          <w:rFonts w:ascii="Calibri" w:cs="Calibri" w:eastAsia="Calibri" w:hAnsi="Calibri"/>
          <w:b w:val="false"/>
          <w:bCs w:val="false"/>
          <w:color w:val="1A1A2E"/>
          <w:sz w:val="20"/>
          <w:szCs w:val="20"/>
        </w:rPr>
        <w:t xml:space="preserve">D1 Solution Design &amp; Architecture (17%)</w:t>
      </w:r>
    </w:p>
    <w:p>
      <w:pPr>
        <w:spacing w:after="40" w:before="0"/>
        <w:ind w:left="360"/>
      </w:pPr>
      <w:r>
        <w:rPr>
          <w:rFonts w:ascii="Calibri" w:cs="Calibri" w:eastAsia="Calibri" w:hAnsi="Calibri"/>
          <w:b w:val="false"/>
          <w:bCs w:val="false"/>
          <w:color w:val="1A1A2E"/>
          <w:sz w:val="20"/>
          <w:szCs w:val="20"/>
        </w:rPr>
        <w:t xml:space="preserve">D2 Claude Models, Prompting &amp; Context Engineering (13%)</w:t>
      </w:r>
    </w:p>
    <w:p>
      <w:pPr>
        <w:spacing w:after="40" w:before="0"/>
        <w:ind w:left="360"/>
      </w:pPr>
      <w:r>
        <w:rPr>
          <w:rFonts w:ascii="Calibri" w:cs="Calibri" w:eastAsia="Calibri" w:hAnsi="Calibri"/>
          <w:b w:val="false"/>
          <w:bCs w:val="false"/>
          <w:color w:val="1A1A2E"/>
          <w:sz w:val="20"/>
          <w:szCs w:val="20"/>
        </w:rPr>
        <w:t xml:space="preserve">D3 Integration (19%)</w:t>
      </w:r>
    </w:p>
    <w:p>
      <w:pPr>
        <w:spacing w:after="40" w:before="0"/>
        <w:ind w:left="360"/>
      </w:pPr>
      <w:r>
        <w:rPr>
          <w:rFonts w:ascii="Calibri" w:cs="Calibri" w:eastAsia="Calibri" w:hAnsi="Calibri"/>
          <w:b w:val="false"/>
          <w:bCs w:val="false"/>
          <w:color w:val="1A1A2E"/>
          <w:sz w:val="20"/>
          <w:szCs w:val="20"/>
        </w:rPr>
        <w:t xml:space="preserve">D4 Evaluation, Testing &amp; Optimization (16%)</w:t>
      </w:r>
    </w:p>
    <w:p>
      <w:pPr>
        <w:spacing w:after="40" w:before="0"/>
        <w:ind w:left="360"/>
      </w:pPr>
      <w:r>
        <w:rPr>
          <w:rFonts w:ascii="Calibri" w:cs="Calibri" w:eastAsia="Calibri" w:hAnsi="Calibri"/>
          <w:b w:val="false"/>
          <w:bCs w:val="false"/>
          <w:color w:val="1A1A2E"/>
          <w:sz w:val="20"/>
          <w:szCs w:val="20"/>
        </w:rPr>
        <w:t xml:space="preserve">D5 Governance, Safety &amp; Risk Management (14%)</w:t>
      </w:r>
    </w:p>
    <w:p>
      <w:pPr>
        <w:spacing w:after="40" w:before="0"/>
        <w:ind w:left="360"/>
      </w:pPr>
      <w:r>
        <w:rPr>
          <w:rFonts w:ascii="Calibri" w:cs="Calibri" w:eastAsia="Calibri" w:hAnsi="Calibri"/>
          <w:b w:val="false"/>
          <w:bCs w:val="false"/>
          <w:color w:val="1A1A2E"/>
          <w:sz w:val="20"/>
          <w:szCs w:val="20"/>
        </w:rPr>
        <w:t xml:space="preserve">D6 Stakeholder Communication &amp; Lifecycle Management (14%)</w:t>
      </w:r>
    </w:p>
    <w:p>
      <w:pPr>
        <w:spacing w:after="40" w:before="0"/>
        <w:ind w:left="360"/>
      </w:pPr>
      <w:r>
        <w:rPr>
          <w:rFonts w:ascii="Calibri" w:cs="Calibri" w:eastAsia="Calibri" w:hAnsi="Calibri"/>
          <w:b w:val="false"/>
          <w:bCs w:val="false"/>
          <w:color w:val="1A1A2E"/>
          <w:sz w:val="20"/>
          <w:szCs w:val="20"/>
        </w:rPr>
        <w:t xml:space="preserve">D7 Developer Productivity &amp; Operational Enablement (7%)</w:t>
      </w:r>
    </w:p>
    <w:p>
      <w:pPr>
        <w:spacing w:after="80" w:before="40"/>
        <w:ind w:left="0"/>
      </w:pPr>
      <w:r>
        <w:rPr>
          <w:rFonts w:ascii="Calibri" w:cs="Calibri" w:eastAsia="Calibri" w:hAnsi="Calibri"/>
          <w:b/>
          <w:bCs/>
          <w:color w:val="6B2D5C"/>
          <w:sz w:val="22"/>
          <w:szCs w:val="22"/>
        </w:rPr>
        <w:t xml:space="preserve">Part 4 · Cross-Cutting Themes</w:t>
      </w:r>
    </w:p>
    <w:p>
      <w:pPr>
        <w:spacing w:after="80" w:before="40"/>
        <w:ind w:left="0"/>
      </w:pPr>
      <w:r>
        <w:rPr>
          <w:rFonts w:ascii="Calibri" w:cs="Calibri" w:eastAsia="Calibri" w:hAnsi="Calibri"/>
          <w:b/>
          <w:bCs/>
          <w:color w:val="6B2D5C"/>
          <w:sz w:val="22"/>
          <w:szCs w:val="22"/>
        </w:rPr>
        <w:t xml:space="preserve">Part 5 · A Six-Week Study Plan</w:t>
      </w:r>
    </w:p>
    <w:p>
      <w:pPr>
        <w:spacing w:after="80" w:before="40"/>
        <w:ind w:left="0"/>
      </w:pPr>
      <w:r>
        <w:rPr>
          <w:rFonts w:ascii="Calibri" w:cs="Calibri" w:eastAsia="Calibri" w:hAnsi="Calibri"/>
          <w:b/>
          <w:bCs/>
          <w:color w:val="6B2D5C"/>
          <w:sz w:val="22"/>
          <w:szCs w:val="22"/>
        </w:rPr>
        <w:t xml:space="preserve">Part 6 · Registration, Policies &amp; Renewal</w:t>
      </w:r>
    </w:p>
    <w:p>
      <w:pPr>
        <w:spacing w:after="80" w:before="40"/>
        <w:ind w:left="0"/>
      </w:pPr>
      <w:r>
        <w:rPr>
          <w:rFonts w:ascii="Calibri" w:cs="Calibri" w:eastAsia="Calibri" w:hAnsi="Calibri"/>
          <w:b/>
          <w:bCs/>
          <w:color w:val="6B2D5C"/>
          <w:sz w:val="22"/>
          <w:szCs w:val="22"/>
        </w:rPr>
        <w:t xml:space="preserve">Part 7 · Domain Self-Check</w:t>
      </w:r>
    </w:p>
    <w:p>
      <w:pPr>
        <w:spacing w:after="80" w:before="40"/>
        <w:ind w:left="0"/>
      </w:pPr>
      <w:r>
        <w:rPr>
          <w:rFonts w:ascii="Calibri" w:cs="Calibri" w:eastAsia="Calibri" w:hAnsi="Calibri"/>
          <w:b/>
          <w:bCs/>
          <w:color w:val="6B2D5C"/>
          <w:sz w:val="22"/>
          <w:szCs w:val="22"/>
        </w:rPr>
        <w:t xml:space="preserve">Sources &amp; Provenance</w:t>
      </w:r>
    </w:p>
    <w:p>
      <w:r>
        <w:br w:type="page"/>
      </w:r>
    </w:p>
    <w:p>
      <w:pPr>
        <w:pStyle w:val="Heading1"/>
        <w:spacing w:after="140" w:before="340"/>
      </w:pPr>
      <w:r>
        <w:rPr>
          <w:rFonts w:ascii="Calibri" w:cs="Calibri" w:eastAsia="Calibri" w:hAnsi="Calibri"/>
          <w:b/>
          <w:bCs/>
          <w:color w:val="6B2D5C"/>
          <w:sz w:val="32"/>
          <w:szCs w:val="32"/>
        </w:rPr>
        <w:t xml:space="preserve">How to Use This Guide</w:t>
      </w:r>
    </w:p>
    <w:p>
      <w:pPr>
        <w:spacing w:after="120" w:line="276"/>
      </w:pPr>
      <w:r>
        <w:rPr>
          <w:rFonts w:ascii="Calibri" w:cs="Calibri" w:eastAsia="Calibri" w:hAnsi="Calibri"/>
          <w:color w:val="1A1A2E"/>
          <w:sz w:val="21"/>
          <w:szCs w:val="21"/>
        </w:rPr>
        <w:t xml:space="preserve">This guide is organized to mirror the exam itself: one major section per content domain, in blueprint order, each sized to the domain's weight. It is written for someone who already builds production LLM systems and needs to convert that experience into </w:t>
      </w:r>
      <w:r>
        <w:rPr>
          <w:rFonts w:ascii="Calibri" w:cs="Calibri" w:eastAsia="Calibri" w:hAnsi="Calibri"/>
          <w:i/>
          <w:iCs/>
          <w:color w:val="1A1A2E"/>
          <w:sz w:val="21"/>
          <w:szCs w:val="21"/>
        </w:rPr>
        <w:t xml:space="preserve">architectural judgment under exam conditions</w:t>
      </w:r>
      <w:r>
        <w:rPr>
          <w:rFonts w:ascii="Calibri" w:cs="Calibri" w:eastAsia="Calibri" w:hAnsi="Calibri"/>
          <w:color w:val="1A1A2E"/>
          <w:sz w:val="21"/>
          <w:szCs w:val="21"/>
        </w:rPr>
        <w:t xml:space="preserve"> — which is what CCAR-P actually measures. It does not teach the Claude API from scratch.</w:t>
      </w:r>
    </w:p>
    <w:p>
      <w:pPr>
        <w:spacing w:after="120" w:line="276"/>
      </w:pPr>
      <w:r>
        <w:rPr>
          <w:rFonts w:ascii="Calibri" w:cs="Calibri" w:eastAsia="Calibri" w:hAnsi="Calibri"/>
          <w:color w:val="1A1A2E"/>
          <w:sz w:val="21"/>
          <w:szCs w:val="21"/>
        </w:rPr>
        <w:t xml:space="preserve">Everything factual about the exam — format, weights, objectives, scoring, policies, and the three sample questions — is drawn directly from Anthropic's official </w:t>
      </w:r>
      <w:r>
        <w:rPr>
          <w:rFonts w:ascii="Calibri" w:cs="Calibri" w:eastAsia="Calibri" w:hAnsi="Calibri"/>
          <w:i/>
          <w:iCs/>
          <w:color w:val="1A1A2E"/>
          <w:sz w:val="21"/>
          <w:szCs w:val="21"/>
        </w:rPr>
        <w:t xml:space="preserve">Claude Certified Architect – Professional Exam Guide, Version 1.0 (July 2026)</w:t>
      </w:r>
      <w:r>
        <w:rPr>
          <w:rFonts w:ascii="Calibri" w:cs="Calibri" w:eastAsia="Calibri" w:hAnsi="Calibri"/>
          <w:color w:val="1A1A2E"/>
          <w:sz w:val="21"/>
          <w:szCs w:val="21"/>
        </w:rPr>
        <w:t xml:space="preserve">. Where this guide adds teaching content, worked scenarios, or decision heuristics, that is interpretation built on the published objectives, not official Anthropic material.</w:t>
      </w:r>
    </w:p>
    <w:tbl>
      <w:tblPr>
        <w:tblW w:type="pct" w:w="100%"/>
        <w:tblBorders>
          <w:top w:val="single" w:color="E8F0F0" w:sz="2"/>
          <w:left w:val="single" w:color="0F5257" w:sz="24"/>
          <w:bottom w:val="single" w:color="E8F0F0" w:sz="2"/>
          <w:right w:val="single" w:color="E8F0F0" w:sz="2"/>
          <w:insideH w:val="none"/>
          <w:insideV w:val="none"/>
        </w:tblBorders>
      </w:tblPr>
      <w:tblGrid>
        <w:gridCol w:w="9360"/>
      </w:tblGrid>
      <w:tr>
        <w:tc>
          <w:tcPr>
            <w:tcW w:type="dxa" w:w="9360"/>
            <w:shd w:fill="E8F0F0" w:color="auto" w:val="clear"/>
            <w:tcMar>
              <w:top w:type="dxa" w:w="120"/>
              <w:left w:type="dxa" w:w="180"/>
              <w:bottom w:type="dxa" w:w="120"/>
              <w:right w:type="dxa" w:w="180"/>
            </w:tcMar>
          </w:tcPr>
          <w:p>
            <w:pPr>
              <w:spacing w:after="60"/>
            </w:pPr>
            <w:r>
              <w:rPr>
                <w:rFonts w:ascii="Calibri" w:cs="Calibri" w:eastAsia="Calibri" w:hAnsi="Calibri"/>
                <w:b/>
                <w:bCs/>
                <w:color w:val="0F5257"/>
                <w:sz w:val="21"/>
                <w:szCs w:val="21"/>
              </w:rPr>
              <w:t xml:space="preserve">Read this first</w:t>
            </w:r>
          </w:p>
          <w:p>
            <w:pPr>
              <w:pStyle w:val="ListParagraph"/>
              <w:numPr>
                <w:ilvl w:val="0"/>
                <w:numId w:val="2"/>
              </w:numPr>
              <w:spacing w:after="50" w:line="268"/>
            </w:pPr>
            <w:r>
              <w:rPr>
                <w:rFonts w:ascii="Calibri" w:cs="Calibri" w:eastAsia="Calibri" w:hAnsi="Calibri"/>
                <w:color w:val="1A1A2E"/>
                <w:sz w:val="21"/>
                <w:szCs w:val="21"/>
              </w:rPr>
              <w:t xml:space="preserve">The exam rewards choosing the </w:t>
            </w:r>
            <w:r>
              <w:rPr>
                <w:rFonts w:ascii="Calibri" w:cs="Calibri" w:eastAsia="Calibri" w:hAnsi="Calibri"/>
                <w:b/>
                <w:bCs/>
                <w:color w:val="1A1A2E"/>
                <w:sz w:val="21"/>
                <w:szCs w:val="21"/>
              </w:rPr>
              <w:t xml:space="preserve">simplest</w:t>
            </w:r>
            <w:r>
              <w:rPr>
                <w:rFonts w:ascii="Calibri" w:cs="Calibri" w:eastAsia="Calibri" w:hAnsi="Calibri"/>
                <w:color w:val="1A1A2E"/>
                <w:sz w:val="21"/>
                <w:szCs w:val="21"/>
              </w:rPr>
              <w:t xml:space="preserve"> design that satisfies every constraint. Over-engineering is the single most common way to lose points.</w:t>
            </w:r>
          </w:p>
          <w:p>
            <w:pPr>
              <w:pStyle w:val="ListParagraph"/>
              <w:numPr>
                <w:ilvl w:val="0"/>
                <w:numId w:val="2"/>
              </w:numPr>
              <w:spacing w:after="50" w:line="268"/>
            </w:pPr>
            <w:r>
              <w:rPr>
                <w:rFonts w:ascii="Calibri" w:cs="Calibri" w:eastAsia="Calibri" w:hAnsi="Calibri"/>
                <w:color w:val="1A1A2E"/>
                <w:sz w:val="21"/>
                <w:szCs w:val="21"/>
              </w:rPr>
              <w:t xml:space="preserve">Distractors are plausible and often </w:t>
            </w:r>
            <w:r>
              <w:rPr>
                <w:rFonts w:ascii="Calibri" w:cs="Calibri" w:eastAsia="Calibri" w:hAnsi="Calibri"/>
                <w:i/>
                <w:iCs/>
                <w:color w:val="1A1A2E"/>
                <w:sz w:val="21"/>
                <w:szCs w:val="21"/>
              </w:rPr>
              <w:t xml:space="preserve">almost</w:t>
            </w:r>
            <w:r>
              <w:rPr>
                <w:rFonts w:ascii="Calibri" w:cs="Calibri" w:eastAsia="Calibri" w:hAnsi="Calibri"/>
                <w:color w:val="1A1A2E"/>
                <w:sz w:val="21"/>
                <w:szCs w:val="21"/>
              </w:rPr>
              <w:t xml:space="preserve"> right. The wrong answers are usually real techniques applied to the wrong problem.</w:t>
            </w:r>
          </w:p>
          <w:p>
            <w:pPr>
              <w:pStyle w:val="ListParagraph"/>
              <w:numPr>
                <w:ilvl w:val="0"/>
                <w:numId w:val="2"/>
              </w:numPr>
              <w:spacing w:after="50" w:line="268"/>
            </w:pPr>
            <w:r>
              <w:rPr>
                <w:rFonts w:ascii="Calibri" w:cs="Calibri" w:eastAsia="Calibri" w:hAnsi="Calibri"/>
                <w:color w:val="1A1A2E"/>
                <w:sz w:val="21"/>
                <w:szCs w:val="21"/>
              </w:rPr>
              <w:t xml:space="preserve">Roughly 28% of the exam is Governance + Stakeholder/Lifecycle. Engineers routinely under-study these and lose more than a quarter of the exam.</w:t>
            </w:r>
          </w:p>
          <w:p>
            <w:pPr>
              <w:pStyle w:val="ListParagraph"/>
              <w:numPr>
                <w:ilvl w:val="0"/>
                <w:numId w:val="2"/>
              </w:numPr>
              <w:spacing w:after="50" w:line="268"/>
            </w:pPr>
            <w:r>
              <w:rPr>
                <w:rFonts w:ascii="Calibri" w:cs="Calibri" w:eastAsia="Calibri" w:hAnsi="Calibri"/>
                <w:color w:val="1A1A2E"/>
                <w:sz w:val="21"/>
                <w:szCs w:val="21"/>
              </w:rPr>
              <w:t xml:space="preserve">There is no substitute for having shipped one real end-to-end Claude system with RAG, evaluation, and observability. Build it while you study.</w:t>
            </w:r>
          </w:p>
        </w:tc>
      </w:tr>
    </w:tbl>
    <w:p>
      <w:r>
        <w:br w:type="page"/>
      </w:r>
    </w:p>
    <w:p>
      <w:pPr>
        <w:pStyle w:val="Heading1"/>
        <w:spacing w:after="140" w:before="340"/>
      </w:pPr>
      <w:r>
        <w:rPr>
          <w:rFonts w:ascii="Calibri" w:cs="Calibri" w:eastAsia="Calibri" w:hAnsi="Calibri"/>
          <w:b/>
          <w:bCs/>
          <w:color w:val="6B2D5C"/>
          <w:sz w:val="32"/>
          <w:szCs w:val="32"/>
        </w:rPr>
        <w:t xml:space="preserve">Part 1 · The Exam at a Glance</w:t>
      </w:r>
    </w:p>
    <w:p>
      <w:pPr>
        <w:pStyle w:val="Heading2"/>
        <w:spacing w:after="100" w:before="260"/>
      </w:pPr>
      <w:r>
        <w:rPr>
          <w:rFonts w:ascii="Calibri" w:cs="Calibri" w:eastAsia="Calibri" w:hAnsi="Calibri"/>
          <w:b/>
          <w:bCs/>
          <w:color w:val="1A1A2E"/>
          <w:sz w:val="26"/>
          <w:szCs w:val="26"/>
        </w:rPr>
        <w:t xml:space="preserve">Format and Scoring</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2400"/>
        <w:gridCol w:w="6960"/>
      </w:tblGrid>
      <w:tr>
        <w:trPr>
          <w:tblHeader/>
        </w:trPr>
        <w:tc>
          <w:tcPr>
            <w:tcW w:type="dxa" w:w="24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Attribute</w:t>
            </w:r>
          </w:p>
        </w:tc>
        <w:tc>
          <w:tcPr>
            <w:tcW w:type="dxa" w:w="69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Detail</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Credential</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Claude Certified Architect – Professional</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Exam code</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CCAR-P</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Items</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63 (multiple-choice and multiple-response; each item states how many to select)</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Time</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120 minutes (≈ 1 min 54 sec per item)</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Delivery</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Pearson VUE — online proctored or test center</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Passing score</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720 on a scaled range of 100–1,000</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Scoring model</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Criterion-referenced (fixed standard, not curved against peers)</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Result</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Pass/fail with scaled score, plus percent-correct by domain (informational only)</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Fee</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$175 USD per attempt (partner-tier discount may apply at checkout)</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Validity</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12 months from award date</w:t>
            </w:r>
          </w:p>
        </w:tc>
      </w:tr>
    </w:tbl>
    <w:p>
      <w:pPr>
        <w:spacing w:after="80" w:line="276"/>
      </w:pPr>
      <w:r>
        <w:rPr>
          <w:rFonts w:ascii="Calibri" w:cs="Calibri" w:eastAsia="Calibri" w:hAnsi="Calibri"/>
          <w:color w:val="1A1A2E"/>
          <w:sz w:val="21"/>
          <w:szCs w:val="21"/>
        </w:rPr>
        <w:t xml:space="preserve">Because scoring is criterion-referenced, you are measured against a fixed performance standard set by subject-matter experts — not against other candidates. The per-domain percentages on your score report help you understand your performance but do </w:t>
      </w:r>
      <w:r>
        <w:rPr>
          <w:rFonts w:ascii="Calibri" w:cs="Calibri" w:eastAsia="Calibri" w:hAnsi="Calibri"/>
          <w:i/>
          <w:iCs/>
          <w:color w:val="1A1A2E"/>
          <w:sz w:val="21"/>
          <w:szCs w:val="21"/>
        </w:rPr>
        <w:t xml:space="preserve">not</w:t>
      </w:r>
      <w:r>
        <w:rPr>
          <w:rFonts w:ascii="Calibri" w:cs="Calibri" w:eastAsia="Calibri" w:hAnsi="Calibri"/>
          <w:color w:val="1A1A2E"/>
          <w:sz w:val="21"/>
          <w:szCs w:val="21"/>
        </w:rPr>
        <w:t xml:space="preserve"> determine pass/fail; only your total scaled score does.</w:t>
      </w:r>
    </w:p>
    <w:p>
      <w:pPr>
        <w:pStyle w:val="Heading2"/>
        <w:spacing w:after="100" w:before="260"/>
      </w:pPr>
      <w:r>
        <w:rPr>
          <w:rFonts w:ascii="Calibri" w:cs="Calibri" w:eastAsia="Calibri" w:hAnsi="Calibri"/>
          <w:b/>
          <w:bCs/>
          <w:color w:val="1A1A2E"/>
          <w:sz w:val="26"/>
          <w:szCs w:val="26"/>
        </w:rPr>
        <w:t xml:space="preserve">Domain Weights</w:t>
      </w:r>
    </w:p>
    <w:p>
      <w:pPr>
        <w:spacing w:after="100" w:line="276"/>
      </w:pPr>
      <w:r>
        <w:rPr>
          <w:rFonts w:ascii="Calibri" w:cs="Calibri" w:eastAsia="Calibri" w:hAnsi="Calibri"/>
          <w:color w:val="1A1A2E"/>
          <w:sz w:val="21"/>
          <w:szCs w:val="21"/>
        </w:rPr>
        <w:t xml:space="preserve">The blueprint has seven domains. Sizing your study time to these weights is the highest-leverage decision you can make.</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700"/>
        <w:gridCol w:w="5560"/>
        <w:gridCol w:w="1300"/>
        <w:gridCol w:w="1800"/>
      </w:tblGrid>
      <w:tr>
        <w:trPr>
          <w:tblHeader/>
        </w:trPr>
        <w:tc>
          <w:tcPr>
            <w:tcW w:type="dxa" w:w="7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w:t>
            </w:r>
          </w:p>
        </w:tc>
        <w:tc>
          <w:tcPr>
            <w:tcW w:type="dxa" w:w="55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Domain</w:t>
            </w:r>
          </w:p>
        </w:tc>
        <w:tc>
          <w:tcPr>
            <w:tcW w:type="dxa" w:w="13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Weight</w:t>
            </w:r>
          </w:p>
        </w:tc>
        <w:tc>
          <w:tcPr>
            <w:tcW w:type="dxa" w:w="18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Rank</w:t>
            </w:r>
          </w:p>
        </w:tc>
      </w:tr>
      <w:tr>
        <w:tc>
          <w:tcPr>
            <w:tcW w:type="dxa" w:w="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3</w:t>
            </w:r>
          </w:p>
        </w:tc>
        <w:tc>
          <w:tcPr>
            <w:tcW w:type="dxa" w:w="5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Integration</w:t>
            </w:r>
          </w:p>
        </w:tc>
        <w:tc>
          <w:tcPr>
            <w:tcW w:type="dxa" w:w="13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19%</w:t>
            </w:r>
          </w:p>
        </w:tc>
        <w:tc>
          <w:tcPr>
            <w:tcW w:type="dxa" w:w="18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Heaviest</w:t>
            </w:r>
          </w:p>
        </w:tc>
      </w:tr>
      <w:tr>
        <w:tc>
          <w:tcPr>
            <w:tcW w:type="dxa" w:w="7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1</w:t>
            </w:r>
          </w:p>
        </w:tc>
        <w:tc>
          <w:tcPr>
            <w:tcW w:type="dxa" w:w="55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Solution Design &amp; Architecture</w:t>
            </w:r>
          </w:p>
        </w:tc>
        <w:tc>
          <w:tcPr>
            <w:tcW w:type="dxa" w:w="13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17%</w:t>
            </w:r>
          </w:p>
        </w:tc>
        <w:tc>
          <w:tcPr>
            <w:tcW w:type="dxa" w:w="18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2nd</w:t>
            </w:r>
          </w:p>
        </w:tc>
      </w:tr>
      <w:tr>
        <w:tc>
          <w:tcPr>
            <w:tcW w:type="dxa" w:w="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4</w:t>
            </w:r>
          </w:p>
        </w:tc>
        <w:tc>
          <w:tcPr>
            <w:tcW w:type="dxa" w:w="5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Evaluation, Testing &amp; Optimization</w:t>
            </w:r>
          </w:p>
        </w:tc>
        <w:tc>
          <w:tcPr>
            <w:tcW w:type="dxa" w:w="13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16%</w:t>
            </w:r>
          </w:p>
        </w:tc>
        <w:tc>
          <w:tcPr>
            <w:tcW w:type="dxa" w:w="18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3rd</w:t>
            </w:r>
          </w:p>
        </w:tc>
      </w:tr>
      <w:tr>
        <w:tc>
          <w:tcPr>
            <w:tcW w:type="dxa" w:w="7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5</w:t>
            </w:r>
          </w:p>
        </w:tc>
        <w:tc>
          <w:tcPr>
            <w:tcW w:type="dxa" w:w="55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Governance, Safety &amp; Risk Management</w:t>
            </w:r>
          </w:p>
        </w:tc>
        <w:tc>
          <w:tcPr>
            <w:tcW w:type="dxa" w:w="13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14%</w:t>
            </w:r>
          </w:p>
        </w:tc>
        <w:tc>
          <w:tcPr>
            <w:tcW w:type="dxa" w:w="18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w:t>
            </w:r>
          </w:p>
        </w:tc>
      </w:tr>
      <w:tr>
        <w:tc>
          <w:tcPr>
            <w:tcW w:type="dxa" w:w="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6</w:t>
            </w:r>
          </w:p>
        </w:tc>
        <w:tc>
          <w:tcPr>
            <w:tcW w:type="dxa" w:w="5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Stakeholder Communication &amp; Lifecycle Mgmt</w:t>
            </w:r>
          </w:p>
        </w:tc>
        <w:tc>
          <w:tcPr>
            <w:tcW w:type="dxa" w:w="13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14%</w:t>
            </w:r>
          </w:p>
        </w:tc>
        <w:tc>
          <w:tcPr>
            <w:tcW w:type="dxa" w:w="18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w:t>
            </w:r>
          </w:p>
        </w:tc>
      </w:tr>
      <w:tr>
        <w:tc>
          <w:tcPr>
            <w:tcW w:type="dxa" w:w="7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2</w:t>
            </w:r>
          </w:p>
        </w:tc>
        <w:tc>
          <w:tcPr>
            <w:tcW w:type="dxa" w:w="55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Claude Models, Prompting &amp; Context Engineering</w:t>
            </w:r>
          </w:p>
        </w:tc>
        <w:tc>
          <w:tcPr>
            <w:tcW w:type="dxa" w:w="13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13%</w:t>
            </w:r>
          </w:p>
        </w:tc>
        <w:tc>
          <w:tcPr>
            <w:tcW w:type="dxa" w:w="18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w:t>
            </w:r>
          </w:p>
        </w:tc>
      </w:tr>
      <w:tr>
        <w:tc>
          <w:tcPr>
            <w:tcW w:type="dxa" w:w="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7</w:t>
            </w:r>
          </w:p>
        </w:tc>
        <w:tc>
          <w:tcPr>
            <w:tcW w:type="dxa" w:w="5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Developer Productivity &amp; Operational Enablement</w:t>
            </w:r>
          </w:p>
        </w:tc>
        <w:tc>
          <w:tcPr>
            <w:tcW w:type="dxa" w:w="13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7%</w:t>
            </w:r>
          </w:p>
        </w:tc>
        <w:tc>
          <w:tcPr>
            <w:tcW w:type="dxa" w:w="18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Lightest</w:t>
            </w:r>
          </w:p>
        </w:tc>
      </w:tr>
    </w:tbl>
    <w:tbl>
      <w:tblPr>
        <w:tblW w:type="pct" w:w="100%"/>
        <w:tblBorders>
          <w:top w:val="single" w:color="F2EEF3" w:sz="2"/>
          <w:left w:val="single" w:color="6B2D5C" w:sz="24"/>
          <w:bottom w:val="single" w:color="F2EEF3" w:sz="2"/>
          <w:right w:val="single" w:color="F2EEF3" w:sz="2"/>
          <w:insideH w:val="none"/>
          <w:insideV w:val="none"/>
        </w:tblBorders>
      </w:tblPr>
      <w:tblGrid>
        <w:gridCol w:w="9360"/>
      </w:tblGrid>
      <w:tr>
        <w:tc>
          <w:tcPr>
            <w:tcW w:type="dxa" w:w="9360"/>
            <w:shd w:fill="F2EEF3" w:color="auto" w:val="clear"/>
            <w:tcMar>
              <w:top w:type="dxa" w:w="120"/>
              <w:left w:type="dxa" w:w="180"/>
              <w:bottom w:type="dxa" w:w="120"/>
              <w:right w:type="dxa" w:w="180"/>
            </w:tcMar>
          </w:tcPr>
          <w:p>
            <w:pPr>
              <w:spacing w:after="60"/>
            </w:pPr>
            <w:r>
              <w:rPr>
                <w:rFonts w:ascii="Calibri" w:cs="Calibri" w:eastAsia="Calibri" w:hAnsi="Calibri"/>
                <w:b/>
                <w:bCs/>
                <w:color w:val="6B2D5C"/>
                <w:sz w:val="21"/>
                <w:szCs w:val="21"/>
              </w:rPr>
              <w:t xml:space="preserve">The one-line takeaway</w:t>
            </w:r>
          </w:p>
          <w:p>
            <w:pPr>
              <w:spacing w:after="60" w:line="270"/>
            </w:pPr>
            <w:r>
              <w:rPr>
                <w:rFonts w:ascii="Calibri" w:cs="Calibri" w:eastAsia="Calibri" w:hAnsi="Calibri"/>
                <w:b/>
                <w:bCs/>
                <w:color w:val="1A1A2E"/>
                <w:sz w:val="21"/>
                <w:szCs w:val="21"/>
              </w:rPr>
              <w:t xml:space="preserve">Integration + Solution Design + Evaluation = 52% of the exam.</w:t>
            </w:r>
            <w:r>
              <w:rPr>
                <w:rFonts w:ascii="Calibri" w:cs="Calibri" w:eastAsia="Calibri" w:hAnsi="Calibri"/>
                <w:color w:val="1A1A2E"/>
                <w:sz w:val="21"/>
                <w:szCs w:val="21"/>
              </w:rPr>
              <w:t xml:space="preserve"> Master these three and you are already past halfway. But you cannot pass on them alone — the remaining 48% is spread across five domains, and the two </w:t>
            </w:r>
            <w:r>
              <w:rPr>
                <w:rFonts w:ascii="Calibri" w:cs="Calibri" w:eastAsia="Calibri" w:hAnsi="Calibri"/>
                <w:i/>
                <w:iCs/>
                <w:color w:val="1A1A2E"/>
                <w:sz w:val="21"/>
                <w:szCs w:val="21"/>
              </w:rPr>
              <w:t xml:space="preserve">non-engineering</w:t>
            </w:r>
            <w:r>
              <w:rPr>
                <w:rFonts w:ascii="Calibri" w:cs="Calibri" w:eastAsia="Calibri" w:hAnsi="Calibri"/>
                <w:color w:val="1A1A2E"/>
                <w:sz w:val="21"/>
                <w:szCs w:val="21"/>
              </w:rPr>
              <w:t xml:space="preserve"> domains (Governance and Stakeholder/Lifecycle) are 28% combined.</w:t>
            </w:r>
          </w:p>
        </w:tc>
      </w:tr>
    </w:tbl>
    <w:p>
      <w:pPr>
        <w:pStyle w:val="Heading2"/>
        <w:spacing w:after="100" w:before="260"/>
      </w:pPr>
      <w:r>
        <w:rPr>
          <w:rFonts w:ascii="Calibri" w:cs="Calibri" w:eastAsia="Calibri" w:hAnsi="Calibri"/>
          <w:b/>
          <w:bCs/>
          <w:color w:val="1A1A2E"/>
          <w:sz w:val="26"/>
          <w:szCs w:val="26"/>
        </w:rPr>
        <w:t xml:space="preserve">Who the Exam Is For</w:t>
      </w:r>
    </w:p>
    <w:p>
      <w:pPr>
        <w:spacing w:after="80" w:line="276"/>
      </w:pPr>
      <w:r>
        <w:rPr>
          <w:rFonts w:ascii="Calibri" w:cs="Calibri" w:eastAsia="Calibri" w:hAnsi="Calibri"/>
          <w:color w:val="1A1A2E"/>
          <w:sz w:val="21"/>
          <w:szCs w:val="21"/>
        </w:rPr>
        <w:t xml:space="preserve">Anthropic targets the Minimally Qualified Candidate (MQC): an experienced practitioner who designs, implements, and governs Claude-powered solutions in production, translating business requirements into scalable, secure, reliable architectures. Recommended experience:</w:t>
      </w:r>
    </w:p>
    <w:p>
      <w:pPr>
        <w:pStyle w:val="ListParagraph"/>
        <w:numPr>
          <w:ilvl w:val="0"/>
          <w:numId w:val="2"/>
        </w:numPr>
        <w:spacing w:after="60" w:line="272"/>
      </w:pPr>
      <w:r>
        <w:rPr>
          <w:rFonts w:ascii="Calibri" w:cs="Calibri" w:eastAsia="Calibri" w:hAnsi="Calibri"/>
          <w:color w:val="1A1A2E"/>
          <w:sz w:val="21"/>
          <w:szCs w:val="21"/>
        </w:rPr>
        <w:t xml:space="preserve">A foundation in software-engineering best practices — modular design, separation of concerns, scalability.</w:t>
      </w:r>
    </w:p>
    <w:p>
      <w:pPr>
        <w:pStyle w:val="ListParagraph"/>
        <w:numPr>
          <w:ilvl w:val="0"/>
          <w:numId w:val="2"/>
        </w:numPr>
        <w:spacing w:after="60" w:line="272"/>
      </w:pPr>
      <w:r>
        <w:rPr>
          <w:rFonts w:ascii="Calibri" w:cs="Calibri" w:eastAsia="Calibri" w:hAnsi="Calibri"/>
          <w:color w:val="1A1A2E"/>
          <w:sz w:val="21"/>
          <w:szCs w:val="21"/>
        </w:rPr>
        <w:t xml:space="preserve">3+ years in systems architecture or platform engineering.</w:t>
      </w:r>
    </w:p>
    <w:p>
      <w:pPr>
        <w:pStyle w:val="ListParagraph"/>
        <w:numPr>
          <w:ilvl w:val="0"/>
          <w:numId w:val="2"/>
        </w:numPr>
        <w:spacing w:after="60" w:line="272"/>
      </w:pPr>
      <w:r>
        <w:rPr>
          <w:rFonts w:ascii="Calibri" w:cs="Calibri" w:eastAsia="Calibri" w:hAnsi="Calibri"/>
          <w:color w:val="1A1A2E"/>
          <w:sz w:val="21"/>
          <w:szCs w:val="21"/>
        </w:rPr>
        <w:t xml:space="preserve">6+ months of hands-on Claude (or comparable LLM) experience in production.</w:t>
      </w:r>
    </w:p>
    <w:p>
      <w:pPr>
        <w:pStyle w:val="ListParagraph"/>
        <w:numPr>
          <w:ilvl w:val="0"/>
          <w:numId w:val="2"/>
        </w:numPr>
        <w:spacing w:after="60" w:line="272"/>
      </w:pPr>
      <w:r>
        <w:rPr>
          <w:rFonts w:ascii="Calibri" w:cs="Calibri" w:eastAsia="Calibri" w:hAnsi="Calibri"/>
          <w:color w:val="1A1A2E"/>
          <w:sz w:val="21"/>
          <w:szCs w:val="21"/>
        </w:rPr>
        <w:t xml:space="preserve">Experience delivering end-to-end systems from discovery through deployment and operationalization.</w:t>
      </w:r>
    </w:p>
    <w:p>
      <w:pPr>
        <w:spacing w:after="120" w:line="276"/>
      </w:pPr>
      <w:r>
        <w:rPr>
          <w:rFonts w:ascii="Calibri" w:cs="Calibri" w:eastAsia="Calibri" w:hAnsi="Calibri"/>
          <w:color w:val="1A1A2E"/>
          <w:sz w:val="21"/>
          <w:szCs w:val="21"/>
        </w:rPr>
        <w:t xml:space="preserve">There are </w:t>
      </w:r>
      <w:r>
        <w:rPr>
          <w:rFonts w:ascii="Calibri" w:cs="Calibri" w:eastAsia="Calibri" w:hAnsi="Calibri"/>
          <w:b/>
          <w:bCs/>
          <w:color w:val="1A1A2E"/>
          <w:sz w:val="21"/>
          <w:szCs w:val="21"/>
        </w:rPr>
        <w:t xml:space="preserve">no mandatory prerequisites</w:t>
      </w:r>
      <w:r>
        <w:rPr>
          <w:rFonts w:ascii="Calibri" w:cs="Calibri" w:eastAsia="Calibri" w:hAnsi="Calibri"/>
          <w:color w:val="1A1A2E"/>
          <w:sz w:val="21"/>
          <w:szCs w:val="21"/>
        </w:rPr>
        <w:t xml:space="preserve">. The credential is awarded on exam performance alone. Many candidates use Architect – Foundations as a stepping stone, but it is not required.</w:t>
      </w:r>
    </w:p>
    <w:p>
      <w:r>
        <w:br w:type="page"/>
      </w:r>
    </w:p>
    <w:p>
      <w:pPr>
        <w:pStyle w:val="Heading1"/>
        <w:spacing w:after="140" w:before="340"/>
      </w:pPr>
      <w:r>
        <w:rPr>
          <w:rFonts w:ascii="Calibri" w:cs="Calibri" w:eastAsia="Calibri" w:hAnsi="Calibri"/>
          <w:b/>
          <w:bCs/>
          <w:color w:val="6B2D5C"/>
          <w:sz w:val="32"/>
          <w:szCs w:val="32"/>
        </w:rPr>
        <w:t xml:space="preserve">Part 2 · A Running Case Study</w:t>
      </w:r>
    </w:p>
    <w:p>
      <w:pPr>
        <w:spacing w:after="120" w:line="276"/>
      </w:pPr>
      <w:r>
        <w:rPr>
          <w:rFonts w:ascii="Calibri" w:cs="Calibri" w:eastAsia="Calibri" w:hAnsi="Calibri"/>
          <w:color w:val="1A1A2E"/>
          <w:sz w:val="21"/>
          <w:szCs w:val="21"/>
        </w:rPr>
        <w:t xml:space="preserve">Scenario-based exams are easier to reason about when you carry a concrete system in your head. This guide uses a single fictional case throughout, so every domain is applied to the same production context. (This mirrors the approach of the leading prep courses, which use a bank building a loan-origination platform.)</w:t>
      </w:r>
    </w:p>
    <w:tbl>
      <w:tblPr>
        <w:tblW w:type="pct" w:w="100%"/>
        <w:tblBorders>
          <w:top w:val="single" w:color="E8F0F0" w:sz="2"/>
          <w:left w:val="single" w:color="0F5257" w:sz="24"/>
          <w:bottom w:val="single" w:color="E8F0F0" w:sz="2"/>
          <w:right w:val="single" w:color="E8F0F0" w:sz="2"/>
          <w:insideH w:val="none"/>
          <w:insideV w:val="none"/>
        </w:tblBorders>
      </w:tblPr>
      <w:tblGrid>
        <w:gridCol w:w="9360"/>
      </w:tblGrid>
      <w:tr>
        <w:tc>
          <w:tcPr>
            <w:tcW w:type="dxa" w:w="9360"/>
            <w:shd w:fill="E8F0F0" w:color="auto" w:val="clear"/>
            <w:tcMar>
              <w:top w:type="dxa" w:w="120"/>
              <w:left w:type="dxa" w:w="180"/>
              <w:bottom w:type="dxa" w:w="120"/>
              <w:right w:type="dxa" w:w="180"/>
            </w:tcMar>
          </w:tcPr>
          <w:p>
            <w:pPr>
              <w:spacing w:after="60"/>
            </w:pPr>
            <w:r>
              <w:rPr>
                <w:rFonts w:ascii="Calibri" w:cs="Calibri" w:eastAsia="Calibri" w:hAnsi="Calibri"/>
                <w:b/>
                <w:bCs/>
                <w:color w:val="0F5257"/>
                <w:sz w:val="21"/>
                <w:szCs w:val="21"/>
              </w:rPr>
              <w:t xml:space="preserve">Case: "Meridian Bank — AI Loan Origination Assistant"</w:t>
            </w:r>
          </w:p>
          <w:p>
            <w:pPr>
              <w:spacing w:after="60" w:line="270"/>
            </w:pPr>
            <w:r>
              <w:rPr>
                <w:rFonts w:ascii="Calibri" w:cs="Calibri" w:eastAsia="Calibri" w:hAnsi="Calibri"/>
                <w:color w:val="1A1A2E"/>
                <w:sz w:val="21"/>
                <w:szCs w:val="21"/>
              </w:rPr>
              <w:t xml:space="preserve">Meridian, a mid-size retail bank, is building an AI assistant to help loan officers process personal-loan applications. The system must: </w:t>
            </w:r>
          </w:p>
          <w:p>
            <w:pPr>
              <w:pStyle w:val="ListParagraph"/>
              <w:numPr>
                <w:ilvl w:val="0"/>
                <w:numId w:val="2"/>
              </w:numPr>
              <w:spacing w:after="50" w:line="268"/>
            </w:pPr>
            <w:r>
              <w:rPr>
                <w:rFonts w:ascii="Calibri" w:cs="Calibri" w:eastAsia="Calibri" w:hAnsi="Calibri"/>
                <w:color w:val="1A1A2E"/>
                <w:sz w:val="21"/>
                <w:szCs w:val="21"/>
              </w:rPr>
              <w:t xml:space="preserve">Answer officer questions about a specific application using the applicant's documents (pay stubs, bank statements, credit report).</w:t>
            </w:r>
          </w:p>
          <w:p>
            <w:pPr>
              <w:pStyle w:val="ListParagraph"/>
              <w:numPr>
                <w:ilvl w:val="0"/>
                <w:numId w:val="2"/>
              </w:numPr>
              <w:spacing w:after="50" w:line="268"/>
            </w:pPr>
            <w:r>
              <w:rPr>
                <w:rFonts w:ascii="Calibri" w:cs="Calibri" w:eastAsia="Calibri" w:hAnsi="Calibri"/>
                <w:color w:val="1A1A2E"/>
                <w:sz w:val="21"/>
                <w:szCs w:val="21"/>
              </w:rPr>
              <w:t xml:space="preserve">Summarize the applicant's financial position and flag risk factors against bank policy.</w:t>
            </w:r>
          </w:p>
          <w:p>
            <w:pPr>
              <w:pStyle w:val="ListParagraph"/>
              <w:numPr>
                <w:ilvl w:val="0"/>
                <w:numId w:val="2"/>
              </w:numPr>
              <w:spacing w:after="50" w:line="268"/>
            </w:pPr>
            <w:r>
              <w:rPr>
                <w:rFonts w:ascii="Calibri" w:cs="Calibri" w:eastAsia="Calibri" w:hAnsi="Calibri"/>
                <w:color w:val="1A1A2E"/>
                <w:sz w:val="21"/>
                <w:szCs w:val="21"/>
              </w:rPr>
              <w:t xml:space="preserve">Draft — but never send or approve — a decision recommendation for human review.</w:t>
            </w:r>
          </w:p>
          <w:p>
            <w:pPr>
              <w:pStyle w:val="ListParagraph"/>
              <w:numPr>
                <w:ilvl w:val="0"/>
                <w:numId w:val="2"/>
              </w:numPr>
              <w:spacing w:after="50" w:line="268"/>
            </w:pPr>
            <w:r>
              <w:rPr>
                <w:rFonts w:ascii="Calibri" w:cs="Calibri" w:eastAsia="Calibri" w:hAnsi="Calibri"/>
                <w:color w:val="1A1A2E"/>
                <w:sz w:val="21"/>
                <w:szCs w:val="21"/>
              </w:rPr>
              <w:t xml:space="preserve">Operate under SOX, GLBA, and fair-lending (ECOA) constraints, with full auditability.</w:t>
            </w:r>
          </w:p>
          <w:p>
            <w:pPr>
              <w:spacing w:after="60" w:line="270"/>
            </w:pPr>
            <w:r>
              <w:rPr>
                <w:rFonts w:ascii="Calibri" w:cs="Calibri" w:eastAsia="Calibri" w:hAnsi="Calibri"/>
                <w:color w:val="1A1A2E"/>
                <w:sz w:val="21"/>
                <w:szCs w:val="21"/>
              </w:rPr>
              <w:t xml:space="preserve">Constraints: sub-3-second first response for officer-facing chat; policy documents change monthly; no PII may leave the bank's cloud tenant; every recommendation must be explainable to a compliance reviewer.</w:t>
            </w:r>
          </w:p>
        </w:tc>
      </w:tr>
    </w:tbl>
    <w:p>
      <w:pPr>
        <w:spacing w:after="120" w:line="276"/>
      </w:pPr>
      <w:r>
        <w:rPr>
          <w:rFonts w:ascii="Calibri" w:cs="Calibri" w:eastAsia="Calibri" w:hAnsi="Calibri"/>
          <w:color w:val="1A1A2E"/>
          <w:sz w:val="21"/>
          <w:szCs w:val="21"/>
        </w:rPr>
        <w:t xml:space="preserve">Keep Meridian in mind. When a domain introduces a concept, ask: </w:t>
      </w:r>
      <w:r>
        <w:rPr>
          <w:rFonts w:ascii="Calibri" w:cs="Calibri" w:eastAsia="Calibri" w:hAnsi="Calibri"/>
          <w:i/>
          <w:iCs/>
          <w:color w:val="1A1A2E"/>
          <w:sz w:val="21"/>
          <w:szCs w:val="21"/>
        </w:rPr>
        <w:t xml:space="preserve">how would this apply to the loan assistant, and what would go wrong if I got it subtly wrong?</w:t>
      </w:r>
      <w:r>
        <w:rPr>
          <w:rFonts w:ascii="Calibri" w:cs="Calibri" w:eastAsia="Calibri" w:hAnsi="Calibri"/>
          <w:color w:val="1A1A2E"/>
          <w:sz w:val="21"/>
          <w:szCs w:val="21"/>
        </w:rPr>
        <w:t xml:space="preserve"> That is exactly the cognitive move the exam asks for. This case maps closely to regulated-financial-services work, which is squarely within the exam's stated industries.</w:t>
      </w:r>
    </w:p>
    <w:p>
      <w:r>
        <w:br w:type="page"/>
      </w:r>
    </w:p>
    <w:p>
      <w:pPr>
        <w:pStyle w:val="Heading1"/>
        <w:spacing w:after="140" w:before="340"/>
      </w:pPr>
      <w:r>
        <w:rPr>
          <w:rFonts w:ascii="Calibri" w:cs="Calibri" w:eastAsia="Calibri" w:hAnsi="Calibri"/>
          <w:b/>
          <w:bCs/>
          <w:color w:val="6B2D5C"/>
          <w:sz w:val="32"/>
          <w:szCs w:val="32"/>
        </w:rPr>
        <w:t xml:space="preserve">Part 3 · The Seven Domains</w:t>
      </w:r>
    </w:p>
    <w:p>
      <w:pPr>
        <w:spacing w:after="80" w:line="276"/>
      </w:pPr>
      <w:r>
        <w:rPr>
          <w:rFonts w:ascii="Calibri" w:cs="Calibri" w:eastAsia="Calibri" w:hAnsi="Calibri"/>
          <w:color w:val="1A1A2E"/>
          <w:sz w:val="21"/>
          <w:szCs w:val="21"/>
        </w:rPr>
        <w:t xml:space="preserve">Each domain below follows the same structure: the official objectives verbatim, the core concepts you must be fluent in, decision heuristics the exam rewards, a worked scenario in the Meridian context, and the traps to avoid.</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1 · Solution Design &amp; Architecture — 17%</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Translate business problems into Claude-based AI solutions.</w:t>
      </w:r>
    </w:p>
    <w:p>
      <w:pPr>
        <w:pStyle w:val="ListParagraph"/>
        <w:numPr>
          <w:ilvl w:val="0"/>
          <w:numId w:val="2"/>
        </w:numPr>
        <w:spacing w:after="60" w:line="272"/>
      </w:pPr>
      <w:r>
        <w:rPr>
          <w:rFonts w:ascii="Calibri" w:cs="Calibri" w:eastAsia="Calibri" w:hAnsi="Calibri"/>
          <w:color w:val="1A1A2E"/>
          <w:sz w:val="21"/>
          <w:szCs w:val="21"/>
        </w:rPr>
        <w:t xml:space="preserve">Design end-to-end architectures (input → processing → output → feedback loops).</w:t>
      </w:r>
    </w:p>
    <w:p>
      <w:pPr>
        <w:pStyle w:val="ListParagraph"/>
        <w:numPr>
          <w:ilvl w:val="0"/>
          <w:numId w:val="2"/>
        </w:numPr>
        <w:spacing w:after="60" w:line="272"/>
      </w:pPr>
      <w:r>
        <w:rPr>
          <w:rFonts w:ascii="Calibri" w:cs="Calibri" w:eastAsia="Calibri" w:hAnsi="Calibri"/>
          <w:color w:val="1A1A2E"/>
          <w:sz w:val="21"/>
          <w:szCs w:val="21"/>
        </w:rPr>
        <w:t xml:space="preserve">Select appropriate architectural patterns (workflow, agentic, augmented LLM).</w:t>
      </w:r>
    </w:p>
    <w:p>
      <w:pPr>
        <w:pStyle w:val="ListParagraph"/>
        <w:numPr>
          <w:ilvl w:val="0"/>
          <w:numId w:val="2"/>
        </w:numPr>
        <w:spacing w:after="60" w:line="272"/>
      </w:pPr>
      <w:r>
        <w:rPr>
          <w:rFonts w:ascii="Calibri" w:cs="Calibri" w:eastAsia="Calibri" w:hAnsi="Calibri"/>
          <w:color w:val="1A1A2E"/>
          <w:sz w:val="21"/>
          <w:szCs w:val="21"/>
        </w:rPr>
        <w:t xml:space="preserve">Design multi-agent systems and orchestration strategies.</w:t>
      </w:r>
    </w:p>
    <w:p>
      <w:pPr>
        <w:pStyle w:val="ListParagraph"/>
        <w:numPr>
          <w:ilvl w:val="0"/>
          <w:numId w:val="2"/>
        </w:numPr>
        <w:spacing w:after="60" w:line="272"/>
      </w:pPr>
      <w:r>
        <w:rPr>
          <w:rFonts w:ascii="Calibri" w:cs="Calibri" w:eastAsia="Calibri" w:hAnsi="Calibri"/>
          <w:color w:val="1A1A2E"/>
          <w:sz w:val="21"/>
          <w:szCs w:val="21"/>
        </w:rPr>
        <w:t xml:space="preserve">Apply decomposition techniques for complex problem solving.</w:t>
      </w:r>
    </w:p>
    <w:p>
      <w:pPr>
        <w:pStyle w:val="ListParagraph"/>
        <w:numPr>
          <w:ilvl w:val="0"/>
          <w:numId w:val="2"/>
        </w:numPr>
        <w:spacing w:after="60" w:line="272"/>
      </w:pPr>
      <w:r>
        <w:rPr>
          <w:rFonts w:ascii="Calibri" w:cs="Calibri" w:eastAsia="Calibri" w:hAnsi="Calibri"/>
          <w:color w:val="1A1A2E"/>
          <w:sz w:val="21"/>
          <w:szCs w:val="21"/>
        </w:rPr>
        <w:t xml:space="preserve">Align solutions to business value pillars (efficiency, transformation, productivity, cost, performance SLAs).</w:t>
      </w:r>
    </w:p>
    <w:p>
      <w:pPr>
        <w:pStyle w:val="Heading3"/>
        <w:spacing w:after="70" w:before="180"/>
      </w:pPr>
      <w:r>
        <w:rPr>
          <w:rFonts w:ascii="Calibri" w:cs="Calibri" w:eastAsia="Calibri" w:hAnsi="Calibri"/>
          <w:b/>
          <w:bCs/>
          <w:color w:val="0F5257"/>
          <w:sz w:val="22"/>
          <w:szCs w:val="22"/>
        </w:rPr>
        <w:t xml:space="preserve">Core concepts to master</w:t>
      </w:r>
    </w:p>
    <w:p>
      <w:pPr>
        <w:spacing w:after="60" w:line="276"/>
      </w:pPr>
      <w:r>
        <w:rPr>
          <w:rFonts w:ascii="Calibri" w:cs="Calibri" w:eastAsia="Calibri" w:hAnsi="Calibri"/>
          <w:b/>
          <w:bCs/>
          <w:color w:val="1A1A2E"/>
          <w:sz w:val="21"/>
          <w:szCs w:val="21"/>
        </w:rPr>
        <w:t xml:space="preserve">The three canonical patterns</w:t>
      </w:r>
      <w:r>
        <w:rPr>
          <w:rFonts w:ascii="Calibri" w:cs="Calibri" w:eastAsia="Calibri" w:hAnsi="Calibri"/>
          <w:color w:val="1A1A2E"/>
          <w:sz w:val="21"/>
          <w:szCs w:val="21"/>
        </w:rPr>
        <w:t xml:space="preserve">, from simplest to most capable:</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1700"/>
        <w:gridCol w:w="3200"/>
        <w:gridCol w:w="2560"/>
        <w:gridCol w:w="1900"/>
      </w:tblGrid>
      <w:tr>
        <w:trPr>
          <w:tblHeader/>
        </w:trPr>
        <w:tc>
          <w:tcPr>
            <w:tcW w:type="dxa" w:w="17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Pattern</w:t>
            </w:r>
          </w:p>
        </w:tc>
        <w:tc>
          <w:tcPr>
            <w:tcW w:type="dxa" w:w="32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What it is</w:t>
            </w:r>
          </w:p>
        </w:tc>
        <w:tc>
          <w:tcPr>
            <w:tcW w:type="dxa" w:w="25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Use when</w:t>
            </w:r>
          </w:p>
        </w:tc>
        <w:tc>
          <w:tcPr>
            <w:tcW w:type="dxa" w:w="19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Cost of misuse</w:t>
            </w:r>
          </w:p>
        </w:tc>
      </w:tr>
      <w:tr>
        <w:tc>
          <w:tcPr>
            <w:tcW w:type="dxa" w:w="1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Augmented LLM</w:t>
            </w:r>
          </w:p>
        </w:tc>
        <w:tc>
          <w:tcPr>
            <w:tcW w:type="dxa" w:w="32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 single model call enriched with retrieval, tools, or memory. Deterministic control flow around one inference.</w:t>
            </w:r>
          </w:p>
        </w:tc>
        <w:tc>
          <w:tcPr>
            <w:tcW w:type="dxa" w:w="2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The task is a well-scoped transformation: summarize, extract, classify, answer-from-context.</w:t>
            </w:r>
          </w:p>
        </w:tc>
        <w:tc>
          <w:tcPr>
            <w:tcW w:type="dxa" w:w="19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Adding agents here wastes latency, cost, and reliability for no gain.</w:t>
            </w:r>
          </w:p>
        </w:tc>
      </w:tr>
      <w:tr>
        <w:tc>
          <w:tcPr>
            <w:tcW w:type="dxa" w:w="17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Workflow</w:t>
            </w:r>
          </w:p>
        </w:tc>
        <w:tc>
          <w:tcPr>
            <w:tcW w:type="dxa" w:w="32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LLM calls chained through predefined, code-controlled steps (prompt chaining, routing, parallelization).</w:t>
            </w:r>
          </w:p>
        </w:tc>
        <w:tc>
          <w:tcPr>
            <w:tcW w:type="dxa" w:w="25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Steps are known in advance and the path is mostly fixed; you want determinism and testability.</w:t>
            </w:r>
          </w:p>
        </w:tc>
        <w:tc>
          <w:tcPr>
            <w:tcW w:type="dxa" w:w="19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Forcing a workflow onto a genuinely open-ended task creates brittle branching.</w:t>
            </w:r>
          </w:p>
        </w:tc>
      </w:tr>
      <w:tr>
        <w:tc>
          <w:tcPr>
            <w:tcW w:type="dxa" w:w="1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Agentic</w:t>
            </w:r>
          </w:p>
        </w:tc>
        <w:tc>
          <w:tcPr>
            <w:tcW w:type="dxa" w:w="32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The model decides its own next steps and tool calls in a loop until a goal is met.</w:t>
            </w:r>
          </w:p>
        </w:tc>
        <w:tc>
          <w:tcPr>
            <w:tcW w:type="dxa" w:w="2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The path can't be known ahead of time and needs dynamic tool use and self-correction.</w:t>
            </w:r>
          </w:p>
        </w:tc>
        <w:tc>
          <w:tcPr>
            <w:tcW w:type="dxa" w:w="19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Choosing this by default is the #1 over-engineering trap — you pay in latency, cost, and debuggability.</w:t>
            </w:r>
          </w:p>
        </w:tc>
      </w:tr>
    </w:tbl>
    <w:p>
      <w:pPr>
        <w:spacing w:after="120" w:line="276"/>
      </w:pPr>
      <w:r>
        <w:rPr>
          <w:rFonts w:ascii="Calibri" w:cs="Calibri" w:eastAsia="Calibri" w:hAnsi="Calibri"/>
          <w:b/>
          <w:bCs/>
          <w:color w:val="1A1A2E"/>
          <w:sz w:val="21"/>
          <w:szCs w:val="21"/>
        </w:rPr>
        <w:t xml:space="preserve">Multi-agent systems</w:t>
      </w:r>
      <w:r>
        <w:rPr>
          <w:rFonts w:ascii="Calibri" w:cs="Calibri" w:eastAsia="Calibri" w:hAnsi="Calibri"/>
          <w:color w:val="1A1A2E"/>
          <w:sz w:val="21"/>
          <w:szCs w:val="21"/>
        </w:rPr>
        <w:t xml:space="preserve"> add orchestration on top: an orchestrator (or supervisor) decomposes a goal and delegates to specialized sub-agents (e.g., a retrieval agent, a policy-checking agent, a drafting agent), then synthesizes. Know the common topologies — orchestrator-workers, hierarchical, and sequential/pipeline — and when parallel sub-agents genuinely help (independent subtasks) versus add coordination overhead (tightly coupled steps).</w:t>
      </w:r>
    </w:p>
    <w:p>
      <w:pPr>
        <w:spacing w:after="120" w:line="276"/>
      </w:pPr>
      <w:r>
        <w:rPr>
          <w:rFonts w:ascii="Calibri" w:cs="Calibri" w:eastAsia="Calibri" w:hAnsi="Calibri"/>
          <w:b/>
          <w:bCs/>
          <w:color w:val="1A1A2E"/>
          <w:sz w:val="21"/>
          <w:szCs w:val="21"/>
        </w:rPr>
        <w:t xml:space="preserve">Decomposition</w:t>
      </w:r>
      <w:r>
        <w:rPr>
          <w:rFonts w:ascii="Calibri" w:cs="Calibri" w:eastAsia="Calibri" w:hAnsi="Calibri"/>
          <w:color w:val="1A1A2E"/>
          <w:sz w:val="21"/>
          <w:szCs w:val="21"/>
        </w:rPr>
        <w:t xml:space="preserve"> is the connective tissue: break a complex goal into subtasks, decide which are deterministic (code), which need one model call (augmented LLM), and which need autonomy (agent). The exam rewards recognizing that most of a "complex" system is ordinary software, with LLM inference at a few well-chosen points.</w:t>
      </w:r>
    </w:p>
    <w:p>
      <w:pPr>
        <w:pStyle w:val="Heading3"/>
        <w:spacing w:after="70" w:before="180"/>
      </w:pPr>
      <w:r>
        <w:rPr>
          <w:rFonts w:ascii="Calibri" w:cs="Calibri" w:eastAsia="Calibri" w:hAnsi="Calibri"/>
          <w:b/>
          <w:bCs/>
          <w:color w:val="0F5257"/>
          <w:sz w:val="22"/>
          <w:szCs w:val="22"/>
        </w:rPr>
        <w:t xml:space="preserve">Decision heuristic — pattern selection</w:t>
      </w:r>
    </w:p>
    <w:tbl>
      <w:tblPr>
        <w:tblW w:type="pct" w:w="100%"/>
        <w:tblBorders>
          <w:top w:val="single" w:color="F2EEF3" w:sz="2"/>
          <w:left w:val="single" w:color="6B2D5C" w:sz="24"/>
          <w:bottom w:val="single" w:color="F2EEF3" w:sz="2"/>
          <w:right w:val="single" w:color="F2EEF3" w:sz="2"/>
          <w:insideH w:val="none"/>
          <w:insideV w:val="none"/>
        </w:tblBorders>
      </w:tblPr>
      <w:tblGrid>
        <w:gridCol w:w="9360"/>
      </w:tblGrid>
      <w:tr>
        <w:tc>
          <w:tcPr>
            <w:tcW w:type="dxa" w:w="9360"/>
            <w:shd w:fill="F2EEF3" w:color="auto" w:val="clear"/>
            <w:tcMar>
              <w:top w:type="dxa" w:w="120"/>
              <w:left w:type="dxa" w:w="180"/>
              <w:bottom w:type="dxa" w:w="120"/>
              <w:right w:type="dxa" w:w="180"/>
            </w:tcMar>
          </w:tcPr>
          <w:p>
            <w:pPr>
              <w:spacing w:after="60"/>
            </w:pPr>
            <w:r>
              <w:rPr>
                <w:rFonts w:ascii="Calibri" w:cs="Calibri" w:eastAsia="Calibri" w:hAnsi="Calibri"/>
                <w:b/>
                <w:bCs/>
                <w:color w:val="6B2D5C"/>
                <w:sz w:val="21"/>
                <w:szCs w:val="21"/>
              </w:rPr>
              <w:t xml:space="preserve">Ask these in order. Stop at the first pattern that satisfies every constraint.</w:t>
            </w:r>
          </w:p>
          <w:p>
            <w:pPr>
              <w:spacing w:after="60" w:line="270"/>
            </w:pPr>
            <w:r>
              <w:rPr>
                <w:rFonts w:ascii="Calibri" w:cs="Calibri" w:eastAsia="Calibri" w:hAnsi="Calibri"/>
                <w:b/>
                <w:bCs/>
                <w:color w:val="1A1A2E"/>
                <w:sz w:val="21"/>
                <w:szCs w:val="21"/>
              </w:rPr>
              <w:t xml:space="preserve">1. </w:t>
            </w:r>
            <w:r>
              <w:rPr>
                <w:rFonts w:ascii="Calibri" w:cs="Calibri" w:eastAsia="Calibri" w:hAnsi="Calibri"/>
                <w:color w:val="1A1A2E"/>
                <w:sz w:val="21"/>
                <w:szCs w:val="21"/>
              </w:rPr>
              <w:t xml:space="preserve">Is the task a single well-scoped transformation? → </w:t>
            </w:r>
            <w:r>
              <w:rPr>
                <w:rFonts w:ascii="Calibri" w:cs="Calibri" w:eastAsia="Calibri" w:hAnsi="Calibri"/>
                <w:b/>
                <w:bCs/>
                <w:color w:val="1A1A2E"/>
                <w:sz w:val="21"/>
                <w:szCs w:val="21"/>
              </w:rPr>
              <w:t xml:space="preserve">Augmented LLM.</w:t>
            </w:r>
          </w:p>
          <w:p>
            <w:pPr>
              <w:spacing w:after="60" w:line="270"/>
            </w:pPr>
            <w:r>
              <w:rPr>
                <w:rFonts w:ascii="Calibri" w:cs="Calibri" w:eastAsia="Calibri" w:hAnsi="Calibri"/>
                <w:b/>
                <w:bCs/>
                <w:color w:val="1A1A2E"/>
                <w:sz w:val="21"/>
                <w:szCs w:val="21"/>
              </w:rPr>
              <w:t xml:space="preserve">2. </w:t>
            </w:r>
            <w:r>
              <w:rPr>
                <w:rFonts w:ascii="Calibri" w:cs="Calibri" w:eastAsia="Calibri" w:hAnsi="Calibri"/>
                <w:color w:val="1A1A2E"/>
                <w:sz w:val="21"/>
                <w:szCs w:val="21"/>
              </w:rPr>
              <w:t xml:space="preserve">Are the steps known in advance and mostly fixed? → </w:t>
            </w:r>
            <w:r>
              <w:rPr>
                <w:rFonts w:ascii="Calibri" w:cs="Calibri" w:eastAsia="Calibri" w:hAnsi="Calibri"/>
                <w:b/>
                <w:bCs/>
                <w:color w:val="1A1A2E"/>
                <w:sz w:val="21"/>
                <w:szCs w:val="21"/>
              </w:rPr>
              <w:t xml:space="preserve">Workflow</w:t>
            </w:r>
            <w:r>
              <w:rPr>
                <w:rFonts w:ascii="Calibri" w:cs="Calibri" w:eastAsia="Calibri" w:hAnsi="Calibri"/>
                <w:color w:val="1A1A2E"/>
                <w:sz w:val="21"/>
                <w:szCs w:val="21"/>
              </w:rPr>
              <w:t xml:space="preserve"> (chaining / routing / parallelization).</w:t>
            </w:r>
          </w:p>
          <w:p>
            <w:pPr>
              <w:spacing w:after="60" w:line="270"/>
            </w:pPr>
            <w:r>
              <w:rPr>
                <w:rFonts w:ascii="Calibri" w:cs="Calibri" w:eastAsia="Calibri" w:hAnsi="Calibri"/>
                <w:b/>
                <w:bCs/>
                <w:color w:val="1A1A2E"/>
                <w:sz w:val="21"/>
                <w:szCs w:val="21"/>
              </w:rPr>
              <w:t xml:space="preserve">3. </w:t>
            </w:r>
            <w:r>
              <w:rPr>
                <w:rFonts w:ascii="Calibri" w:cs="Calibri" w:eastAsia="Calibri" w:hAnsi="Calibri"/>
                <w:color w:val="1A1A2E"/>
                <w:sz w:val="21"/>
                <w:szCs w:val="21"/>
              </w:rPr>
              <w:t xml:space="preserve">Does the path genuinely vary per input and need dynamic tool use? → </w:t>
            </w:r>
            <w:r>
              <w:rPr>
                <w:rFonts w:ascii="Calibri" w:cs="Calibri" w:eastAsia="Calibri" w:hAnsi="Calibri"/>
                <w:b/>
                <w:bCs/>
                <w:color w:val="1A1A2E"/>
                <w:sz w:val="21"/>
                <w:szCs w:val="21"/>
              </w:rPr>
              <w:t xml:space="preserve">Agentic.</w:t>
            </w:r>
          </w:p>
          <w:p>
            <w:pPr>
              <w:spacing w:after="60" w:line="270"/>
            </w:pPr>
            <w:r>
              <w:rPr>
                <w:rFonts w:ascii="Calibri" w:cs="Calibri" w:eastAsia="Calibri" w:hAnsi="Calibri"/>
                <w:b/>
                <w:bCs/>
                <w:color w:val="1A1A2E"/>
                <w:sz w:val="21"/>
                <w:szCs w:val="21"/>
              </w:rPr>
              <w:t xml:space="preserve">4. </w:t>
            </w:r>
            <w:r>
              <w:rPr>
                <w:rFonts w:ascii="Calibri" w:cs="Calibri" w:eastAsia="Calibri" w:hAnsi="Calibri"/>
                <w:color w:val="1A1A2E"/>
                <w:sz w:val="21"/>
                <w:szCs w:val="21"/>
              </w:rPr>
              <w:t xml:space="preserve">Only if a single agent's tool set or context becomes unwieldy → </w:t>
            </w:r>
            <w:r>
              <w:rPr>
                <w:rFonts w:ascii="Calibri" w:cs="Calibri" w:eastAsia="Calibri" w:hAnsi="Calibri"/>
                <w:b/>
                <w:bCs/>
                <w:color w:val="1A1A2E"/>
                <w:sz w:val="21"/>
                <w:szCs w:val="21"/>
              </w:rPr>
              <w:t xml:space="preserve">multi-agent decomposition.</w:t>
            </w:r>
          </w:p>
          <w:p>
            <w:pPr>
              <w:spacing w:after="60" w:line="270"/>
            </w:pPr>
            <w:r>
              <w:rPr>
                <w:rFonts w:ascii="Calibri" w:cs="Calibri" w:eastAsia="Calibri" w:hAnsi="Calibri"/>
                <w:i/>
                <w:iCs/>
                <w:color w:val="1A1A2E"/>
                <w:sz w:val="21"/>
                <w:szCs w:val="21"/>
              </w:rPr>
              <w:t xml:space="preserve">The named constraints to weigh at each step: determinism, data freshness, autonomy, and the SLA.</w:t>
            </w:r>
          </w:p>
        </w:tc>
      </w:tr>
    </w:tbl>
    <w:p>
      <w:pPr>
        <w:pStyle w:val="Heading3"/>
        <w:spacing w:after="70" w:before="180"/>
      </w:pPr>
      <w:r>
        <w:rPr>
          <w:rFonts w:ascii="Calibri" w:cs="Calibri" w:eastAsia="Calibri" w:hAnsi="Calibri"/>
          <w:b/>
          <w:bCs/>
          <w:color w:val="0F5257"/>
          <w:sz w:val="22"/>
          <w:szCs w:val="22"/>
        </w:rPr>
        <w:t xml:space="preserve">Worked scenario — Meridian</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Loan officers ask free-form questions about an application, and the system must answer from that applicant's documents and bank policy. A product manager proposes a multi-agent system with separate agents for reading, reasoning, and drafting. What is the strongest architectural critique?</w:t>
      </w:r>
    </w:p>
    <w:p>
      <w:pPr>
        <w:spacing w:after="120" w:line="276"/>
      </w:pPr>
      <w:r>
        <w:rPr>
          <w:rFonts w:ascii="Calibri" w:cs="Calibri" w:eastAsia="Calibri" w:hAnsi="Calibri"/>
          <w:b/>
          <w:bCs/>
          <w:color w:val="1A1A2E"/>
          <w:sz w:val="21"/>
          <w:szCs w:val="21"/>
        </w:rPr>
        <w:t xml:space="preserve">A: </w:t>
      </w:r>
      <w:r>
        <w:rPr>
          <w:rFonts w:ascii="Calibri" w:cs="Calibri" w:eastAsia="Calibri" w:hAnsi="Calibri"/>
          <w:color w:val="1A1A2E"/>
          <w:sz w:val="21"/>
          <w:szCs w:val="21"/>
        </w:rPr>
        <w:t xml:space="preserve">The core task — answer an officer's question from retrieved documents — is a retrieval-augmented single-model transformation. It needs an </w:t>
      </w:r>
      <w:r>
        <w:rPr>
          <w:rFonts w:ascii="Calibri" w:cs="Calibri" w:eastAsia="Calibri" w:hAnsi="Calibri"/>
          <w:b/>
          <w:bCs/>
          <w:color w:val="1A1A2E"/>
          <w:sz w:val="21"/>
          <w:szCs w:val="21"/>
        </w:rPr>
        <w:t xml:space="preserve">augmented LLM with RAG</w:t>
      </w:r>
      <w:r>
        <w:rPr>
          <w:rFonts w:ascii="Calibri" w:cs="Calibri" w:eastAsia="Calibri" w:hAnsi="Calibri"/>
          <w:color w:val="1A1A2E"/>
          <w:sz w:val="21"/>
          <w:szCs w:val="21"/>
        </w:rPr>
        <w:t xml:space="preserve">, not three coordinating agents. Multi-agent orchestration adds latency (a problem given the sub-3-second SLA), cost, and failure surface with no benefit for a task whose steps are known. Reserve agents for the parts that are genuinely open-ended — and here, almost none are.</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b/>
          <w:bCs/>
          <w:color w:val="8A5A00"/>
          <w:sz w:val="21"/>
          <w:szCs w:val="21"/>
        </w:rPr>
        <w:t xml:space="preserve">Picking the technology before the problem.</w:t>
      </w:r>
      <w:r>
        <w:rPr>
          <w:rFonts w:ascii="Calibri" w:cs="Calibri" w:eastAsia="Calibri" w:hAnsi="Calibri"/>
          <w:color w:val="1A1A2E"/>
          <w:sz w:val="21"/>
          <w:szCs w:val="21"/>
        </w:rPr>
        <w:t xml:space="preserve"> Diagnose the dominant constraint first; then choose the simplest pattern.</w:t>
      </w:r>
    </w:p>
    <w:p>
      <w:pPr>
        <w:pStyle w:val="ListParagraph"/>
        <w:numPr>
          <w:ilvl w:val="0"/>
          <w:numId w:val="2"/>
        </w:numPr>
        <w:spacing w:after="60" w:line="272"/>
      </w:pPr>
      <w:r>
        <w:rPr>
          <w:rFonts w:ascii="Calibri" w:cs="Calibri" w:eastAsia="Calibri" w:hAnsi="Calibri"/>
          <w:color w:val="8A5A00"/>
          <w:sz w:val="21"/>
          <w:szCs w:val="21"/>
        </w:rPr>
        <w:t xml:space="preserve">Defaulting to multi-agent or full agentic </w:t>
      </w:r>
      <w:r>
        <w:rPr>
          <w:rFonts w:ascii="Calibri" w:cs="Calibri" w:eastAsia="Calibri" w:hAnsi="Calibri"/>
          <w:color w:val="1A1A2E"/>
          <w:sz w:val="21"/>
          <w:szCs w:val="21"/>
        </w:rPr>
        <w:t xml:space="preserve">because it sounds advanced. On the exam, the sophisticated-sounding option is frequently the distractor.</w:t>
      </w:r>
    </w:p>
    <w:p>
      <w:pPr>
        <w:pStyle w:val="ListParagraph"/>
        <w:numPr>
          <w:ilvl w:val="0"/>
          <w:numId w:val="2"/>
        </w:numPr>
        <w:spacing w:after="60" w:line="272"/>
      </w:pPr>
      <w:r>
        <w:rPr>
          <w:rFonts w:ascii="Calibri" w:cs="Calibri" w:eastAsia="Calibri" w:hAnsi="Calibri"/>
          <w:b/>
          <w:bCs/>
          <w:color w:val="8A5A00"/>
          <w:sz w:val="21"/>
          <w:szCs w:val="21"/>
        </w:rPr>
        <w:t xml:space="preserve">Forgetting the feedback loop.</w:t>
      </w:r>
      <w:r>
        <w:rPr>
          <w:rFonts w:ascii="Calibri" w:cs="Calibri" w:eastAsia="Calibri" w:hAnsi="Calibri"/>
          <w:color w:val="1A1A2E"/>
          <w:sz w:val="21"/>
          <w:szCs w:val="21"/>
        </w:rPr>
        <w:t xml:space="preserve"> "End-to-end" explicitly includes the loop back from output to improvement — an architecture with no monitoring or iteration path is incomplete.</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2 · Claude Models, Prompting &amp; Context Engineering — 13%</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Select appropriate Claude models based on trade-offs.</w:t>
      </w:r>
    </w:p>
    <w:p>
      <w:pPr>
        <w:pStyle w:val="ListParagraph"/>
        <w:numPr>
          <w:ilvl w:val="0"/>
          <w:numId w:val="2"/>
        </w:numPr>
        <w:spacing w:after="60" w:line="272"/>
      </w:pPr>
      <w:r>
        <w:rPr>
          <w:rFonts w:ascii="Calibri" w:cs="Calibri" w:eastAsia="Calibri" w:hAnsi="Calibri"/>
          <w:color w:val="1A1A2E"/>
          <w:sz w:val="21"/>
          <w:szCs w:val="21"/>
        </w:rPr>
        <w:t xml:space="preserve">Design system prompts, templates, and guardrails.</w:t>
      </w:r>
    </w:p>
    <w:p>
      <w:pPr>
        <w:pStyle w:val="ListParagraph"/>
        <w:numPr>
          <w:ilvl w:val="0"/>
          <w:numId w:val="2"/>
        </w:numPr>
        <w:spacing w:after="60" w:line="272"/>
      </w:pPr>
      <w:r>
        <w:rPr>
          <w:rFonts w:ascii="Calibri" w:cs="Calibri" w:eastAsia="Calibri" w:hAnsi="Calibri"/>
          <w:color w:val="1A1A2E"/>
          <w:sz w:val="21"/>
          <w:szCs w:val="21"/>
        </w:rPr>
        <w:t xml:space="preserve">Apply prompt engineering techniques (zero-shot, few-shot, chain-of-thought).</w:t>
      </w:r>
    </w:p>
    <w:p>
      <w:pPr>
        <w:pStyle w:val="ListParagraph"/>
        <w:numPr>
          <w:ilvl w:val="0"/>
          <w:numId w:val="2"/>
        </w:numPr>
        <w:spacing w:after="60" w:line="272"/>
      </w:pPr>
      <w:r>
        <w:rPr>
          <w:rFonts w:ascii="Calibri" w:cs="Calibri" w:eastAsia="Calibri" w:hAnsi="Calibri"/>
          <w:color w:val="1A1A2E"/>
          <w:sz w:val="21"/>
          <w:szCs w:val="21"/>
        </w:rPr>
        <w:t xml:space="preserve">Optimize context windows and manage token usage.</w:t>
      </w:r>
    </w:p>
    <w:p>
      <w:pPr>
        <w:pStyle w:val="ListParagraph"/>
        <w:numPr>
          <w:ilvl w:val="0"/>
          <w:numId w:val="2"/>
        </w:numPr>
        <w:spacing w:after="60" w:line="272"/>
      </w:pPr>
      <w:r>
        <w:rPr>
          <w:rFonts w:ascii="Calibri" w:cs="Calibri" w:eastAsia="Calibri" w:hAnsi="Calibri"/>
          <w:color w:val="1A1A2E"/>
          <w:sz w:val="21"/>
          <w:szCs w:val="21"/>
        </w:rPr>
        <w:t xml:space="preserve">Implement prompt reuse strategies (caching, modular prompts, Skills).</w:t>
      </w:r>
    </w:p>
    <w:p>
      <w:pPr>
        <w:pStyle w:val="Heading3"/>
        <w:spacing w:after="70" w:before="180"/>
      </w:pPr>
      <w:r>
        <w:rPr>
          <w:rFonts w:ascii="Calibri" w:cs="Calibri" w:eastAsia="Calibri" w:hAnsi="Calibri"/>
          <w:b/>
          <w:bCs/>
          <w:color w:val="0F5257"/>
          <w:sz w:val="22"/>
          <w:szCs w:val="22"/>
        </w:rPr>
        <w:t xml:space="preserve">Core concepts to master</w:t>
      </w:r>
    </w:p>
    <w:p>
      <w:pPr>
        <w:spacing w:after="120" w:line="276"/>
      </w:pPr>
      <w:r>
        <w:rPr>
          <w:rFonts w:ascii="Calibri" w:cs="Calibri" w:eastAsia="Calibri" w:hAnsi="Calibri"/>
          <w:b/>
          <w:bCs/>
          <w:color w:val="1A1A2E"/>
          <w:sz w:val="21"/>
          <w:szCs w:val="21"/>
        </w:rPr>
        <w:t xml:space="preserve">Model selection as a trade-off, not a ranking.</w:t>
      </w:r>
      <w:r>
        <w:rPr>
          <w:rFonts w:ascii="Calibri" w:cs="Calibri" w:eastAsia="Calibri" w:hAnsi="Calibri"/>
          <w:color w:val="1A1A2E"/>
          <w:sz w:val="21"/>
          <w:szCs w:val="21"/>
        </w:rPr>
        <w:t xml:space="preserve"> Anthropic's line-up spans a capability/latency/cost spectrum — broadly, a fast/cheap tier for high-volume simple tasks, a balanced tier for most production work, and a most-capable tier for the hardest reasoning. The exam tests whether you match the tier to the task's difficulty and the SLA — not whether you always reach for the biggest model. Know the axes: reasoning depth, latency, cost per token, and context-window needs. Verify current model names and pricing on Anthropic's docs before exam day, since the line-up evolves.</w:t>
      </w:r>
    </w:p>
    <w:p>
      <w:pPr>
        <w:spacing w:after="120" w:line="276"/>
      </w:pPr>
      <w:r>
        <w:rPr>
          <w:rFonts w:ascii="Calibri" w:cs="Calibri" w:eastAsia="Calibri" w:hAnsi="Calibri"/>
          <w:b/>
          <w:bCs/>
          <w:color w:val="1A1A2E"/>
          <w:sz w:val="21"/>
          <w:szCs w:val="21"/>
        </w:rPr>
        <w:t xml:space="preserve">Prompting techniques</w:t>
      </w:r>
      <w:r>
        <w:rPr>
          <w:rFonts w:ascii="Calibri" w:cs="Calibri" w:eastAsia="Calibri" w:hAnsi="Calibri"/>
          <w:color w:val="1A1A2E"/>
          <w:sz w:val="21"/>
          <w:szCs w:val="21"/>
        </w:rPr>
        <w:t xml:space="preserve">: zero-shot (instruction only), few-shot (worked examples to shape format and behavior), and chain-of-thought (eliciting explicit reasoning steps for accuracy on multi-step problems). Know the cost: CoT and few-shot both add tokens and latency — justified when they raise accuracy on hard tasks, wasteful on trivial ones.</w:t>
      </w:r>
    </w:p>
    <w:p>
      <w:pPr>
        <w:spacing w:after="120" w:line="276"/>
      </w:pPr>
      <w:r>
        <w:rPr>
          <w:rFonts w:ascii="Calibri" w:cs="Calibri" w:eastAsia="Calibri" w:hAnsi="Calibri"/>
          <w:b/>
          <w:bCs/>
          <w:color w:val="1A1A2E"/>
          <w:sz w:val="21"/>
          <w:szCs w:val="21"/>
        </w:rPr>
        <w:t xml:space="preserve">System prompts and guardrails</w:t>
      </w:r>
      <w:r>
        <w:rPr>
          <w:rFonts w:ascii="Calibri" w:cs="Calibri" w:eastAsia="Calibri" w:hAnsi="Calibri"/>
          <w:color w:val="1A1A2E"/>
          <w:sz w:val="21"/>
          <w:szCs w:val="21"/>
        </w:rPr>
        <w:t xml:space="preserve">: the system prompt sets role, constraints, tone, and refusal behavior. Guardrails are the instructions and structural controls that keep output inside policy — e.g., "never state an approval decision; only draft a recommendation for human review." Templates make prompts modular and reusable.</w:t>
      </w:r>
    </w:p>
    <w:p>
      <w:pPr>
        <w:spacing w:after="120" w:line="276"/>
      </w:pPr>
      <w:r>
        <w:rPr>
          <w:rFonts w:ascii="Calibri" w:cs="Calibri" w:eastAsia="Calibri" w:hAnsi="Calibri"/>
          <w:b/>
          <w:bCs/>
          <w:color w:val="1A1A2E"/>
          <w:sz w:val="21"/>
          <w:szCs w:val="21"/>
        </w:rPr>
        <w:t xml:space="preserve">Context engineering</w:t>
      </w:r>
      <w:r>
        <w:rPr>
          <w:rFonts w:ascii="Calibri" w:cs="Calibri" w:eastAsia="Calibri" w:hAnsi="Calibri"/>
          <w:color w:val="1A1A2E"/>
          <w:sz w:val="21"/>
          <w:szCs w:val="21"/>
        </w:rPr>
        <w:t xml:space="preserve">: treat the context window as a scarce, curated resource. Put the right information in, in the right order, and no more. This is where prompt caching lives.</w:t>
      </w:r>
    </w:p>
    <w:p>
      <w:pPr>
        <w:pStyle w:val="Heading3"/>
        <w:spacing w:after="70" w:before="180"/>
      </w:pPr>
      <w:r>
        <w:rPr>
          <w:rFonts w:ascii="Calibri" w:cs="Calibri" w:eastAsia="Calibri" w:hAnsi="Calibri"/>
          <w:b/>
          <w:bCs/>
          <w:color w:val="0F5257"/>
          <w:sz w:val="22"/>
          <w:szCs w:val="22"/>
        </w:rPr>
        <w:t xml:space="preserve">Prompt caching — the single most-tested optimization</w:t>
      </w:r>
    </w:p>
    <w:tbl>
      <w:tblPr>
        <w:tblW w:type="pct" w:w="100%"/>
        <w:tblBorders>
          <w:top w:val="single" w:color="E8F0F0" w:sz="2"/>
          <w:left w:val="single" w:color="0F5257" w:sz="24"/>
          <w:bottom w:val="single" w:color="E8F0F0" w:sz="2"/>
          <w:right w:val="single" w:color="E8F0F0" w:sz="2"/>
          <w:insideH w:val="none"/>
          <w:insideV w:val="none"/>
        </w:tblBorders>
      </w:tblPr>
      <w:tblGrid>
        <w:gridCol w:w="9360"/>
      </w:tblGrid>
      <w:tr>
        <w:tc>
          <w:tcPr>
            <w:tcW w:type="dxa" w:w="9360"/>
            <w:shd w:fill="E8F0F0" w:color="auto" w:val="clear"/>
            <w:tcMar>
              <w:top w:type="dxa" w:w="120"/>
              <w:left w:type="dxa" w:w="180"/>
              <w:bottom w:type="dxa" w:w="120"/>
              <w:right w:type="dxa" w:w="180"/>
            </w:tcMar>
          </w:tcPr>
          <w:p>
            <w:pPr>
              <w:spacing w:after="60"/>
            </w:pPr>
            <w:r>
              <w:rPr>
                <w:rFonts w:ascii="Calibri" w:cs="Calibri" w:eastAsia="Calibri" w:hAnsi="Calibri"/>
                <w:b/>
                <w:bCs/>
                <w:color w:val="0F5257"/>
                <w:sz w:val="21"/>
                <w:szCs w:val="21"/>
              </w:rPr>
              <w:t xml:space="preserve">Know this cold</w:t>
            </w:r>
          </w:p>
          <w:p>
            <w:pPr>
              <w:spacing w:after="60" w:line="270"/>
            </w:pPr>
            <w:r>
              <w:rPr>
                <w:rFonts w:ascii="Calibri" w:cs="Calibri" w:eastAsia="Calibri" w:hAnsi="Calibri"/>
                <w:color w:val="1A1A2E"/>
                <w:sz w:val="21"/>
                <w:szCs w:val="21"/>
              </w:rPr>
              <w:t xml:space="preserve">When a large, </w:t>
            </w:r>
            <w:r>
              <w:rPr>
                <w:rFonts w:ascii="Calibri" w:cs="Calibri" w:eastAsia="Calibri" w:hAnsi="Calibri"/>
                <w:i/>
                <w:iCs/>
                <w:color w:val="1A1A2E"/>
                <w:sz w:val="21"/>
                <w:szCs w:val="21"/>
              </w:rPr>
              <w:t xml:space="preserve">static</w:t>
            </w:r>
            <w:r>
              <w:rPr>
                <w:rFonts w:ascii="Calibri" w:cs="Calibri" w:eastAsia="Calibri" w:hAnsi="Calibri"/>
                <w:color w:val="1A1A2E"/>
                <w:sz w:val="21"/>
                <w:szCs w:val="21"/>
              </w:rPr>
              <w:t xml:space="preserve"> prefix (system prompt + policy document + fixed instructions) repeats across many requests, place that stable content </w:t>
            </w:r>
            <w:r>
              <w:rPr>
                <w:rFonts w:ascii="Calibri" w:cs="Calibri" w:eastAsia="Calibri" w:hAnsi="Calibri"/>
                <w:b/>
                <w:bCs/>
                <w:color w:val="1A1A2E"/>
                <w:sz w:val="21"/>
                <w:szCs w:val="21"/>
              </w:rPr>
              <w:t xml:space="preserve">first</w:t>
            </w:r>
            <w:r>
              <w:rPr>
                <w:rFonts w:ascii="Calibri" w:cs="Calibri" w:eastAsia="Calibri" w:hAnsi="Calibri"/>
                <w:color w:val="1A1A2E"/>
                <w:sz w:val="21"/>
                <w:szCs w:val="21"/>
              </w:rPr>
              <w:t xml:space="preserve">, before the short dynamic user message, and enable </w:t>
            </w:r>
            <w:r>
              <w:rPr>
                <w:rFonts w:ascii="Calibri" w:cs="Calibri" w:eastAsia="Calibri" w:hAnsi="Calibri"/>
                <w:b/>
                <w:bCs/>
                <w:color w:val="1A1A2E"/>
                <w:sz w:val="21"/>
                <w:szCs w:val="21"/>
              </w:rPr>
              <w:t xml:space="preserve">prompt caching</w:t>
            </w:r>
            <w:r>
              <w:rPr>
                <w:rFonts w:ascii="Calibri" w:cs="Calibri" w:eastAsia="Calibri" w:hAnsi="Calibri"/>
                <w:color w:val="1A1A2E"/>
                <w:sz w:val="21"/>
                <w:szCs w:val="21"/>
              </w:rPr>
              <w:t xml:space="preserve">. The repeated prefix is then reused across calls, cutting </w:t>
            </w:r>
            <w:r>
              <w:rPr>
                <w:rFonts w:ascii="Calibri" w:cs="Calibri" w:eastAsia="Calibri" w:hAnsi="Calibri"/>
                <w:i/>
                <w:iCs/>
                <w:color w:val="1A1A2E"/>
                <w:sz w:val="21"/>
                <w:szCs w:val="21"/>
              </w:rPr>
              <w:t xml:space="preserve">both</w:t>
            </w:r>
            <w:r>
              <w:rPr>
                <w:rFonts w:ascii="Calibri" w:cs="Calibri" w:eastAsia="Calibri" w:hAnsi="Calibri"/>
                <w:color w:val="1A1A2E"/>
                <w:sz w:val="21"/>
                <w:szCs w:val="21"/>
              </w:rPr>
              <w:t xml:space="preserve"> time-to-first-token and per-request cost — without discarding any required context.</w:t>
            </w:r>
          </w:p>
          <w:p>
            <w:pPr>
              <w:spacing w:after="60" w:line="270"/>
            </w:pPr>
            <w:r>
              <w:rPr>
                <w:rFonts w:ascii="Calibri" w:cs="Calibri" w:eastAsia="Calibri" w:hAnsi="Calibri"/>
                <w:color w:val="1A1A2E"/>
                <w:sz w:val="21"/>
                <w:szCs w:val="21"/>
              </w:rPr>
              <w:t xml:space="preserve">Why the alternatives are wrong: truncating the policy drops needed content; switching to the smallest model blindly risks quality; moving the policy into a few-shot block does </w:t>
            </w:r>
            <w:r>
              <w:rPr>
                <w:rFonts w:ascii="Calibri" w:cs="Calibri" w:eastAsia="Calibri" w:hAnsi="Calibri"/>
                <w:i/>
                <w:iCs/>
                <w:color w:val="1A1A2E"/>
                <w:sz w:val="21"/>
                <w:szCs w:val="21"/>
              </w:rPr>
              <w:t xml:space="preserve">not</w:t>
            </w:r>
            <w:r>
              <w:rPr>
                <w:rFonts w:ascii="Calibri" w:cs="Calibri" w:eastAsia="Calibri" w:hAnsi="Calibri"/>
                <w:color w:val="1A1A2E"/>
                <w:sz w:val="21"/>
                <w:szCs w:val="21"/>
              </w:rPr>
              <w:t xml:space="preserve"> create a cacheable, reusable prefix.</w:t>
            </w:r>
          </w:p>
        </w:tc>
      </w:tr>
    </w:tbl>
    <w:p>
      <w:pPr>
        <w:pStyle w:val="Heading3"/>
        <w:spacing w:after="70" w:before="180"/>
      </w:pPr>
      <w:r>
        <w:rPr>
          <w:rFonts w:ascii="Calibri" w:cs="Calibri" w:eastAsia="Calibri" w:hAnsi="Calibri"/>
          <w:b/>
          <w:bCs/>
          <w:color w:val="0F5257"/>
          <w:sz w:val="22"/>
          <w:szCs w:val="22"/>
        </w:rPr>
        <w:t xml:space="preserve">Worked scenario — Meridian (official Sample 2, adapted)</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The assistant sends the same 8,000-token system prompt and policy document on every request, followed by a short, varying officer question. Both latency and cost are concerns. Which optimization most directly addresses both?</w:t>
      </w:r>
    </w:p>
    <w:p>
      <w:pPr>
        <w:spacing w:after="120" w:line="276"/>
      </w:pPr>
      <w:r>
        <w:rPr>
          <w:rFonts w:ascii="Calibri" w:cs="Calibri" w:eastAsia="Calibri" w:hAnsi="Calibri"/>
          <w:b/>
          <w:bCs/>
          <w:color w:val="1A1A2E"/>
          <w:sz w:val="21"/>
          <w:szCs w:val="21"/>
        </w:rPr>
        <w:t xml:space="preserve">A: </w:t>
      </w:r>
      <w:r>
        <w:rPr>
          <w:rFonts w:ascii="Calibri" w:cs="Calibri" w:eastAsia="Calibri" w:hAnsi="Calibri"/>
          <w:color w:val="1A1A2E"/>
          <w:sz w:val="21"/>
          <w:szCs w:val="21"/>
        </w:rPr>
        <w:t xml:space="preserve">Place the static system prompt and policy </w:t>
      </w:r>
      <w:r>
        <w:rPr>
          <w:rFonts w:ascii="Calibri" w:cs="Calibri" w:eastAsia="Calibri" w:hAnsi="Calibri"/>
          <w:i/>
          <w:iCs/>
          <w:color w:val="1A1A2E"/>
          <w:sz w:val="21"/>
          <w:szCs w:val="21"/>
        </w:rPr>
        <w:t xml:space="preserve">before</w:t>
      </w:r>
      <w:r>
        <w:rPr>
          <w:rFonts w:ascii="Calibri" w:cs="Calibri" w:eastAsia="Calibri" w:hAnsi="Calibri"/>
          <w:color w:val="1A1A2E"/>
          <w:sz w:val="21"/>
          <w:szCs w:val="21"/>
        </w:rPr>
        <w:t xml:space="preserve"> the dynamic content and enable </w:t>
      </w:r>
      <w:r>
        <w:rPr>
          <w:rFonts w:ascii="Calibri" w:cs="Calibri" w:eastAsia="Calibri" w:hAnsi="Calibri"/>
          <w:b/>
          <w:bCs/>
          <w:color w:val="1A1A2E"/>
          <w:sz w:val="21"/>
          <w:szCs w:val="21"/>
        </w:rPr>
        <w:t xml:space="preserve">prompt caching.</w:t>
      </w:r>
      <w:r>
        <w:rPr>
          <w:rFonts w:ascii="Calibri" w:cs="Calibri" w:eastAsia="Calibri" w:hAnsi="Calibri"/>
          <w:color w:val="1A1A2E"/>
          <w:sz w:val="21"/>
          <w:szCs w:val="21"/>
        </w:rPr>
        <w:t xml:space="preserve"> Ordering stable content first lets the repeated prefix be reused, reducing time-to-first-token and per-request cost while keeping the full policy in context. This is the officially correct answer to Sample Question 2.</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b/>
          <w:bCs/>
          <w:color w:val="8A5A00"/>
          <w:sz w:val="21"/>
          <w:szCs w:val="21"/>
        </w:rPr>
        <w:t xml:space="preserve">Cutting cost by truncating or downsizing blindly.</w:t>
      </w:r>
      <w:r>
        <w:rPr>
          <w:rFonts w:ascii="Calibri" w:cs="Calibri" w:eastAsia="Calibri" w:hAnsi="Calibri"/>
          <w:color w:val="1A1A2E"/>
          <w:sz w:val="21"/>
          <w:szCs w:val="21"/>
        </w:rPr>
        <w:t xml:space="preserve"> Reach for caching before truncation when a large prefix repeats.</w:t>
      </w:r>
    </w:p>
    <w:p>
      <w:pPr>
        <w:pStyle w:val="ListParagraph"/>
        <w:numPr>
          <w:ilvl w:val="0"/>
          <w:numId w:val="2"/>
        </w:numPr>
        <w:spacing w:after="60" w:line="272"/>
      </w:pPr>
      <w:r>
        <w:rPr>
          <w:rFonts w:ascii="Calibri" w:cs="Calibri" w:eastAsia="Calibri" w:hAnsi="Calibri"/>
          <w:b/>
          <w:bCs/>
          <w:color w:val="8A5A00"/>
          <w:sz w:val="21"/>
          <w:szCs w:val="21"/>
        </w:rPr>
        <w:t xml:space="preserve">Assuming bigger = better.</w:t>
      </w:r>
      <w:r>
        <w:rPr>
          <w:rFonts w:ascii="Calibri" w:cs="Calibri" w:eastAsia="Calibri" w:hAnsi="Calibri"/>
          <w:color w:val="1A1A2E"/>
          <w:sz w:val="21"/>
          <w:szCs w:val="21"/>
        </w:rPr>
        <w:t xml:space="preserve"> Model selection is task-fit, not a leaderboard.</w:t>
      </w:r>
    </w:p>
    <w:p>
      <w:pPr>
        <w:pStyle w:val="ListParagraph"/>
        <w:numPr>
          <w:ilvl w:val="0"/>
          <w:numId w:val="2"/>
        </w:numPr>
        <w:spacing w:after="60" w:line="272"/>
      </w:pPr>
      <w:r>
        <w:rPr>
          <w:rFonts w:ascii="Calibri" w:cs="Calibri" w:eastAsia="Calibri" w:hAnsi="Calibri"/>
          <w:color w:val="8A5A00"/>
          <w:sz w:val="21"/>
          <w:szCs w:val="21"/>
        </w:rPr>
        <w:t xml:space="preserve">Adding chain-of-thought everywhere.</w:t>
      </w:r>
      <w:r>
        <w:rPr>
          <w:rFonts w:ascii="Calibri" w:cs="Calibri" w:eastAsia="Calibri" w:hAnsi="Calibri"/>
          <w:color w:val="1A1A2E"/>
          <w:sz w:val="21"/>
          <w:szCs w:val="21"/>
        </w:rPr>
        <w:t xml:space="preserve"> It costs tokens and latency; use it where it demonstrably lifts accuracy.</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3 · Integration — 19%  (Heaviest)</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Evaluate tool/agent configuration for capability bloat.</w:t>
      </w:r>
    </w:p>
    <w:p>
      <w:pPr>
        <w:pStyle w:val="ListParagraph"/>
        <w:numPr>
          <w:ilvl w:val="0"/>
          <w:numId w:val="2"/>
        </w:numPr>
        <w:spacing w:after="60" w:line="272"/>
      </w:pPr>
      <w:r>
        <w:rPr>
          <w:rFonts w:ascii="Calibri" w:cs="Calibri" w:eastAsia="Calibri" w:hAnsi="Calibri"/>
          <w:color w:val="1A1A2E"/>
          <w:sz w:val="21"/>
          <w:szCs w:val="21"/>
        </w:rPr>
        <w:t xml:space="preserve">Analyze authentication and authorization requirements to identify security gaps.</w:t>
      </w:r>
    </w:p>
    <w:p>
      <w:pPr>
        <w:pStyle w:val="ListParagraph"/>
        <w:numPr>
          <w:ilvl w:val="0"/>
          <w:numId w:val="2"/>
        </w:numPr>
        <w:spacing w:after="60" w:line="272"/>
      </w:pPr>
      <w:r>
        <w:rPr>
          <w:rFonts w:ascii="Calibri" w:cs="Calibri" w:eastAsia="Calibri" w:hAnsi="Calibri"/>
          <w:color w:val="1A1A2E"/>
          <w:sz w:val="21"/>
          <w:szCs w:val="21"/>
        </w:rPr>
        <w:t xml:space="preserve">Evaluate accuracy-latency trade-offs and justify configuration decisions.</w:t>
      </w:r>
    </w:p>
    <w:p>
      <w:pPr>
        <w:pStyle w:val="ListParagraph"/>
        <w:numPr>
          <w:ilvl w:val="0"/>
          <w:numId w:val="2"/>
        </w:numPr>
        <w:spacing w:after="60" w:line="272"/>
      </w:pPr>
      <w:r>
        <w:rPr>
          <w:rFonts w:ascii="Calibri" w:cs="Calibri" w:eastAsia="Calibri" w:hAnsi="Calibri"/>
          <w:color w:val="1A1A2E"/>
          <w:sz w:val="21"/>
          <w:szCs w:val="21"/>
        </w:rPr>
        <w:t xml:space="preserve">Analyze observability challenges and select monitoring strategies at scale.</w:t>
      </w:r>
    </w:p>
    <w:p>
      <w:pPr>
        <w:pStyle w:val="ListParagraph"/>
        <w:numPr>
          <w:ilvl w:val="0"/>
          <w:numId w:val="2"/>
        </w:numPr>
        <w:spacing w:after="60" w:line="272"/>
      </w:pPr>
      <w:r>
        <w:rPr>
          <w:rFonts w:ascii="Calibri" w:cs="Calibri" w:eastAsia="Calibri" w:hAnsi="Calibri"/>
          <w:color w:val="1A1A2E"/>
          <w:sz w:val="21"/>
          <w:szCs w:val="21"/>
        </w:rPr>
        <w:t xml:space="preserve">Design a RAG pipeline with appropriate chunking and indexing strategies.</w:t>
      </w:r>
    </w:p>
    <w:p>
      <w:pPr>
        <w:pStyle w:val="ListParagraph"/>
        <w:numPr>
          <w:ilvl w:val="0"/>
          <w:numId w:val="2"/>
        </w:numPr>
        <w:spacing w:after="60" w:line="272"/>
      </w:pPr>
      <w:r>
        <w:rPr>
          <w:rFonts w:ascii="Calibri" w:cs="Calibri" w:eastAsia="Calibri" w:hAnsi="Calibri"/>
          <w:color w:val="1A1A2E"/>
          <w:sz w:val="21"/>
          <w:szCs w:val="21"/>
        </w:rPr>
        <w:t xml:space="preserve">Apply retrieval strategies matched to data shape and query pattern.</w:t>
      </w:r>
    </w:p>
    <w:p>
      <w:pPr>
        <w:pStyle w:val="ListParagraph"/>
        <w:numPr>
          <w:ilvl w:val="0"/>
          <w:numId w:val="2"/>
        </w:numPr>
        <w:spacing w:after="60" w:line="272"/>
      </w:pPr>
      <w:r>
        <w:rPr>
          <w:rFonts w:ascii="Calibri" w:cs="Calibri" w:eastAsia="Calibri" w:hAnsi="Calibri"/>
          <w:color w:val="1A1A2E"/>
          <w:sz w:val="21"/>
          <w:szCs w:val="21"/>
        </w:rPr>
        <w:t xml:space="preserve">Evaluate connection protocols and select the appropriate integration mechanism (MCP, API/CLI, agent-to-agent).</w:t>
      </w:r>
    </w:p>
    <w:p>
      <w:pPr>
        <w:pStyle w:val="ListParagraph"/>
        <w:numPr>
          <w:ilvl w:val="0"/>
          <w:numId w:val="2"/>
        </w:numPr>
        <w:spacing w:after="60" w:line="272"/>
      </w:pPr>
      <w:r>
        <w:rPr>
          <w:rFonts w:ascii="Calibri" w:cs="Calibri" w:eastAsia="Calibri" w:hAnsi="Calibri"/>
          <w:color w:val="1A1A2E"/>
          <w:sz w:val="21"/>
          <w:szCs w:val="21"/>
        </w:rPr>
        <w:t xml:space="preserve">Evaluate progressive discovery vs. monolithic context strategy.</w:t>
      </w:r>
    </w:p>
    <w:p>
      <w:pPr>
        <w:pStyle w:val="Heading3"/>
        <w:spacing w:after="70" w:before="180"/>
      </w:pPr>
      <w:r>
        <w:rPr>
          <w:rFonts w:ascii="Calibri" w:cs="Calibri" w:eastAsia="Calibri" w:hAnsi="Calibri"/>
          <w:b/>
          <w:bCs/>
          <w:color w:val="0F5257"/>
          <w:sz w:val="22"/>
          <w:szCs w:val="22"/>
        </w:rPr>
        <w:t xml:space="preserve">Core concept 1 — Least privilege for tools</w:t>
      </w:r>
    </w:p>
    <w:p>
      <w:pPr>
        <w:spacing w:after="120" w:line="276"/>
      </w:pPr>
      <w:r>
        <w:rPr>
          <w:rFonts w:ascii="Calibri" w:cs="Calibri" w:eastAsia="Calibri" w:hAnsi="Calibri"/>
          <w:color w:val="1A1A2E"/>
          <w:sz w:val="21"/>
          <w:szCs w:val="21"/>
        </w:rPr>
        <w:t xml:space="preserve">The exam's single most emphasized security idea. </w:t>
      </w:r>
      <w:r>
        <w:rPr>
          <w:rFonts w:ascii="Calibri" w:cs="Calibri" w:eastAsia="Calibri" w:hAnsi="Calibri"/>
          <w:b/>
          <w:bCs/>
          <w:color w:val="1A1A2E"/>
          <w:sz w:val="21"/>
          <w:szCs w:val="21"/>
        </w:rPr>
        <w:t xml:space="preserve">Least privilege means removing capabilities a role does not need — not logging them, not gating them behind a confirmation.</w:t>
      </w:r>
      <w:r>
        <w:rPr>
          <w:rFonts w:ascii="Calibri" w:cs="Calibri" w:eastAsia="Calibri" w:hAnsi="Calibri"/>
          <w:color w:val="1A1A2E"/>
          <w:sz w:val="21"/>
          <w:szCs w:val="21"/>
        </w:rPr>
        <w:t xml:space="preserve"> Logging and confirmation prompts are detective/compensating controls: they help you notice or slow misuse, but they do not shrink the attack surface. If a support agent only needs to read tickets and draft replies, the refund and delete tools should be </w:t>
      </w:r>
      <w:r>
        <w:rPr>
          <w:rFonts w:ascii="Calibri" w:cs="Calibri" w:eastAsia="Calibri" w:hAnsi="Calibri"/>
          <w:b/>
          <w:bCs/>
          <w:color w:val="1A1A2E"/>
          <w:sz w:val="21"/>
          <w:szCs w:val="21"/>
        </w:rPr>
        <w:t xml:space="preserve">removed from its configuration entirely.</w:t>
      </w:r>
    </w:p>
    <w:tbl>
      <w:tblPr>
        <w:tblW w:type="pct" w:w="100%"/>
        <w:tblBorders>
          <w:top w:val="single" w:color="E8F0F0" w:sz="2"/>
          <w:left w:val="single" w:color="0F5257" w:sz="24"/>
          <w:bottom w:val="single" w:color="E8F0F0" w:sz="2"/>
          <w:right w:val="single" w:color="E8F0F0" w:sz="2"/>
          <w:insideH w:val="none"/>
          <w:insideV w:val="none"/>
        </w:tblBorders>
      </w:tblPr>
      <w:tblGrid>
        <w:gridCol w:w="9360"/>
      </w:tblGrid>
      <w:tr>
        <w:tc>
          <w:tcPr>
            <w:tcW w:type="dxa" w:w="9360"/>
            <w:shd w:fill="E8F0F0" w:color="auto" w:val="clear"/>
            <w:tcMar>
              <w:top w:type="dxa" w:w="120"/>
              <w:left w:type="dxa" w:w="180"/>
              <w:bottom w:type="dxa" w:w="120"/>
              <w:right w:type="dxa" w:w="180"/>
            </w:tcMar>
          </w:tcPr>
          <w:p>
            <w:pPr>
              <w:spacing w:after="60"/>
            </w:pPr>
            <w:r>
              <w:rPr>
                <w:rFonts w:ascii="Calibri" w:cs="Calibri" w:eastAsia="Calibri" w:hAnsi="Calibri"/>
                <w:b/>
                <w:bCs/>
                <w:color w:val="0F5257"/>
                <w:sz w:val="21"/>
                <w:szCs w:val="21"/>
              </w:rPr>
              <w:t xml:space="preserve">The distinction the exam tests</w:t>
            </w:r>
          </w:p>
          <w:p>
            <w:pPr>
              <w:spacing w:after="60" w:line="270"/>
            </w:pPr>
            <w:r>
              <w:rPr>
                <w:rFonts w:ascii="Calibri" w:cs="Calibri" w:eastAsia="Calibri" w:hAnsi="Calibri"/>
                <w:b/>
                <w:bCs/>
                <w:color w:val="0F5257"/>
                <w:sz w:val="21"/>
                <w:szCs w:val="21"/>
              </w:rPr>
              <w:t xml:space="preserve">Remove the capability</w:t>
            </w:r>
            <w:r>
              <w:rPr>
                <w:rFonts w:ascii="Calibri" w:cs="Calibri" w:eastAsia="Calibri" w:hAnsi="Calibri"/>
                <w:color w:val="1A1A2E"/>
                <w:sz w:val="21"/>
                <w:szCs w:val="21"/>
              </w:rPr>
              <w:t xml:space="preserve">  →  preventive, shrinks attack surface  →  </w:t>
            </w:r>
            <w:r>
              <w:rPr>
                <w:rFonts w:ascii="Calibri" w:cs="Calibri" w:eastAsia="Calibri" w:hAnsi="Calibri"/>
                <w:b/>
                <w:bCs/>
                <w:color w:val="1A1A2E"/>
                <w:sz w:val="21"/>
                <w:szCs w:val="21"/>
              </w:rPr>
              <w:t xml:space="preserve">correct.</w:t>
            </w:r>
          </w:p>
          <w:p>
            <w:pPr>
              <w:spacing w:after="60" w:line="270"/>
            </w:pPr>
            <w:r>
              <w:rPr>
                <w:rFonts w:ascii="Calibri" w:cs="Calibri" w:eastAsia="Calibri" w:hAnsi="Calibri"/>
                <w:b/>
                <w:bCs/>
                <w:color w:val="8A5A00"/>
                <w:sz w:val="21"/>
                <w:szCs w:val="21"/>
              </w:rPr>
              <w:t xml:space="preserve">Log the capability</w:t>
            </w:r>
            <w:r>
              <w:rPr>
                <w:rFonts w:ascii="Calibri" w:cs="Calibri" w:eastAsia="Calibri" w:hAnsi="Calibri"/>
                <w:color w:val="1A1A2E"/>
                <w:sz w:val="21"/>
                <w:szCs w:val="21"/>
              </w:rPr>
              <w:t xml:space="preserve">  →  detective, misuse still possible  →  distractor.</w:t>
            </w:r>
          </w:p>
          <w:p>
            <w:pPr>
              <w:spacing w:after="60" w:line="270"/>
            </w:pPr>
            <w:r>
              <w:rPr>
                <w:rFonts w:ascii="Calibri" w:cs="Calibri" w:eastAsia="Calibri" w:hAnsi="Calibri"/>
                <w:b/>
                <w:bCs/>
                <w:color w:val="8A5A00"/>
                <w:sz w:val="21"/>
                <w:szCs w:val="21"/>
              </w:rPr>
              <w:t xml:space="preserve">Confirm before using the capability</w:t>
            </w:r>
            <w:r>
              <w:rPr>
                <w:rFonts w:ascii="Calibri" w:cs="Calibri" w:eastAsia="Calibri" w:hAnsi="Calibri"/>
                <w:color w:val="1A1A2E"/>
                <w:sz w:val="21"/>
                <w:szCs w:val="21"/>
              </w:rPr>
              <w:t xml:space="preserve">  →  compensating, capability still present  →  distractor.</w:t>
            </w:r>
          </w:p>
        </w:tc>
      </w:tr>
    </w:tbl>
    <w:p>
      <w:pPr>
        <w:pStyle w:val="Heading3"/>
        <w:spacing w:after="70" w:before="180"/>
      </w:pPr>
      <w:r>
        <w:rPr>
          <w:rFonts w:ascii="Calibri" w:cs="Calibri" w:eastAsia="Calibri" w:hAnsi="Calibri"/>
          <w:b/>
          <w:bCs/>
          <w:color w:val="0F5257"/>
          <w:sz w:val="22"/>
          <w:szCs w:val="22"/>
        </w:rPr>
        <w:t xml:space="preserve">Core concept 2 — RAG pipeline design</w:t>
      </w:r>
    </w:p>
    <w:p>
      <w:pPr>
        <w:spacing w:after="60" w:line="276"/>
      </w:pPr>
      <w:r>
        <w:rPr>
          <w:rFonts w:ascii="Calibri" w:cs="Calibri" w:eastAsia="Calibri" w:hAnsi="Calibri"/>
          <w:color w:val="1A1A2E"/>
          <w:sz w:val="21"/>
          <w:szCs w:val="21"/>
        </w:rPr>
        <w:t xml:space="preserve">You must be able to design a retrieval pipeline and match its choices to the </w:t>
      </w:r>
      <w:r>
        <w:rPr>
          <w:rFonts w:ascii="Calibri" w:cs="Calibri" w:eastAsia="Calibri" w:hAnsi="Calibri"/>
          <w:i/>
          <w:iCs/>
          <w:color w:val="1A1A2E"/>
          <w:sz w:val="21"/>
          <w:szCs w:val="21"/>
        </w:rPr>
        <w:t xml:space="preserve">shape of the data and the pattern of the queries.</w:t>
      </w:r>
      <w:r>
        <w:rPr>
          <w:rFonts w:ascii="Calibri" w:cs="Calibri" w:eastAsia="Calibri" w:hAnsi="Calibri"/>
          <w:color w:val="1A1A2E"/>
          <w:sz w:val="21"/>
          <w:szCs w:val="21"/>
        </w:rPr>
        <w:t xml:space="preserve"> The components:</w:t>
      </w:r>
    </w:p>
    <w:p>
      <w:pPr>
        <w:pStyle w:val="ListParagraph"/>
        <w:numPr>
          <w:ilvl w:val="0"/>
          <w:numId w:val="2"/>
        </w:numPr>
        <w:spacing w:after="60" w:line="272"/>
      </w:pPr>
      <w:r>
        <w:rPr>
          <w:rFonts w:ascii="Calibri" w:cs="Calibri" w:eastAsia="Calibri" w:hAnsi="Calibri"/>
          <w:b/>
          <w:bCs/>
          <w:color w:val="1A1A2E"/>
          <w:sz w:val="21"/>
          <w:szCs w:val="21"/>
        </w:rPr>
        <w:t xml:space="preserve">Chunking</w:t>
      </w:r>
      <w:r>
        <w:rPr>
          <w:rFonts w:ascii="Calibri" w:cs="Calibri" w:eastAsia="Calibri" w:hAnsi="Calibri"/>
          <w:color w:val="1A1A2E"/>
          <w:sz w:val="21"/>
          <w:szCs w:val="21"/>
        </w:rPr>
        <w:t xml:space="preserve"> — how documents are split. Too large and retrieval is imprecise and wastes context; too small and chunks lose the context needed to be meaningful. Match chunk size to the document structure (e.g., policy clauses vs. long narratives) and use overlap where continuity matters.</w:t>
      </w:r>
    </w:p>
    <w:p>
      <w:pPr>
        <w:pStyle w:val="ListParagraph"/>
        <w:numPr>
          <w:ilvl w:val="0"/>
          <w:numId w:val="2"/>
        </w:numPr>
        <w:spacing w:after="60" w:line="272"/>
      </w:pPr>
      <w:r>
        <w:rPr>
          <w:rFonts w:ascii="Calibri" w:cs="Calibri" w:eastAsia="Calibri" w:hAnsi="Calibri"/>
          <w:b/>
          <w:bCs/>
          <w:color w:val="1A1A2E"/>
          <w:sz w:val="21"/>
          <w:szCs w:val="21"/>
        </w:rPr>
        <w:t xml:space="preserve">Indexing / embeddings</w:t>
      </w:r>
      <w:r>
        <w:rPr>
          <w:rFonts w:ascii="Calibri" w:cs="Calibri" w:eastAsia="Calibri" w:hAnsi="Calibri"/>
          <w:color w:val="1A1A2E"/>
          <w:sz w:val="21"/>
          <w:szCs w:val="21"/>
        </w:rPr>
        <w:t xml:space="preserve"> — how chunks are vectorized and stored for similarity search. The embedding model must match the query and content domain; a mismatch quietly degrades retrieval.</w:t>
      </w:r>
    </w:p>
    <w:p>
      <w:pPr>
        <w:pStyle w:val="ListParagraph"/>
        <w:numPr>
          <w:ilvl w:val="0"/>
          <w:numId w:val="2"/>
        </w:numPr>
        <w:spacing w:after="60" w:line="272"/>
      </w:pPr>
      <w:r>
        <w:rPr>
          <w:rFonts w:ascii="Calibri" w:cs="Calibri" w:eastAsia="Calibri" w:hAnsi="Calibri"/>
          <w:b/>
          <w:bCs/>
          <w:color w:val="1A1A2E"/>
          <w:sz w:val="21"/>
          <w:szCs w:val="21"/>
        </w:rPr>
        <w:t xml:space="preserve">Retrieval strategy</w:t>
      </w:r>
      <w:r>
        <w:rPr>
          <w:rFonts w:ascii="Calibri" w:cs="Calibri" w:eastAsia="Calibri" w:hAnsi="Calibri"/>
          <w:color w:val="1A1A2E"/>
          <w:sz w:val="21"/>
          <w:szCs w:val="21"/>
        </w:rPr>
        <w:t xml:space="preserve"> — top-k semantic search, hybrid (keyword + semantic) for exact-term needs like policy IDs, re-ranking for precision, and metadata filtering to scope to the right applicant or document set.</w:t>
      </w:r>
    </w:p>
    <w:p>
      <w:pPr>
        <w:spacing w:after="120" w:line="276"/>
      </w:pPr>
      <w:r>
        <w:rPr>
          <w:rFonts w:ascii="Calibri" w:cs="Calibri" w:eastAsia="Calibri" w:hAnsi="Calibri"/>
          <w:color w:val="1A1A2E"/>
          <w:sz w:val="21"/>
          <w:szCs w:val="21"/>
        </w:rPr>
        <w:t xml:space="preserve">Critical operational fact: when a RAG system returns </w:t>
      </w:r>
      <w:r>
        <w:rPr>
          <w:rFonts w:ascii="Calibri" w:cs="Calibri" w:eastAsia="Calibri" w:hAnsi="Calibri"/>
          <w:b/>
          <w:bCs/>
          <w:color w:val="1A1A2E"/>
          <w:sz w:val="21"/>
          <w:szCs w:val="21"/>
        </w:rPr>
        <w:t xml:space="preserve">confident-but-wrong</w:t>
      </w:r>
      <w:r>
        <w:rPr>
          <w:rFonts w:ascii="Calibri" w:cs="Calibri" w:eastAsia="Calibri" w:hAnsi="Calibri"/>
          <w:color w:val="1A1A2E"/>
          <w:sz w:val="21"/>
          <w:szCs w:val="21"/>
        </w:rPr>
        <w:t xml:space="preserve"> answers after a document refresh — with model and latency unchanged — the cause is almost always the </w:t>
      </w:r>
      <w:r>
        <w:rPr>
          <w:rFonts w:ascii="Calibri" w:cs="Calibri" w:eastAsia="Calibri" w:hAnsi="Calibri"/>
          <w:b/>
          <w:bCs/>
          <w:color w:val="1A1A2E"/>
          <w:sz w:val="21"/>
          <w:szCs w:val="21"/>
        </w:rPr>
        <w:t xml:space="preserve">retrieval/indexing step</w:t>
      </w:r>
      <w:r>
        <w:rPr>
          <w:rFonts w:ascii="Calibri" w:cs="Calibri" w:eastAsia="Calibri" w:hAnsi="Calibri"/>
          <w:color w:val="1A1A2E"/>
          <w:sz w:val="21"/>
          <w:szCs w:val="21"/>
        </w:rPr>
        <w:t xml:space="preserve"> (a broken re-index or mismatched embeddings feeding poor context), not the model. Map the symptom to the component that changed.</w:t>
      </w:r>
    </w:p>
    <w:p>
      <w:pPr>
        <w:pStyle w:val="Heading3"/>
        <w:spacing w:after="70" w:before="180"/>
      </w:pPr>
      <w:r>
        <w:rPr>
          <w:rFonts w:ascii="Calibri" w:cs="Calibri" w:eastAsia="Calibri" w:hAnsi="Calibri"/>
          <w:b/>
          <w:bCs/>
          <w:color w:val="0F5257"/>
          <w:sz w:val="22"/>
          <w:szCs w:val="22"/>
        </w:rPr>
        <w:t xml:space="preserve">Core concept 3 — Protocol selection</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2000"/>
        <w:gridCol w:w="4160"/>
        <w:gridCol w:w="3200"/>
      </w:tblGrid>
      <w:tr>
        <w:trPr>
          <w:tblHeader/>
        </w:trPr>
        <w:tc>
          <w:tcPr>
            <w:tcW w:type="dxa" w:w="20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Mechanism</w:t>
            </w:r>
          </w:p>
        </w:tc>
        <w:tc>
          <w:tcPr>
            <w:tcW w:type="dxa" w:w="41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Choose when</w:t>
            </w:r>
          </w:p>
        </w:tc>
        <w:tc>
          <w:tcPr>
            <w:tcW w:type="dxa" w:w="32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Signal in the stem</w:t>
            </w:r>
          </w:p>
        </w:tc>
      </w:tr>
      <w:tr>
        <w:tc>
          <w:tcPr>
            <w:tcW w:type="dxa" w:w="20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MCP (Model Context Protocol)</w:t>
            </w:r>
          </w:p>
        </w:tc>
        <w:tc>
          <w:tcPr>
            <w:tcW w:type="dxa" w:w="41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You need a standardized, reusable way to expose tools/data to the model across clients; discoverable tool schemas; interoperability.</w:t>
            </w:r>
          </w:p>
        </w:tc>
        <w:tc>
          <w:tcPr>
            <w:tcW w:type="dxa" w:w="32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"Standard interface," "reusable across applications," "tool servers," "discoverable capabilities."</w:t>
            </w:r>
          </w:p>
        </w:tc>
      </w:tr>
      <w:tr>
        <w:tc>
          <w:tcPr>
            <w:tcW w:type="dxa" w:w="20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Direct API / CLI</w:t>
            </w:r>
          </w:p>
        </w:tc>
        <w:tc>
          <w:tcPr>
            <w:tcW w:type="dxa" w:w="41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A straightforward, tightly-scoped programmatic call to a known service; you control both ends and don't need discovery.</w:t>
            </w:r>
          </w:p>
        </w:tc>
        <w:tc>
          <w:tcPr>
            <w:tcW w:type="dxa" w:w="32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"Single known endpoint," "simple call," "internal service we own."</w:t>
            </w:r>
          </w:p>
        </w:tc>
      </w:tr>
      <w:tr>
        <w:tc>
          <w:tcPr>
            <w:tcW w:type="dxa" w:w="20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Agent-to-agent</w:t>
            </w:r>
          </w:p>
        </w:tc>
        <w:tc>
          <w:tcPr>
            <w:tcW w:type="dxa" w:w="41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Two autonomous agents must coordinate or delegate to each other as peers.</w:t>
            </w:r>
          </w:p>
        </w:tc>
        <w:tc>
          <w:tcPr>
            <w:tcW w:type="dxa" w:w="32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"Agents negotiate," "delegate to another autonomous system," "hand off."</w:t>
            </w:r>
          </w:p>
        </w:tc>
      </w:tr>
    </w:tbl>
    <w:p>
      <w:pPr>
        <w:pStyle w:val="Heading3"/>
        <w:spacing w:after="70" w:before="180"/>
      </w:pPr>
      <w:r>
        <w:rPr>
          <w:rFonts w:ascii="Calibri" w:cs="Calibri" w:eastAsia="Calibri" w:hAnsi="Calibri"/>
          <w:b/>
          <w:bCs/>
          <w:color w:val="0F5257"/>
          <w:sz w:val="22"/>
          <w:szCs w:val="22"/>
        </w:rPr>
        <w:t xml:space="preserve">Core concept 4 — Progressive discovery vs. monolithic context</w:t>
      </w:r>
    </w:p>
    <w:p>
      <w:pPr>
        <w:spacing w:after="120" w:line="276"/>
      </w:pPr>
      <w:r>
        <w:rPr>
          <w:rFonts w:ascii="Calibri" w:cs="Calibri" w:eastAsia="Calibri" w:hAnsi="Calibri"/>
          <w:b/>
          <w:bCs/>
          <w:color w:val="1A1A2E"/>
          <w:sz w:val="21"/>
          <w:szCs w:val="21"/>
        </w:rPr>
        <w:t xml:space="preserve">Monolithic</w:t>
      </w:r>
      <w:r>
        <w:rPr>
          <w:rFonts w:ascii="Calibri" w:cs="Calibri" w:eastAsia="Calibri" w:hAnsi="Calibri"/>
          <w:color w:val="1A1A2E"/>
          <w:sz w:val="21"/>
          <w:szCs w:val="21"/>
        </w:rPr>
        <w:t xml:space="preserve"> context loads everything the model might need up front — simple, but expensive, slow, and prone to diluting relevance in a crowded window. </w:t>
      </w:r>
      <w:r>
        <w:rPr>
          <w:rFonts w:ascii="Calibri" w:cs="Calibri" w:eastAsia="Calibri" w:hAnsi="Calibri"/>
          <w:b/>
          <w:bCs/>
          <w:color w:val="1A1A2E"/>
          <w:sz w:val="21"/>
          <w:szCs w:val="21"/>
        </w:rPr>
        <w:t xml:space="preserve">Progressive discovery</w:t>
      </w:r>
      <w:r>
        <w:rPr>
          <w:rFonts w:ascii="Calibri" w:cs="Calibri" w:eastAsia="Calibri" w:hAnsi="Calibri"/>
          <w:color w:val="1A1A2E"/>
          <w:sz w:val="21"/>
          <w:szCs w:val="21"/>
        </w:rPr>
        <w:t xml:space="preserve"> fetches information on demand as the task reveals what it needs (via tools/retrieval). Prefer progressive discovery when the full context is large, mostly irrelevant per request, or changes often — which describes most production systems. Prefer monolithic only when the context is small, stable, and always needed.</w:t>
      </w:r>
    </w:p>
    <w:p>
      <w:pPr>
        <w:pStyle w:val="Heading3"/>
        <w:spacing w:after="70" w:before="180"/>
      </w:pPr>
      <w:r>
        <w:rPr>
          <w:rFonts w:ascii="Calibri" w:cs="Calibri" w:eastAsia="Calibri" w:hAnsi="Calibri"/>
          <w:b/>
          <w:bCs/>
          <w:color w:val="0F5257"/>
          <w:sz w:val="22"/>
          <w:szCs w:val="22"/>
        </w:rPr>
        <w:t xml:space="preserve">Core concept 5 — Observability at scale</w:t>
      </w:r>
    </w:p>
    <w:p>
      <w:pPr>
        <w:spacing w:after="120" w:line="276"/>
      </w:pPr>
      <w:r>
        <w:rPr>
          <w:rFonts w:ascii="Calibri" w:cs="Calibri" w:eastAsia="Calibri" w:hAnsi="Calibri"/>
          <w:color w:val="1A1A2E"/>
          <w:sz w:val="21"/>
          <w:szCs w:val="21"/>
        </w:rPr>
        <w:t xml:space="preserve">For a system serving many requests, you must be able to trace a single request end-to-end (prompt, retrieved chunks, tool calls, model output), aggregate quality and cost/latency metrics, and detect drift or regressions. Know that observability here means </w:t>
      </w:r>
      <w:r>
        <w:rPr>
          <w:rFonts w:ascii="Calibri" w:cs="Calibri" w:eastAsia="Calibri" w:hAnsi="Calibri"/>
          <w:i/>
          <w:iCs/>
          <w:color w:val="1A1A2E"/>
          <w:sz w:val="21"/>
          <w:szCs w:val="21"/>
        </w:rPr>
        <w:t xml:space="preserve">structured tracing and metrics across the whole pipeline</w:t>
      </w:r>
      <w:r>
        <w:rPr>
          <w:rFonts w:ascii="Calibri" w:cs="Calibri" w:eastAsia="Calibri" w:hAnsi="Calibri"/>
          <w:color w:val="1A1A2E"/>
          <w:sz w:val="21"/>
          <w:szCs w:val="21"/>
        </w:rPr>
        <w:t xml:space="preserve">, not just application logs — you need to see which retrieved chunk led to which answer to diagnose RAG failures.</w:t>
      </w:r>
    </w:p>
    <w:p>
      <w:pPr>
        <w:pStyle w:val="Heading3"/>
        <w:spacing w:after="70" w:before="180"/>
      </w:pPr>
      <w:r>
        <w:rPr>
          <w:rFonts w:ascii="Calibri" w:cs="Calibri" w:eastAsia="Calibri" w:hAnsi="Calibri"/>
          <w:b/>
          <w:bCs/>
          <w:color w:val="0F5257"/>
          <w:sz w:val="22"/>
          <w:szCs w:val="22"/>
        </w:rPr>
        <w:t xml:space="preserve">Worked scenario — Meridian (official Sample 1, adapted)</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The loan assistant is configured with tools to read documents, draft recommendations, </w:t>
      </w:r>
      <w:r>
        <w:rPr>
          <w:rFonts w:ascii="Calibri" w:cs="Calibri" w:eastAsia="Calibri" w:hAnsi="Calibri"/>
          <w:i/>
          <w:iCs/>
          <w:color w:val="1A1A2E"/>
          <w:sz w:val="21"/>
          <w:szCs w:val="21"/>
        </w:rPr>
        <w:t xml:space="preserve">update the core banking ledger, and email applicants.</w:t>
      </w:r>
      <w:r>
        <w:rPr>
          <w:rFonts w:ascii="Calibri" w:cs="Calibri" w:eastAsia="Calibri" w:hAnsi="Calibri"/>
          <w:color w:val="1A1A2E"/>
          <w:sz w:val="21"/>
          <w:szCs w:val="21"/>
        </w:rPr>
        <w:t xml:space="preserve"> Officers only ever need it to read and draft. Applying least privilege, which change best reduces risk?</w:t>
      </w:r>
    </w:p>
    <w:p>
      <w:pPr>
        <w:spacing w:after="120" w:line="276"/>
      </w:pPr>
      <w:r>
        <w:rPr>
          <w:rFonts w:ascii="Calibri" w:cs="Calibri" w:eastAsia="Calibri" w:hAnsi="Calibri"/>
          <w:b/>
          <w:bCs/>
          <w:color w:val="1A1A2E"/>
          <w:sz w:val="21"/>
          <w:szCs w:val="21"/>
        </w:rPr>
        <w:t xml:space="preserve">A: </w:t>
      </w:r>
      <w:r>
        <w:rPr>
          <w:rFonts w:ascii="Calibri" w:cs="Calibri" w:eastAsia="Calibri" w:hAnsi="Calibri"/>
          <w:b/>
          <w:bCs/>
          <w:color w:val="1A1A2E"/>
          <w:sz w:val="21"/>
          <w:szCs w:val="21"/>
        </w:rPr>
        <w:t xml:space="preserve">Remove the ledger-update and email tools from the assistant's configuration entirely.</w:t>
      </w:r>
      <w:r>
        <w:rPr>
          <w:rFonts w:ascii="Calibri" w:cs="Calibri" w:eastAsia="Calibri" w:hAnsi="Calibri"/>
          <w:color w:val="1A1A2E"/>
          <w:sz w:val="21"/>
          <w:szCs w:val="21"/>
        </w:rPr>
        <w:t xml:space="preserve"> This eliminates the ability to take those actions rather than merely auditing (logging) or slowing (confirmation) them. This mirrors official Sample Question 1, whose answer is removal, not monitoring.</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b/>
          <w:bCs/>
          <w:color w:val="8A5A00"/>
          <w:sz w:val="21"/>
          <w:szCs w:val="21"/>
        </w:rPr>
        <w:t xml:space="preserve">Confusing detective controls with least privilege</w:t>
      </w:r>
      <w:r>
        <w:rPr>
          <w:rFonts w:ascii="Calibri" w:cs="Calibri" w:eastAsia="Calibri" w:hAnsi="Calibri"/>
          <w:color w:val="1A1A2E"/>
          <w:sz w:val="21"/>
          <w:szCs w:val="21"/>
        </w:rPr>
        <w:t xml:space="preserve"> — logging/confirmations instead of removal.</w:t>
      </w:r>
    </w:p>
    <w:p>
      <w:pPr>
        <w:pStyle w:val="ListParagraph"/>
        <w:numPr>
          <w:ilvl w:val="0"/>
          <w:numId w:val="2"/>
        </w:numPr>
        <w:spacing w:after="60" w:line="272"/>
      </w:pPr>
      <w:r>
        <w:rPr>
          <w:rFonts w:ascii="Calibri" w:cs="Calibri" w:eastAsia="Calibri" w:hAnsi="Calibri"/>
          <w:b/>
          <w:bCs/>
          <w:color w:val="8A5A00"/>
          <w:sz w:val="21"/>
          <w:szCs w:val="21"/>
        </w:rPr>
        <w:t xml:space="preserve">Blaming the model for a retrieval problem</w:t>
      </w:r>
      <w:r>
        <w:rPr>
          <w:rFonts w:ascii="Calibri" w:cs="Calibri" w:eastAsia="Calibri" w:hAnsi="Calibri"/>
          <w:color w:val="1A1A2E"/>
          <w:sz w:val="21"/>
          <w:szCs w:val="21"/>
        </w:rPr>
        <w:t xml:space="preserve"> — after a doc refresh, investigate indexing first.</w:t>
      </w:r>
    </w:p>
    <w:p>
      <w:pPr>
        <w:pStyle w:val="ListParagraph"/>
        <w:numPr>
          <w:ilvl w:val="0"/>
          <w:numId w:val="2"/>
        </w:numPr>
        <w:spacing w:after="60" w:line="272"/>
      </w:pPr>
      <w:r>
        <w:rPr>
          <w:rFonts w:ascii="Calibri" w:cs="Calibri" w:eastAsia="Calibri" w:hAnsi="Calibri"/>
          <w:color w:val="8A5A00"/>
          <w:sz w:val="21"/>
          <w:szCs w:val="21"/>
        </w:rPr>
        <w:t xml:space="preserve">Defaulting to monolithic context</w:t>
      </w:r>
      <w:r>
        <w:rPr>
          <w:rFonts w:ascii="Calibri" w:cs="Calibri" w:eastAsia="Calibri" w:hAnsi="Calibri"/>
          <w:color w:val="1A1A2E"/>
          <w:sz w:val="21"/>
          <w:szCs w:val="21"/>
        </w:rPr>
        <w:t xml:space="preserve"> because it's simpler to reason about, when the context is large and mostly irrelevant per call.</w:t>
      </w:r>
    </w:p>
    <w:p>
      <w:pPr>
        <w:pStyle w:val="ListParagraph"/>
        <w:numPr>
          <w:ilvl w:val="0"/>
          <w:numId w:val="2"/>
        </w:numPr>
        <w:spacing w:after="60" w:line="272"/>
      </w:pPr>
      <w:r>
        <w:rPr>
          <w:rFonts w:ascii="Calibri" w:cs="Calibri" w:eastAsia="Calibri" w:hAnsi="Calibri"/>
          <w:color w:val="8A5A00"/>
          <w:sz w:val="21"/>
          <w:szCs w:val="21"/>
        </w:rPr>
        <w:t xml:space="preserve">Reaching for MCP as a buzzword</w:t>
      </w:r>
      <w:r>
        <w:rPr>
          <w:rFonts w:ascii="Calibri" w:cs="Calibri" w:eastAsia="Calibri" w:hAnsi="Calibri"/>
          <w:color w:val="1A1A2E"/>
          <w:sz w:val="21"/>
          <w:szCs w:val="21"/>
        </w:rPr>
        <w:t xml:space="preserve"> when a direct API call to a service you own is the right, simpler mechanism.</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4 · Evaluation, Testing &amp; Optimization — 16%</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Define evaluation metrics (accuracy, latency, cost, safety, security).</w:t>
      </w:r>
    </w:p>
    <w:p>
      <w:pPr>
        <w:pStyle w:val="ListParagraph"/>
        <w:numPr>
          <w:ilvl w:val="0"/>
          <w:numId w:val="2"/>
        </w:numPr>
        <w:spacing w:after="60" w:line="272"/>
      </w:pPr>
      <w:r>
        <w:rPr>
          <w:rFonts w:ascii="Calibri" w:cs="Calibri" w:eastAsia="Calibri" w:hAnsi="Calibri"/>
          <w:color w:val="1A1A2E"/>
          <w:sz w:val="21"/>
          <w:szCs w:val="21"/>
        </w:rPr>
        <w:t xml:space="preserve">Design evaluation datasets and test frameworks using mixed methodologies.</w:t>
      </w:r>
    </w:p>
    <w:p>
      <w:pPr>
        <w:pStyle w:val="ListParagraph"/>
        <w:numPr>
          <w:ilvl w:val="0"/>
          <w:numId w:val="2"/>
        </w:numPr>
        <w:spacing w:after="60" w:line="272"/>
      </w:pPr>
      <w:r>
        <w:rPr>
          <w:rFonts w:ascii="Calibri" w:cs="Calibri" w:eastAsia="Calibri" w:hAnsi="Calibri"/>
          <w:color w:val="1A1A2E"/>
          <w:sz w:val="21"/>
          <w:szCs w:val="21"/>
        </w:rPr>
        <w:t xml:space="preserve">Conduct A/B testing and iterative improvements.</w:t>
      </w:r>
    </w:p>
    <w:p>
      <w:pPr>
        <w:pStyle w:val="ListParagraph"/>
        <w:numPr>
          <w:ilvl w:val="0"/>
          <w:numId w:val="2"/>
        </w:numPr>
        <w:spacing w:after="60" w:line="272"/>
      </w:pPr>
      <w:r>
        <w:rPr>
          <w:rFonts w:ascii="Calibri" w:cs="Calibri" w:eastAsia="Calibri" w:hAnsi="Calibri"/>
          <w:color w:val="1A1A2E"/>
          <w:sz w:val="21"/>
          <w:szCs w:val="21"/>
        </w:rPr>
        <w:t xml:space="preserve">Diagnose system issues (prompt failure, hallucinations, model mismatch).</w:t>
      </w:r>
    </w:p>
    <w:p>
      <w:pPr>
        <w:pStyle w:val="ListParagraph"/>
        <w:numPr>
          <w:ilvl w:val="0"/>
          <w:numId w:val="2"/>
        </w:numPr>
        <w:spacing w:after="60" w:line="272"/>
      </w:pPr>
      <w:r>
        <w:rPr>
          <w:rFonts w:ascii="Calibri" w:cs="Calibri" w:eastAsia="Calibri" w:hAnsi="Calibri"/>
          <w:color w:val="1A1A2E"/>
          <w:sz w:val="21"/>
          <w:szCs w:val="21"/>
        </w:rPr>
        <w:t xml:space="preserve">Optimize token usage, latency, and cost-performance trade-offs.</w:t>
      </w:r>
    </w:p>
    <w:p>
      <w:pPr>
        <w:pStyle w:val="ListParagraph"/>
        <w:numPr>
          <w:ilvl w:val="0"/>
          <w:numId w:val="2"/>
        </w:numPr>
        <w:spacing w:after="60" w:line="272"/>
      </w:pPr>
      <w:r>
        <w:rPr>
          <w:rFonts w:ascii="Calibri" w:cs="Calibri" w:eastAsia="Calibri" w:hAnsi="Calibri"/>
          <w:color w:val="1A1A2E"/>
          <w:sz w:val="21"/>
          <w:szCs w:val="21"/>
        </w:rPr>
        <w:t xml:space="preserve">Monitor system performance using logging and observability tools.</w:t>
      </w:r>
    </w:p>
    <w:p>
      <w:pPr>
        <w:pStyle w:val="Heading3"/>
        <w:spacing w:after="70" w:before="180"/>
      </w:pPr>
      <w:r>
        <w:rPr>
          <w:rFonts w:ascii="Calibri" w:cs="Calibri" w:eastAsia="Calibri" w:hAnsi="Calibri"/>
          <w:b/>
          <w:bCs/>
          <w:color w:val="0F5257"/>
          <w:sz w:val="22"/>
          <w:szCs w:val="22"/>
        </w:rPr>
        <w:t xml:space="preserve">Core concepts to master</w:t>
      </w:r>
    </w:p>
    <w:p>
      <w:pPr>
        <w:spacing w:after="120" w:line="276"/>
      </w:pPr>
      <w:r>
        <w:rPr>
          <w:rFonts w:ascii="Calibri" w:cs="Calibri" w:eastAsia="Calibri" w:hAnsi="Calibri"/>
          <w:b/>
          <w:bCs/>
          <w:color w:val="1A1A2E"/>
          <w:sz w:val="21"/>
          <w:szCs w:val="21"/>
        </w:rPr>
        <w:t xml:space="preserve">Metrics are multi-dimensional.</w:t>
      </w:r>
      <w:r>
        <w:rPr>
          <w:rFonts w:ascii="Calibri" w:cs="Calibri" w:eastAsia="Calibri" w:hAnsi="Calibri"/>
          <w:color w:val="1A1A2E"/>
          <w:sz w:val="21"/>
          <w:szCs w:val="21"/>
        </w:rPr>
        <w:t xml:space="preserve"> A production LLM system is never judged on accuracy alone. Hold five axes in mind: </w:t>
      </w:r>
      <w:r>
        <w:rPr>
          <w:rFonts w:ascii="Calibri" w:cs="Calibri" w:eastAsia="Calibri" w:hAnsi="Calibri"/>
          <w:b/>
          <w:bCs/>
          <w:color w:val="1A1A2E"/>
          <w:sz w:val="21"/>
          <w:szCs w:val="21"/>
        </w:rPr>
        <w:t xml:space="preserve">accuracy/quality</w:t>
      </w:r>
      <w:r>
        <w:rPr>
          <w:rFonts w:ascii="Calibri" w:cs="Calibri" w:eastAsia="Calibri" w:hAnsi="Calibri"/>
          <w:color w:val="1A1A2E"/>
          <w:sz w:val="21"/>
          <w:szCs w:val="21"/>
        </w:rPr>
        <w:t xml:space="preserve"> (is the output correct and useful), </w:t>
      </w:r>
      <w:r>
        <w:rPr>
          <w:rFonts w:ascii="Calibri" w:cs="Calibri" w:eastAsia="Calibri" w:hAnsi="Calibri"/>
          <w:b/>
          <w:bCs/>
          <w:color w:val="1A1A2E"/>
          <w:sz w:val="21"/>
          <w:szCs w:val="21"/>
        </w:rPr>
        <w:t xml:space="preserve">latency</w:t>
      </w:r>
      <w:r>
        <w:rPr>
          <w:rFonts w:ascii="Calibri" w:cs="Calibri" w:eastAsia="Calibri" w:hAnsi="Calibri"/>
          <w:color w:val="1A1A2E"/>
          <w:sz w:val="21"/>
          <w:szCs w:val="21"/>
        </w:rPr>
        <w:t xml:space="preserve"> (does it meet the SLA), </w:t>
      </w:r>
      <w:r>
        <w:rPr>
          <w:rFonts w:ascii="Calibri" w:cs="Calibri" w:eastAsia="Calibri" w:hAnsi="Calibri"/>
          <w:b/>
          <w:bCs/>
          <w:color w:val="1A1A2E"/>
          <w:sz w:val="21"/>
          <w:szCs w:val="21"/>
        </w:rPr>
        <w:t xml:space="preserve">cost</w:t>
      </w:r>
      <w:r>
        <w:rPr>
          <w:rFonts w:ascii="Calibri" w:cs="Calibri" w:eastAsia="Calibri" w:hAnsi="Calibri"/>
          <w:color w:val="1A1A2E"/>
          <w:sz w:val="21"/>
          <w:szCs w:val="21"/>
        </w:rPr>
        <w:t xml:space="preserve"> (per request and at volume), </w:t>
      </w:r>
      <w:r>
        <w:rPr>
          <w:rFonts w:ascii="Calibri" w:cs="Calibri" w:eastAsia="Calibri" w:hAnsi="Calibri"/>
          <w:b/>
          <w:bCs/>
          <w:color w:val="1A1A2E"/>
          <w:sz w:val="21"/>
          <w:szCs w:val="21"/>
        </w:rPr>
        <w:t xml:space="preserve">safety</w:t>
      </w:r>
      <w:r>
        <w:rPr>
          <w:rFonts w:ascii="Calibri" w:cs="Calibri" w:eastAsia="Calibri" w:hAnsi="Calibri"/>
          <w:color w:val="1A1A2E"/>
          <w:sz w:val="21"/>
          <w:szCs w:val="21"/>
        </w:rPr>
        <w:t xml:space="preserve"> (does it refuse and stay in policy), and </w:t>
      </w:r>
      <w:r>
        <w:rPr>
          <w:rFonts w:ascii="Calibri" w:cs="Calibri" w:eastAsia="Calibri" w:hAnsi="Calibri"/>
          <w:b/>
          <w:bCs/>
          <w:color w:val="1A1A2E"/>
          <w:sz w:val="21"/>
          <w:szCs w:val="21"/>
        </w:rPr>
        <w:t xml:space="preserve">security</w:t>
      </w:r>
      <w:r>
        <w:rPr>
          <w:rFonts w:ascii="Calibri" w:cs="Calibri" w:eastAsia="Calibri" w:hAnsi="Calibri"/>
          <w:color w:val="1A1A2E"/>
          <w:sz w:val="21"/>
          <w:szCs w:val="21"/>
        </w:rPr>
        <w:t xml:space="preserve"> (is it resistant to misuse/injection). Optimizing one at the expense of a hard constraint on another is the classic wrong move.</w:t>
      </w:r>
    </w:p>
    <w:p>
      <w:pPr>
        <w:spacing w:after="120" w:line="276"/>
      </w:pPr>
      <w:r>
        <w:rPr>
          <w:rFonts w:ascii="Calibri" w:cs="Calibri" w:eastAsia="Calibri" w:hAnsi="Calibri"/>
          <w:b/>
          <w:bCs/>
          <w:color w:val="1A1A2E"/>
          <w:sz w:val="21"/>
          <w:szCs w:val="21"/>
        </w:rPr>
        <w:t xml:space="preserve">Evaluation datasets and mixed methodologies.</w:t>
      </w:r>
      <w:r>
        <w:rPr>
          <w:rFonts w:ascii="Calibri" w:cs="Calibri" w:eastAsia="Calibri" w:hAnsi="Calibri"/>
          <w:color w:val="1A1A2E"/>
          <w:sz w:val="21"/>
          <w:szCs w:val="21"/>
        </w:rPr>
        <w:t xml:space="preserve"> Build a representative test set from real query patterns, including edge cases and known-hard inputs. "Mixed methodologies" means combining automated scoring (exact match, similarity, rubric-based grading — including LLM-as-judge where appropriate) with human review for subjective quality and safety. Golden datasets let you catch regressions when you change a prompt, model, or retrieval config.</w:t>
      </w:r>
    </w:p>
    <w:p>
      <w:pPr>
        <w:spacing w:after="120" w:line="276"/>
      </w:pPr>
      <w:r>
        <w:rPr>
          <w:rFonts w:ascii="Calibri" w:cs="Calibri" w:eastAsia="Calibri" w:hAnsi="Calibri"/>
          <w:b/>
          <w:bCs/>
          <w:color w:val="1A1A2E"/>
          <w:sz w:val="21"/>
          <w:szCs w:val="21"/>
        </w:rPr>
        <w:t xml:space="preserve">A/B testing and iteration.</w:t>
      </w:r>
      <w:r>
        <w:rPr>
          <w:rFonts w:ascii="Calibri" w:cs="Calibri" w:eastAsia="Calibri" w:hAnsi="Calibri"/>
          <w:color w:val="1A1A2E"/>
          <w:sz w:val="21"/>
          <w:szCs w:val="21"/>
        </w:rPr>
        <w:t xml:space="preserve"> Change one variable at a time (prompt, model, chunking strategy), run it against the eval set or live traffic split, and compare on the metrics that matter. Iterate — the exam frames improvement as a loop, not a one-shot tuning.</w:t>
      </w:r>
    </w:p>
    <w:p>
      <w:pPr>
        <w:pStyle w:val="Heading3"/>
        <w:spacing w:after="70" w:before="180"/>
      </w:pPr>
      <w:r>
        <w:rPr>
          <w:rFonts w:ascii="Calibri" w:cs="Calibri" w:eastAsia="Calibri" w:hAnsi="Calibri"/>
          <w:b/>
          <w:bCs/>
          <w:color w:val="0F5257"/>
          <w:sz w:val="22"/>
          <w:szCs w:val="22"/>
        </w:rPr>
        <w:t xml:space="preserve">Diagnosis — map the symptom to the cause</w:t>
      </w:r>
    </w:p>
    <w:p>
      <w:pPr>
        <w:spacing w:after="60" w:line="276"/>
      </w:pPr>
      <w:r>
        <w:rPr>
          <w:rFonts w:ascii="Calibri" w:cs="Calibri" w:eastAsia="Calibri" w:hAnsi="Calibri"/>
          <w:color w:val="1A1A2E"/>
          <w:sz w:val="21"/>
          <w:szCs w:val="21"/>
        </w:rPr>
        <w:t xml:space="preserve">Root-cause diagnosis under changed conditions is a recurring, high-value item type. Learn the mapping:</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3000"/>
        <w:gridCol w:w="2860"/>
        <w:gridCol w:w="3500"/>
      </w:tblGrid>
      <w:tr>
        <w:trPr>
          <w:tblHeader/>
        </w:trPr>
        <w:tc>
          <w:tcPr>
            <w:tcW w:type="dxa" w:w="30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Symptom / what changed</w:t>
            </w:r>
          </w:p>
        </w:tc>
        <w:tc>
          <w:tcPr>
            <w:tcW w:type="dxa" w:w="28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Most likely cause</w:t>
            </w:r>
          </w:p>
        </w:tc>
        <w:tc>
          <w:tcPr>
            <w:tcW w:type="dxa" w:w="35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First thing to check</w:t>
            </w:r>
          </w:p>
        </w:tc>
      </w:tr>
      <w:tr>
        <w:tc>
          <w:tcPr>
            <w:tcW w:type="dxa" w:w="30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Confident-but-wrong answers after a document refresh; model + latency unchanged</w:t>
            </w:r>
          </w:p>
        </w:tc>
        <w:tc>
          <w:tcPr>
            <w:tcW w:type="dxa" w:w="28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Retrieval feeding poor context</w:t>
            </w:r>
          </w:p>
        </w:tc>
        <w:tc>
          <w:tcPr>
            <w:tcW w:type="dxa" w:w="35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Re-index integrity and embedding match — not the model</w:t>
            </w:r>
          </w:p>
        </w:tc>
      </w:tr>
      <w:tr>
        <w:tc>
          <w:tcPr>
            <w:tcW w:type="dxa" w:w="30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Output format drifts or ignores instructions</w:t>
            </w:r>
          </w:p>
        </w:tc>
        <w:tc>
          <w:tcPr>
            <w:tcW w:type="dxa" w:w="28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Prompt failure</w:t>
            </w:r>
          </w:p>
        </w:tc>
        <w:tc>
          <w:tcPr>
            <w:tcW w:type="dxa" w:w="35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System prompt clarity, guardrails, and (if used) few-shot examples</w:t>
            </w:r>
          </w:p>
        </w:tc>
      </w:tr>
      <w:tr>
        <w:tc>
          <w:tcPr>
            <w:tcW w:type="dxa" w:w="30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Plausible fabrications not grounded in sources</w:t>
            </w:r>
          </w:p>
        </w:tc>
        <w:tc>
          <w:tcPr>
            <w:tcW w:type="dxa" w:w="28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Hallucination</w:t>
            </w:r>
          </w:p>
        </w:tc>
        <w:tc>
          <w:tcPr>
            <w:tcW w:type="dxa" w:w="35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Whether retrieval actually returned relevant context; grounding instructions</w:t>
            </w:r>
          </w:p>
        </w:tc>
      </w:tr>
      <w:tr>
        <w:tc>
          <w:tcPr>
            <w:tcW w:type="dxa" w:w="30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Quality drop after swapping models or tiers</w:t>
            </w:r>
          </w:p>
        </w:tc>
        <w:tc>
          <w:tcPr>
            <w:tcW w:type="dxa" w:w="28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Model mismatch</w:t>
            </w:r>
          </w:p>
        </w:tc>
        <w:tc>
          <w:tcPr>
            <w:tcW w:type="dxa" w:w="35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Whether the new model fits the task's reasoning depth</w:t>
            </w:r>
          </w:p>
        </w:tc>
      </w:tr>
      <w:tr>
        <w:tc>
          <w:tcPr>
            <w:tcW w:type="dxa" w:w="30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Cost or latency spikes</w:t>
            </w:r>
          </w:p>
        </w:tc>
        <w:tc>
          <w:tcPr>
            <w:tcW w:type="dxa" w:w="28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Token / config issue</w:t>
            </w:r>
          </w:p>
        </w:tc>
        <w:tc>
          <w:tcPr>
            <w:tcW w:type="dxa" w:w="35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Prompt size, cache usage, retrieved-chunk count, model tier</w:t>
            </w:r>
          </w:p>
        </w:tc>
      </w:tr>
    </w:tbl>
    <w:p>
      <w:pPr>
        <w:pStyle w:val="Heading3"/>
        <w:spacing w:after="70" w:before="180"/>
      </w:pPr>
      <w:r>
        <w:rPr>
          <w:rFonts w:ascii="Calibri" w:cs="Calibri" w:eastAsia="Calibri" w:hAnsi="Calibri"/>
          <w:b/>
          <w:bCs/>
          <w:color w:val="0F5257"/>
          <w:sz w:val="22"/>
          <w:szCs w:val="22"/>
        </w:rPr>
        <w:t xml:space="preserve">Worked scenario — Meridian (official Sample 3, adapted)</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After the monthly policy-document refresh, the loan assistant begins giving confident but incorrect policy answers. Latency and model version are unchanged. Where do you investigate first?</w:t>
      </w:r>
    </w:p>
    <w:p>
      <w:pPr>
        <w:spacing w:after="120" w:line="276"/>
      </w:pPr>
      <w:r>
        <w:rPr>
          <w:rFonts w:ascii="Calibri" w:cs="Calibri" w:eastAsia="Calibri" w:hAnsi="Calibri"/>
          <w:b/>
          <w:bCs/>
          <w:color w:val="1A1A2E"/>
          <w:sz w:val="21"/>
          <w:szCs w:val="21"/>
        </w:rPr>
        <w:t xml:space="preserve">A: </w:t>
      </w:r>
      <w:r>
        <w:rPr>
          <w:rFonts w:ascii="Calibri" w:cs="Calibri" w:eastAsia="Calibri" w:hAnsi="Calibri"/>
          <w:b/>
          <w:bCs/>
          <w:color w:val="1A1A2E"/>
          <w:sz w:val="21"/>
          <w:szCs w:val="21"/>
        </w:rPr>
        <w:t xml:space="preserve">The retrieval/indexing step — the refresh likely produced a broken re-index or mismatched embeddings, so the model is being fed stale or irrelevant chunks.</w:t>
      </w:r>
      <w:r>
        <w:rPr>
          <w:rFonts w:ascii="Calibri" w:cs="Calibri" w:eastAsia="Calibri" w:hAnsi="Calibri"/>
          <w:color w:val="1A1A2E"/>
          <w:sz w:val="21"/>
          <w:szCs w:val="21"/>
        </w:rPr>
        <w:t xml:space="preserve"> Model weights, temperature, and context-window size would not be triggered specifically by a document refresh. This is official Sample Question 3.</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color w:val="8A5A00"/>
          <w:sz w:val="21"/>
          <w:szCs w:val="21"/>
        </w:rPr>
        <w:t xml:space="preserve">Optimizing cost/latency past a hard quality or safety floor.</w:t>
      </w:r>
      <w:r>
        <w:rPr>
          <w:rFonts w:ascii="Calibri" w:cs="Calibri" w:eastAsia="Calibri" w:hAnsi="Calibri"/>
          <w:color w:val="1A1A2E"/>
          <w:sz w:val="21"/>
          <w:szCs w:val="21"/>
        </w:rPr>
        <w:t xml:space="preserve"> Constraints are constraints.</w:t>
      </w:r>
    </w:p>
    <w:p>
      <w:pPr>
        <w:pStyle w:val="ListParagraph"/>
        <w:numPr>
          <w:ilvl w:val="0"/>
          <w:numId w:val="2"/>
        </w:numPr>
        <w:spacing w:after="60" w:line="272"/>
      </w:pPr>
      <w:r>
        <w:rPr>
          <w:rFonts w:ascii="Calibri" w:cs="Calibri" w:eastAsia="Calibri" w:hAnsi="Calibri"/>
          <w:color w:val="8A5A00"/>
          <w:sz w:val="21"/>
          <w:szCs w:val="21"/>
        </w:rPr>
        <w:t xml:space="preserve">Changing multiple variables at once</w:t>
      </w:r>
      <w:r>
        <w:rPr>
          <w:rFonts w:ascii="Calibri" w:cs="Calibri" w:eastAsia="Calibri" w:hAnsi="Calibri"/>
          <w:color w:val="1A1A2E"/>
          <w:sz w:val="21"/>
          <w:szCs w:val="21"/>
        </w:rPr>
        <w:t xml:space="preserve"> so you can't attribute the result. A/B means one variable.</w:t>
      </w:r>
    </w:p>
    <w:p>
      <w:pPr>
        <w:pStyle w:val="ListParagraph"/>
        <w:numPr>
          <w:ilvl w:val="0"/>
          <w:numId w:val="2"/>
        </w:numPr>
        <w:spacing w:after="60" w:line="272"/>
      </w:pPr>
      <w:r>
        <w:rPr>
          <w:rFonts w:ascii="Calibri" w:cs="Calibri" w:eastAsia="Calibri" w:hAnsi="Calibri"/>
          <w:color w:val="8A5A00"/>
          <w:sz w:val="21"/>
          <w:szCs w:val="21"/>
        </w:rPr>
        <w:t xml:space="preserve">Treating "accuracy" as the only metric.</w:t>
      </w:r>
      <w:r>
        <w:rPr>
          <w:rFonts w:ascii="Calibri" w:cs="Calibri" w:eastAsia="Calibri" w:hAnsi="Calibri"/>
          <w:color w:val="1A1A2E"/>
          <w:sz w:val="21"/>
          <w:szCs w:val="21"/>
        </w:rPr>
        <w:t xml:space="preserve"> The exam expects the full five-axis view.</w:t>
      </w:r>
    </w:p>
    <w:p>
      <w:pPr>
        <w:pStyle w:val="ListParagraph"/>
        <w:numPr>
          <w:ilvl w:val="0"/>
          <w:numId w:val="2"/>
        </w:numPr>
        <w:spacing w:after="60" w:line="272"/>
      </w:pPr>
      <w:r>
        <w:rPr>
          <w:rFonts w:ascii="Calibri" w:cs="Calibri" w:eastAsia="Calibri" w:hAnsi="Calibri"/>
          <w:color w:val="8A5A00"/>
          <w:sz w:val="21"/>
          <w:szCs w:val="21"/>
        </w:rPr>
        <w:t xml:space="preserve">Jumping to the model as the culprit</w:t>
      </w:r>
      <w:r>
        <w:rPr>
          <w:rFonts w:ascii="Calibri" w:cs="Calibri" w:eastAsia="Calibri" w:hAnsi="Calibri"/>
          <w:color w:val="1A1A2E"/>
          <w:sz w:val="21"/>
          <w:szCs w:val="21"/>
        </w:rPr>
        <w:t xml:space="preserve"> when the changed component was retrieval or the prompt.</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5 · Governance, Safety &amp; Risk Management — 14%</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Implement guardrails and safety controls.</w:t>
      </w:r>
    </w:p>
    <w:p>
      <w:pPr>
        <w:pStyle w:val="ListParagraph"/>
        <w:numPr>
          <w:ilvl w:val="0"/>
          <w:numId w:val="2"/>
        </w:numPr>
        <w:spacing w:after="60" w:line="272"/>
      </w:pPr>
      <w:r>
        <w:rPr>
          <w:rFonts w:ascii="Calibri" w:cs="Calibri" w:eastAsia="Calibri" w:hAnsi="Calibri"/>
          <w:color w:val="1A1A2E"/>
          <w:sz w:val="21"/>
          <w:szCs w:val="21"/>
        </w:rPr>
        <w:t xml:space="preserve">Identify risks, limitations, and failure modes of LLM systems.</w:t>
      </w:r>
    </w:p>
    <w:p>
      <w:pPr>
        <w:pStyle w:val="ListParagraph"/>
        <w:numPr>
          <w:ilvl w:val="0"/>
          <w:numId w:val="2"/>
        </w:numPr>
        <w:spacing w:after="60" w:line="272"/>
      </w:pPr>
      <w:r>
        <w:rPr>
          <w:rFonts w:ascii="Calibri" w:cs="Calibri" w:eastAsia="Calibri" w:hAnsi="Calibri"/>
          <w:color w:val="1A1A2E"/>
          <w:sz w:val="21"/>
          <w:szCs w:val="21"/>
        </w:rPr>
        <w:t xml:space="preserve">Apply human-in-the-loop validation strategies.</w:t>
      </w:r>
    </w:p>
    <w:p>
      <w:pPr>
        <w:pStyle w:val="ListParagraph"/>
        <w:numPr>
          <w:ilvl w:val="0"/>
          <w:numId w:val="2"/>
        </w:numPr>
        <w:spacing w:after="60" w:line="272"/>
      </w:pPr>
      <w:r>
        <w:rPr>
          <w:rFonts w:ascii="Calibri" w:cs="Calibri" w:eastAsia="Calibri" w:hAnsi="Calibri"/>
          <w:color w:val="1A1A2E"/>
          <w:sz w:val="21"/>
          <w:szCs w:val="21"/>
        </w:rPr>
        <w:t xml:space="preserve">Ensure compliance with regulations (e.g., GDPR, HIPAA, FedRAMP).</w:t>
      </w:r>
    </w:p>
    <w:p>
      <w:pPr>
        <w:pStyle w:val="ListParagraph"/>
        <w:numPr>
          <w:ilvl w:val="0"/>
          <w:numId w:val="2"/>
        </w:numPr>
        <w:spacing w:after="60" w:line="272"/>
      </w:pPr>
      <w:r>
        <w:rPr>
          <w:rFonts w:ascii="Calibri" w:cs="Calibri" w:eastAsia="Calibri" w:hAnsi="Calibri"/>
          <w:color w:val="1A1A2E"/>
          <w:sz w:val="21"/>
          <w:szCs w:val="21"/>
        </w:rPr>
        <w:t xml:space="preserve">Address ethical AI considerations (bias, fairness, transparency).</w:t>
      </w:r>
    </w:p>
    <w:p>
      <w:pPr>
        <w:pStyle w:val="Heading3"/>
        <w:spacing w:after="70" w:before="180"/>
      </w:pPr>
      <w:r>
        <w:rPr>
          <w:rFonts w:ascii="Calibri" w:cs="Calibri" w:eastAsia="Calibri" w:hAnsi="Calibri"/>
          <w:b/>
          <w:bCs/>
          <w:color w:val="0F5257"/>
          <w:sz w:val="22"/>
          <w:szCs w:val="22"/>
        </w:rPr>
        <w:t xml:space="preserve">Core concepts to master</w:t>
      </w:r>
    </w:p>
    <w:p>
      <w:pPr>
        <w:spacing w:after="120" w:line="276"/>
      </w:pPr>
      <w:r>
        <w:rPr>
          <w:rFonts w:ascii="Calibri" w:cs="Calibri" w:eastAsia="Calibri" w:hAnsi="Calibri"/>
          <w:b/>
          <w:bCs/>
          <w:color w:val="1A1A2E"/>
          <w:sz w:val="21"/>
          <w:szCs w:val="21"/>
        </w:rPr>
        <w:t xml:space="preserve">Guardrails and safety controls</w:t>
      </w:r>
      <w:r>
        <w:rPr>
          <w:rFonts w:ascii="Calibri" w:cs="Calibri" w:eastAsia="Calibri" w:hAnsi="Calibri"/>
          <w:color w:val="1A1A2E"/>
          <w:sz w:val="21"/>
          <w:szCs w:val="21"/>
        </w:rPr>
        <w:t xml:space="preserve"> operate at multiple layers: input validation (reject or sanitize malicious/out-of-scope prompts), system-prompt constraints (role and refusal rules), output filtering (block PII leakage or policy violations before display), and tool-scope limits (least privilege, from Domain 3). Think defense-in-depth — no single layer is sufficient.</w:t>
      </w:r>
    </w:p>
    <w:p>
      <w:pPr>
        <w:spacing w:after="120" w:line="276"/>
      </w:pPr>
      <w:r>
        <w:rPr>
          <w:rFonts w:ascii="Calibri" w:cs="Calibri" w:eastAsia="Calibri" w:hAnsi="Calibri"/>
          <w:b/>
          <w:bCs/>
          <w:color w:val="1A1A2E"/>
          <w:sz w:val="21"/>
          <w:szCs w:val="21"/>
        </w:rPr>
        <w:t xml:space="preserve">Failure modes and limitations</w:t>
      </w:r>
      <w:r>
        <w:rPr>
          <w:rFonts w:ascii="Calibri" w:cs="Calibri" w:eastAsia="Calibri" w:hAnsi="Calibri"/>
          <w:color w:val="1A1A2E"/>
          <w:sz w:val="21"/>
          <w:szCs w:val="21"/>
        </w:rPr>
        <w:t xml:space="preserve"> you must be able to name: hallucination, prompt injection, data leakage, over-reliance/automation bias, non-determinism, training-data staleness, and bias in outputs. Each pairs with a mitigation — the exam often asks you to match a risk to the right control.</w:t>
      </w:r>
    </w:p>
    <w:p>
      <w:pPr>
        <w:spacing w:after="120" w:line="276"/>
      </w:pPr>
      <w:r>
        <w:rPr>
          <w:rFonts w:ascii="Calibri" w:cs="Calibri" w:eastAsia="Calibri" w:hAnsi="Calibri"/>
          <w:b/>
          <w:bCs/>
          <w:color w:val="1A1A2E"/>
          <w:sz w:val="21"/>
          <w:szCs w:val="21"/>
        </w:rPr>
        <w:t xml:space="preserve">Human-in-the-loop (HITL)</w:t>
      </w:r>
      <w:r>
        <w:rPr>
          <w:rFonts w:ascii="Calibri" w:cs="Calibri" w:eastAsia="Calibri" w:hAnsi="Calibri"/>
          <w:color w:val="1A1A2E"/>
          <w:sz w:val="21"/>
          <w:szCs w:val="21"/>
        </w:rPr>
        <w:t xml:space="preserve"> places a human decision point where the cost of an autonomous error is high or a regulation requires human judgment. The design question is </w:t>
      </w:r>
      <w:r>
        <w:rPr>
          <w:rFonts w:ascii="Calibri" w:cs="Calibri" w:eastAsia="Calibri" w:hAnsi="Calibri"/>
          <w:i/>
          <w:iCs/>
          <w:color w:val="1A1A2E"/>
          <w:sz w:val="21"/>
          <w:szCs w:val="21"/>
        </w:rPr>
        <w:t xml:space="preserve">where</w:t>
      </w:r>
      <w:r>
        <w:rPr>
          <w:rFonts w:ascii="Calibri" w:cs="Calibri" w:eastAsia="Calibri" w:hAnsi="Calibri"/>
          <w:color w:val="1A1A2E"/>
          <w:sz w:val="21"/>
          <w:szCs w:val="21"/>
        </w:rPr>
        <w:t xml:space="preserve"> to put the human: reviewing every output (high assurance, low throughput), reviewing only low-confidence or high-impact cases (balanced), or post-hoc auditing (low friction, weaker assurance). For Meridian, a human must approve every lending decision — the assistant drafts, a person decides. That is not optional polish; fair-lending law effectively requires it.</w:t>
      </w:r>
    </w:p>
    <w:p>
      <w:pPr>
        <w:pStyle w:val="Heading3"/>
        <w:spacing w:after="70" w:before="180"/>
      </w:pPr>
      <w:r>
        <w:rPr>
          <w:rFonts w:ascii="Calibri" w:cs="Calibri" w:eastAsia="Calibri" w:hAnsi="Calibri"/>
          <w:b/>
          <w:bCs/>
          <w:color w:val="0F5257"/>
          <w:sz w:val="22"/>
          <w:szCs w:val="22"/>
        </w:rPr>
        <w:t xml:space="preserve">Compliance regimes — know what each governs</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1700"/>
        <w:gridCol w:w="2560"/>
        <w:gridCol w:w="5100"/>
      </w:tblGrid>
      <w:tr>
        <w:trPr>
          <w:tblHeader/>
        </w:trPr>
        <w:tc>
          <w:tcPr>
            <w:tcW w:type="dxa" w:w="17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Regime</w:t>
            </w:r>
          </w:p>
        </w:tc>
        <w:tc>
          <w:tcPr>
            <w:tcW w:type="dxa" w:w="25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Domain</w:t>
            </w:r>
          </w:p>
        </w:tc>
        <w:tc>
          <w:tcPr>
            <w:tcW w:type="dxa" w:w="51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What it drives in your design</w:t>
            </w:r>
          </w:p>
        </w:tc>
      </w:tr>
      <w:tr>
        <w:tc>
          <w:tcPr>
            <w:tcW w:type="dxa" w:w="1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GDPR</w:t>
            </w:r>
          </w:p>
        </w:tc>
        <w:tc>
          <w:tcPr>
            <w:tcW w:type="dxa" w:w="2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EU personal data</w:t>
            </w:r>
          </w:p>
        </w:tc>
        <w:tc>
          <w:tcPr>
            <w:tcW w:type="dxa" w:w="51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Lawful basis, data minimization, right to erasure/access, cross-border transfer limits, consent.</w:t>
            </w:r>
          </w:p>
        </w:tc>
      </w:tr>
      <w:tr>
        <w:tc>
          <w:tcPr>
            <w:tcW w:type="dxa" w:w="17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HIPAA</w:t>
            </w:r>
          </w:p>
        </w:tc>
        <w:tc>
          <w:tcPr>
            <w:tcW w:type="dxa" w:w="25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US protected health info</w:t>
            </w:r>
          </w:p>
        </w:tc>
        <w:tc>
          <w:tcPr>
            <w:tcW w:type="dxa" w:w="51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Safeguards for PHI, access controls, audit logging, BAAs with processors.</w:t>
            </w:r>
          </w:p>
        </w:tc>
      </w:tr>
      <w:tr>
        <w:tc>
          <w:tcPr>
            <w:tcW w:type="dxa" w:w="17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FedRAMP</w:t>
            </w:r>
          </w:p>
        </w:tc>
        <w:tc>
          <w:tcPr>
            <w:tcW w:type="dxa" w:w="25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US federal cloud</w:t>
            </w:r>
          </w:p>
        </w:tc>
        <w:tc>
          <w:tcPr>
            <w:tcW w:type="dxa" w:w="51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Authorized cloud deployment, control baselines, continuous monitoring for government workloads.</w:t>
            </w:r>
          </w:p>
        </w:tc>
      </w:tr>
      <w:tr>
        <w:tc>
          <w:tcPr>
            <w:tcW w:type="dxa" w:w="17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(Sector examples)</w:t>
            </w:r>
          </w:p>
        </w:tc>
        <w:tc>
          <w:tcPr>
            <w:tcW w:type="dxa" w:w="25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Finance: SOX, GLBA, ECOA</w:t>
            </w:r>
          </w:p>
        </w:tc>
        <w:tc>
          <w:tcPr>
            <w:tcW w:type="dxa" w:w="51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Auditability, data privacy, and fair-lending / non-discrimination for credit decisions.</w:t>
            </w:r>
          </w:p>
        </w:tc>
      </w:tr>
    </w:tbl>
    <w:p>
      <w:pPr>
        <w:spacing w:after="120" w:line="276"/>
      </w:pPr>
      <w:r>
        <w:rPr>
          <w:rFonts w:ascii="Calibri" w:cs="Calibri" w:eastAsia="Calibri" w:hAnsi="Calibri"/>
          <w:color w:val="1A1A2E"/>
          <w:sz w:val="21"/>
          <w:szCs w:val="21"/>
        </w:rPr>
        <w:t xml:space="preserve">You are not expected to be a lawyer, but you must recognize which regime a scenario invokes and translate it into an architectural requirement — e.g., "PII cannot leave the tenant" drives deployment and data-residency choices; "right to erasure" drives how you store and index user data.</w:t>
      </w:r>
    </w:p>
    <w:p>
      <w:pPr>
        <w:pStyle w:val="Heading3"/>
        <w:spacing w:after="70" w:before="180"/>
      </w:pPr>
      <w:r>
        <w:rPr>
          <w:rFonts w:ascii="Calibri" w:cs="Calibri" w:eastAsia="Calibri" w:hAnsi="Calibri"/>
          <w:b/>
          <w:bCs/>
          <w:color w:val="0F5257"/>
          <w:sz w:val="22"/>
          <w:szCs w:val="22"/>
        </w:rPr>
        <w:t xml:space="preserve">Ethical AI — bias, fairness, transparency</w:t>
      </w:r>
    </w:p>
    <w:p>
      <w:pPr>
        <w:spacing w:after="120" w:line="276"/>
      </w:pPr>
      <w:r>
        <w:rPr>
          <w:rFonts w:ascii="Calibri" w:cs="Calibri" w:eastAsia="Calibri" w:hAnsi="Calibri"/>
          <w:color w:val="1A1A2E"/>
          <w:sz w:val="21"/>
          <w:szCs w:val="21"/>
        </w:rPr>
        <w:t xml:space="preserve">For a lending assistant this is not abstract. </w:t>
      </w:r>
      <w:r>
        <w:rPr>
          <w:rFonts w:ascii="Calibri" w:cs="Calibri" w:eastAsia="Calibri" w:hAnsi="Calibri"/>
          <w:b/>
          <w:bCs/>
          <w:color w:val="1A1A2E"/>
          <w:sz w:val="21"/>
          <w:szCs w:val="21"/>
        </w:rPr>
        <w:t xml:space="preserve">Bias/fairness</w:t>
      </w:r>
      <w:r>
        <w:rPr>
          <w:rFonts w:ascii="Calibri" w:cs="Calibri" w:eastAsia="Calibri" w:hAnsi="Calibri"/>
          <w:color w:val="1A1A2E"/>
          <w:sz w:val="21"/>
          <w:szCs w:val="21"/>
        </w:rPr>
        <w:t xml:space="preserve">: the system must not produce or amplify disparate outcomes across protected classes; evaluate for it explicitly. </w:t>
      </w:r>
      <w:r>
        <w:rPr>
          <w:rFonts w:ascii="Calibri" w:cs="Calibri" w:eastAsia="Calibri" w:hAnsi="Calibri"/>
          <w:b/>
          <w:bCs/>
          <w:color w:val="1A1A2E"/>
          <w:sz w:val="21"/>
          <w:szCs w:val="21"/>
        </w:rPr>
        <w:t xml:space="preserve">Transparency</w:t>
      </w:r>
      <w:r>
        <w:rPr>
          <w:rFonts w:ascii="Calibri" w:cs="Calibri" w:eastAsia="Calibri" w:hAnsi="Calibri"/>
          <w:color w:val="1A1A2E"/>
          <w:sz w:val="21"/>
          <w:szCs w:val="21"/>
        </w:rPr>
        <w:t xml:space="preserve">: every recommendation must be explainable to a compliance reviewer — which argues for grounding answers in cited policy and documents, and against opaque one-shot judgments. Transparency and auditability are design inputs, not afterthoughts.</w:t>
      </w:r>
    </w:p>
    <w:p>
      <w:pPr>
        <w:pStyle w:val="Heading3"/>
        <w:spacing w:after="70" w:before="180"/>
      </w:pPr>
      <w:r>
        <w:rPr>
          <w:rFonts w:ascii="Calibri" w:cs="Calibri" w:eastAsia="Calibri" w:hAnsi="Calibri"/>
          <w:b/>
          <w:bCs/>
          <w:color w:val="0F5257"/>
          <w:sz w:val="22"/>
          <w:szCs w:val="22"/>
        </w:rPr>
        <w:t xml:space="preserve">Worked scenario — Meridian</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To speed throughput, a stakeholder proposes letting the assistant auto-approve loans below $5,000 when its confidence is high. What is the strongest governance objection?</w:t>
      </w:r>
    </w:p>
    <w:p>
      <w:pPr>
        <w:spacing w:after="120" w:line="276"/>
      </w:pPr>
      <w:r>
        <w:rPr>
          <w:rFonts w:ascii="Calibri" w:cs="Calibri" w:eastAsia="Calibri" w:hAnsi="Calibri"/>
          <w:b/>
          <w:bCs/>
          <w:color w:val="1A1A2E"/>
          <w:sz w:val="21"/>
          <w:szCs w:val="21"/>
        </w:rPr>
        <w:t xml:space="preserve">A: </w:t>
      </w:r>
      <w:r>
        <w:rPr>
          <w:rFonts w:ascii="Calibri" w:cs="Calibri" w:eastAsia="Calibri" w:hAnsi="Calibri"/>
          <w:b/>
          <w:bCs/>
          <w:color w:val="1A1A2E"/>
          <w:sz w:val="21"/>
          <w:szCs w:val="21"/>
        </w:rPr>
        <w:t xml:space="preserve">Autonomous credit approval — even for small amounts — removes the human decision that fair-lending compliance and auditability require, and exposes the bank to discriminatory-outcome risk that a confidence score does not address.</w:t>
      </w:r>
      <w:r>
        <w:rPr>
          <w:rFonts w:ascii="Calibri" w:cs="Calibri" w:eastAsia="Calibri" w:hAnsi="Calibri"/>
          <w:color w:val="1A1A2E"/>
          <w:sz w:val="21"/>
          <w:szCs w:val="21"/>
        </w:rPr>
        <w:t xml:space="preserve"> The correct design keeps a human in the loop for every decision; the assistant may draft and rank, but a person approves. "High confidence" is not a control for bias or a substitute for required human judgment.</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color w:val="8A5A00"/>
          <w:sz w:val="21"/>
          <w:szCs w:val="21"/>
        </w:rPr>
        <w:t xml:space="preserve">Treating a single guardrail as sufficient.</w:t>
      </w:r>
      <w:r>
        <w:rPr>
          <w:rFonts w:ascii="Calibri" w:cs="Calibri" w:eastAsia="Calibri" w:hAnsi="Calibri"/>
          <w:color w:val="1A1A2E"/>
          <w:sz w:val="21"/>
          <w:szCs w:val="21"/>
        </w:rPr>
        <w:t xml:space="preserve"> Safety is layered.</w:t>
      </w:r>
    </w:p>
    <w:p>
      <w:pPr>
        <w:pStyle w:val="ListParagraph"/>
        <w:numPr>
          <w:ilvl w:val="0"/>
          <w:numId w:val="2"/>
        </w:numPr>
        <w:spacing w:after="60" w:line="272"/>
      </w:pPr>
      <w:r>
        <w:rPr>
          <w:rFonts w:ascii="Calibri" w:cs="Calibri" w:eastAsia="Calibri" w:hAnsi="Calibri"/>
          <w:color w:val="8A5A00"/>
          <w:sz w:val="21"/>
          <w:szCs w:val="21"/>
        </w:rPr>
        <w:t xml:space="preserve">Removing the human from a high-stakes or legally-gated decision</w:t>
      </w:r>
      <w:r>
        <w:rPr>
          <w:rFonts w:ascii="Calibri" w:cs="Calibri" w:eastAsia="Calibri" w:hAnsi="Calibri"/>
          <w:color w:val="1A1A2E"/>
          <w:sz w:val="21"/>
          <w:szCs w:val="21"/>
        </w:rPr>
        <w:t xml:space="preserve"> to gain throughput.</w:t>
      </w:r>
    </w:p>
    <w:p>
      <w:pPr>
        <w:pStyle w:val="ListParagraph"/>
        <w:numPr>
          <w:ilvl w:val="0"/>
          <w:numId w:val="2"/>
        </w:numPr>
        <w:spacing w:after="60" w:line="272"/>
      </w:pPr>
      <w:r>
        <w:rPr>
          <w:rFonts w:ascii="Calibri" w:cs="Calibri" w:eastAsia="Calibri" w:hAnsi="Calibri"/>
          <w:color w:val="8A5A00"/>
          <w:sz w:val="21"/>
          <w:szCs w:val="21"/>
        </w:rPr>
        <w:t xml:space="preserve">Confusing a model confidence score with a fairness or safety control.</w:t>
      </w:r>
    </w:p>
    <w:p>
      <w:pPr>
        <w:pStyle w:val="ListParagraph"/>
        <w:numPr>
          <w:ilvl w:val="0"/>
          <w:numId w:val="2"/>
        </w:numPr>
        <w:spacing w:after="60" w:line="272"/>
      </w:pPr>
      <w:r>
        <w:rPr>
          <w:rFonts w:ascii="Calibri" w:cs="Calibri" w:eastAsia="Calibri" w:hAnsi="Calibri"/>
          <w:b/>
          <w:bCs/>
          <w:color w:val="8A5A00"/>
          <w:sz w:val="21"/>
          <w:szCs w:val="21"/>
        </w:rPr>
        <w:t xml:space="preserve">Under-studying this domain</w:t>
      </w:r>
      <w:r>
        <w:rPr>
          <w:rFonts w:ascii="Calibri" w:cs="Calibri" w:eastAsia="Calibri" w:hAnsi="Calibri"/>
          <w:color w:val="1A1A2E"/>
          <w:sz w:val="21"/>
          <w:szCs w:val="21"/>
        </w:rPr>
        <w:t xml:space="preserve"> — it is 14% and pairs tightly with the security items in Integration.</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6 · Stakeholder Communication &amp; Lifecycle Management — 14%</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Conduct structured discovery and requirement gathering.</w:t>
      </w:r>
    </w:p>
    <w:p>
      <w:pPr>
        <w:pStyle w:val="ListParagraph"/>
        <w:numPr>
          <w:ilvl w:val="0"/>
          <w:numId w:val="2"/>
        </w:numPr>
        <w:spacing w:after="60" w:line="272"/>
      </w:pPr>
      <w:r>
        <w:rPr>
          <w:rFonts w:ascii="Calibri" w:cs="Calibri" w:eastAsia="Calibri" w:hAnsi="Calibri"/>
          <w:color w:val="1A1A2E"/>
          <w:sz w:val="21"/>
          <w:szCs w:val="21"/>
        </w:rPr>
        <w:t xml:space="preserve">Communicate architectural decisions and trade-offs.</w:t>
      </w:r>
    </w:p>
    <w:p>
      <w:pPr>
        <w:pStyle w:val="ListParagraph"/>
        <w:numPr>
          <w:ilvl w:val="0"/>
          <w:numId w:val="2"/>
        </w:numPr>
        <w:spacing w:after="60" w:line="272"/>
      </w:pPr>
      <w:r>
        <w:rPr>
          <w:rFonts w:ascii="Calibri" w:cs="Calibri" w:eastAsia="Calibri" w:hAnsi="Calibri"/>
          <w:color w:val="1A1A2E"/>
          <w:sz w:val="21"/>
          <w:szCs w:val="21"/>
        </w:rPr>
        <w:t xml:space="preserve">Manage stakeholder feedback loops and expectation alignment (including SLAs).</w:t>
      </w:r>
    </w:p>
    <w:p>
      <w:pPr>
        <w:pStyle w:val="ListParagraph"/>
        <w:numPr>
          <w:ilvl w:val="0"/>
          <w:numId w:val="2"/>
        </w:numPr>
        <w:spacing w:after="60" w:line="272"/>
      </w:pPr>
      <w:r>
        <w:rPr>
          <w:rFonts w:ascii="Calibri" w:cs="Calibri" w:eastAsia="Calibri" w:hAnsi="Calibri"/>
          <w:color w:val="1A1A2E"/>
          <w:sz w:val="21"/>
          <w:szCs w:val="21"/>
        </w:rPr>
        <w:t xml:space="preserve">Document architectures and provide implementation guidance.</w:t>
      </w:r>
    </w:p>
    <w:p>
      <w:pPr>
        <w:pStyle w:val="ListParagraph"/>
        <w:numPr>
          <w:ilvl w:val="0"/>
          <w:numId w:val="2"/>
        </w:numPr>
        <w:spacing w:after="60" w:line="272"/>
      </w:pPr>
      <w:r>
        <w:rPr>
          <w:rFonts w:ascii="Calibri" w:cs="Calibri" w:eastAsia="Calibri" w:hAnsi="Calibri"/>
          <w:color w:val="1A1A2E"/>
          <w:sz w:val="21"/>
          <w:szCs w:val="21"/>
        </w:rPr>
        <w:t xml:space="preserve">Support lifecycle phases (discovery, design, handoff, monitoring, iteration).</w:t>
      </w:r>
    </w:p>
    <w:p>
      <w:pPr>
        <w:pStyle w:val="Heading3"/>
        <w:spacing w:after="70" w:before="180"/>
      </w:pPr>
      <w:r>
        <w:rPr>
          <w:rFonts w:ascii="Calibri" w:cs="Calibri" w:eastAsia="Calibri" w:hAnsi="Calibri"/>
          <w:b/>
          <w:bCs/>
          <w:color w:val="0F5257"/>
          <w:sz w:val="22"/>
          <w:szCs w:val="22"/>
        </w:rPr>
        <w:t xml:space="preserve">Core concepts to master</w:t>
      </w:r>
    </w:p>
    <w:p>
      <w:pPr>
        <w:spacing w:after="120" w:line="276"/>
      </w:pPr>
      <w:r>
        <w:rPr>
          <w:rFonts w:ascii="Calibri" w:cs="Calibri" w:eastAsia="Calibri" w:hAnsi="Calibri"/>
          <w:b/>
          <w:bCs/>
          <w:color w:val="1A1A2E"/>
          <w:sz w:val="21"/>
          <w:szCs w:val="21"/>
        </w:rPr>
        <w:t xml:space="preserve">This is a genuine engineering-judgment domain, not filler.</w:t>
      </w:r>
      <w:r>
        <w:rPr>
          <w:rFonts w:ascii="Calibri" w:cs="Calibri" w:eastAsia="Calibri" w:hAnsi="Calibri"/>
          <w:color w:val="1A1A2E"/>
          <w:sz w:val="21"/>
          <w:szCs w:val="21"/>
        </w:rPr>
        <w:t xml:space="preserve"> It tests whether you can lead an architecture through its lifecycle and communicate decisions to non-technical stakeholders — the work that distinguishes an architect from an implementer.</w:t>
      </w:r>
    </w:p>
    <w:p>
      <w:pPr>
        <w:spacing w:after="120" w:line="276"/>
      </w:pPr>
      <w:r>
        <w:rPr>
          <w:rFonts w:ascii="Calibri" w:cs="Calibri" w:eastAsia="Calibri" w:hAnsi="Calibri"/>
          <w:b/>
          <w:bCs/>
          <w:color w:val="1A1A2E"/>
          <w:sz w:val="21"/>
          <w:szCs w:val="21"/>
        </w:rPr>
        <w:t xml:space="preserve">Structured discovery</w:t>
      </w:r>
      <w:r>
        <w:rPr>
          <w:rFonts w:ascii="Calibri" w:cs="Calibri" w:eastAsia="Calibri" w:hAnsi="Calibri"/>
          <w:color w:val="1A1A2E"/>
          <w:sz w:val="21"/>
          <w:szCs w:val="21"/>
        </w:rPr>
        <w:t xml:space="preserve"> comes before design: elicit the real business problem, success metrics, constraints (SLA, budget, compliance, data), and who the stakeholders are. The recurring exam lesson from Domain 1 applies here too — understand the problem before proposing a solution. A good discovery question surfaces a constraint that changes the architecture (e.g., "PII cannot leave our tenant" or "decisions must be explainable").</w:t>
      </w:r>
    </w:p>
    <w:p>
      <w:pPr>
        <w:spacing w:after="60" w:line="276"/>
      </w:pPr>
      <w:r>
        <w:rPr>
          <w:rFonts w:ascii="Calibri" w:cs="Calibri" w:eastAsia="Calibri" w:hAnsi="Calibri"/>
          <w:b/>
          <w:bCs/>
          <w:color w:val="1A1A2E"/>
          <w:sz w:val="21"/>
          <w:szCs w:val="21"/>
        </w:rPr>
        <w:t xml:space="preserve">Communicating trade-offs by audience</w:t>
      </w:r>
      <w:r>
        <w:rPr>
          <w:rFonts w:ascii="Calibri" w:cs="Calibri" w:eastAsia="Calibri" w:hAnsi="Calibri"/>
          <w:color w:val="1A1A2E"/>
          <w:sz w:val="21"/>
          <w:szCs w:val="21"/>
        </w:rPr>
        <w:t xml:space="preserve"> is the most testable skill. The same decision is framed differently for different stakeholders:</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1900"/>
        <w:gridCol w:w="3300"/>
        <w:gridCol w:w="4160"/>
      </w:tblGrid>
      <w:tr>
        <w:trPr>
          <w:tblHeader/>
        </w:trPr>
        <w:tc>
          <w:tcPr>
            <w:tcW w:type="dxa" w:w="19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Audience</w:t>
            </w:r>
          </w:p>
        </w:tc>
        <w:tc>
          <w:tcPr>
            <w:tcW w:type="dxa" w:w="33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They care about</w:t>
            </w:r>
          </w:p>
        </w:tc>
        <w:tc>
          <w:tcPr>
            <w:tcW w:type="dxa" w:w="41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Frame the trade-off as</w:t>
            </w:r>
          </w:p>
        </w:tc>
      </w:tr>
      <w:tr>
        <w:tc>
          <w:tcPr>
            <w:tcW w:type="dxa" w:w="19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Executive</w:t>
            </w:r>
          </w:p>
        </w:tc>
        <w:tc>
          <w:tcPr>
            <w:tcW w:type="dxa" w:w="33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Business value, cost, risk, time-to-value</w:t>
            </w:r>
          </w:p>
        </w:tc>
        <w:tc>
          <w:tcPr>
            <w:tcW w:type="dxa" w:w="41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ROI and risk in business terms; avoid implementation detail.</w:t>
            </w:r>
          </w:p>
        </w:tc>
      </w:tr>
      <w:tr>
        <w:tc>
          <w:tcPr>
            <w:tcW w:type="dxa" w:w="19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Legal / Compliance</w:t>
            </w:r>
          </w:p>
        </w:tc>
        <w:tc>
          <w:tcPr>
            <w:tcW w:type="dxa" w:w="33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Regulatory exposure, auditability, data handling</w:t>
            </w:r>
          </w:p>
        </w:tc>
        <w:tc>
          <w:tcPr>
            <w:tcW w:type="dxa" w:w="41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How the design satisfies the specific regime and what evidence it produces.</w:t>
            </w:r>
          </w:p>
        </w:tc>
      </w:tr>
      <w:tr>
        <w:tc>
          <w:tcPr>
            <w:tcW w:type="dxa" w:w="19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Security</w:t>
            </w:r>
          </w:p>
        </w:tc>
        <w:tc>
          <w:tcPr>
            <w:tcW w:type="dxa" w:w="33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Attack surface, access, data flow</w:t>
            </w:r>
          </w:p>
        </w:tc>
        <w:tc>
          <w:tcPr>
            <w:tcW w:type="dxa" w:w="41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Least privilege, authN/authZ, and where data lives and moves.</w:t>
            </w:r>
          </w:p>
        </w:tc>
      </w:tr>
      <w:tr>
        <w:tc>
          <w:tcPr>
            <w:tcW w:type="dxa" w:w="19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Operations</w:t>
            </w:r>
          </w:p>
        </w:tc>
        <w:tc>
          <w:tcPr>
            <w:tcW w:type="dxa" w:w="33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Reliability, monitoring, on-call burden</w:t>
            </w:r>
          </w:p>
        </w:tc>
        <w:tc>
          <w:tcPr>
            <w:tcW w:type="dxa" w:w="41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SLAs, observability, failure modes, and runbooks.</w:t>
            </w:r>
          </w:p>
        </w:tc>
      </w:tr>
    </w:tbl>
    <w:p>
      <w:pPr>
        <w:spacing w:after="120" w:line="276"/>
      </w:pPr>
      <w:r>
        <w:rPr>
          <w:rFonts w:ascii="Calibri" w:cs="Calibri" w:eastAsia="Calibri" w:hAnsi="Calibri"/>
          <w:b/>
          <w:bCs/>
          <w:color w:val="1A1A2E"/>
          <w:sz w:val="21"/>
          <w:szCs w:val="21"/>
        </w:rPr>
        <w:t xml:space="preserve">SLA and expectation management</w:t>
      </w:r>
      <w:r>
        <w:rPr>
          <w:rFonts w:ascii="Calibri" w:cs="Calibri" w:eastAsia="Calibri" w:hAnsi="Calibri"/>
          <w:color w:val="1A1A2E"/>
          <w:sz w:val="21"/>
          <w:szCs w:val="21"/>
        </w:rPr>
        <w:t xml:space="preserve">: align stakeholders on measurable targets (latency, accuracy, availability) and be explicit about what the system will </w:t>
      </w:r>
      <w:r>
        <w:rPr>
          <w:rFonts w:ascii="Calibri" w:cs="Calibri" w:eastAsia="Calibri" w:hAnsi="Calibri"/>
          <w:i/>
          <w:iCs/>
          <w:color w:val="1A1A2E"/>
          <w:sz w:val="21"/>
          <w:szCs w:val="21"/>
        </w:rPr>
        <w:t xml:space="preserve">not</w:t>
      </w:r>
      <w:r>
        <w:rPr>
          <w:rFonts w:ascii="Calibri" w:cs="Calibri" w:eastAsia="Calibri" w:hAnsi="Calibri"/>
          <w:color w:val="1A1A2E"/>
          <w:sz w:val="21"/>
          <w:szCs w:val="21"/>
        </w:rPr>
        <w:t xml:space="preserve"> do — e.g., "it drafts recommendations; it does not approve loans." Managing expectations is itself a deliverable.</w:t>
      </w:r>
    </w:p>
    <w:p>
      <w:pPr>
        <w:spacing w:after="120" w:line="276"/>
      </w:pPr>
      <w:r>
        <w:rPr>
          <w:rFonts w:ascii="Calibri" w:cs="Calibri" w:eastAsia="Calibri" w:hAnsi="Calibri"/>
          <w:b/>
          <w:bCs/>
          <w:color w:val="1A1A2E"/>
          <w:sz w:val="21"/>
          <w:szCs w:val="21"/>
        </w:rPr>
        <w:t xml:space="preserve">Lifecycle phases</w:t>
      </w:r>
      <w:r>
        <w:rPr>
          <w:rFonts w:ascii="Calibri" w:cs="Calibri" w:eastAsia="Calibri" w:hAnsi="Calibri"/>
          <w:color w:val="1A1A2E"/>
          <w:sz w:val="21"/>
          <w:szCs w:val="21"/>
        </w:rPr>
        <w:t xml:space="preserve">: discovery → design → handoff → monitoring → iteration. "Handoff" means documentation and implementation guidance good enough for another team to build and operate the system. Monitoring and iteration close the loop back to Evaluation — the architecture is never "done."</w:t>
      </w:r>
    </w:p>
    <w:p>
      <w:pPr>
        <w:pStyle w:val="Heading3"/>
        <w:spacing w:after="70" w:before="180"/>
      </w:pPr>
      <w:r>
        <w:rPr>
          <w:rFonts w:ascii="Calibri" w:cs="Calibri" w:eastAsia="Calibri" w:hAnsi="Calibri"/>
          <w:b/>
          <w:bCs/>
          <w:color w:val="0F5257"/>
          <w:sz w:val="22"/>
          <w:szCs w:val="22"/>
        </w:rPr>
        <w:t xml:space="preserve">Worked scenario — Meridian</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An executive sponsor asks why the team chose a RAG design over fine-tuning a model on the bank's policies, and worries RAG is "less advanced." How do you frame the answer?</w:t>
      </w:r>
    </w:p>
    <w:p>
      <w:pPr>
        <w:spacing w:after="120" w:line="276"/>
      </w:pPr>
      <w:r>
        <w:rPr>
          <w:rFonts w:ascii="Calibri" w:cs="Calibri" w:eastAsia="Calibri" w:hAnsi="Calibri"/>
          <w:b/>
          <w:bCs/>
          <w:color w:val="1A1A2E"/>
          <w:sz w:val="21"/>
          <w:szCs w:val="21"/>
        </w:rPr>
        <w:t xml:space="preserve">A: </w:t>
      </w:r>
      <w:r>
        <w:rPr>
          <w:rFonts w:ascii="Calibri" w:cs="Calibri" w:eastAsia="Calibri" w:hAnsi="Calibri"/>
          <w:b/>
          <w:bCs/>
          <w:color w:val="1A1A2E"/>
          <w:sz w:val="21"/>
          <w:szCs w:val="21"/>
        </w:rPr>
        <w:t xml:space="preserve">In business terms: bank policy changes monthly, so RAG lets us update behavior by re-indexing documents — no retraining, lower cost, faster time-to-value — while keeping every answer traceable to a cited source, which compliance requires.</w:t>
      </w:r>
      <w:r>
        <w:rPr>
          <w:rFonts w:ascii="Calibri" w:cs="Calibri" w:eastAsia="Calibri" w:hAnsi="Calibri"/>
          <w:color w:val="1A1A2E"/>
          <w:sz w:val="21"/>
          <w:szCs w:val="21"/>
        </w:rPr>
        <w:t xml:space="preserve"> Fine-tuning would bake in policy that goes stale, cost more to update, and be harder to explain to auditors. The framing leads with value, cost, and auditability — not embeddings and gradients.</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color w:val="8A5A00"/>
          <w:sz w:val="21"/>
          <w:szCs w:val="21"/>
        </w:rPr>
        <w:t xml:space="preserve">Explaining a decision in implementation detail to an executive</w:t>
      </w:r>
      <w:r>
        <w:rPr>
          <w:rFonts w:ascii="Calibri" w:cs="Calibri" w:eastAsia="Calibri" w:hAnsi="Calibri"/>
          <w:color w:val="1A1A2E"/>
          <w:sz w:val="21"/>
          <w:szCs w:val="21"/>
        </w:rPr>
        <w:t xml:space="preserve"> instead of business value and risk.</w:t>
      </w:r>
    </w:p>
    <w:p>
      <w:pPr>
        <w:pStyle w:val="ListParagraph"/>
        <w:numPr>
          <w:ilvl w:val="0"/>
          <w:numId w:val="2"/>
        </w:numPr>
        <w:spacing w:after="60" w:line="272"/>
      </w:pPr>
      <w:r>
        <w:rPr>
          <w:rFonts w:ascii="Calibri" w:cs="Calibri" w:eastAsia="Calibri" w:hAnsi="Calibri"/>
          <w:color w:val="8A5A00"/>
          <w:sz w:val="21"/>
          <w:szCs w:val="21"/>
        </w:rPr>
        <w:t xml:space="preserve">Skipping discovery</w:t>
      </w:r>
      <w:r>
        <w:rPr>
          <w:rFonts w:ascii="Calibri" w:cs="Calibri" w:eastAsia="Calibri" w:hAnsi="Calibri"/>
          <w:color w:val="1A1A2E"/>
          <w:sz w:val="21"/>
          <w:szCs w:val="21"/>
        </w:rPr>
        <w:t xml:space="preserve"> and designing against assumed rather than elicited requirements.</w:t>
      </w:r>
    </w:p>
    <w:p>
      <w:pPr>
        <w:pStyle w:val="ListParagraph"/>
        <w:numPr>
          <w:ilvl w:val="0"/>
          <w:numId w:val="2"/>
        </w:numPr>
        <w:spacing w:after="60" w:line="272"/>
      </w:pPr>
      <w:r>
        <w:rPr>
          <w:rFonts w:ascii="Calibri" w:cs="Calibri" w:eastAsia="Calibri" w:hAnsi="Calibri"/>
          <w:color w:val="8A5A00"/>
          <w:sz w:val="21"/>
          <w:szCs w:val="21"/>
        </w:rPr>
        <w:t xml:space="preserve">Treating documentation and handoff as optional</w:t>
      </w:r>
      <w:r>
        <w:rPr>
          <w:rFonts w:ascii="Calibri" w:cs="Calibri" w:eastAsia="Calibri" w:hAnsi="Calibri"/>
          <w:color w:val="1A1A2E"/>
          <w:sz w:val="21"/>
          <w:szCs w:val="21"/>
        </w:rPr>
        <w:t xml:space="preserve"> — they are named lifecycle deliverables.</w:t>
      </w:r>
    </w:p>
    <w:p>
      <w:pPr>
        <w:pStyle w:val="ListParagraph"/>
        <w:numPr>
          <w:ilvl w:val="0"/>
          <w:numId w:val="2"/>
        </w:numPr>
        <w:spacing w:after="60" w:line="272"/>
      </w:pPr>
      <w:r>
        <w:rPr>
          <w:rFonts w:ascii="Calibri" w:cs="Calibri" w:eastAsia="Calibri" w:hAnsi="Calibri"/>
          <w:b/>
          <w:bCs/>
          <w:color w:val="8A5A00"/>
          <w:sz w:val="21"/>
          <w:szCs w:val="21"/>
        </w:rPr>
        <w:t xml:space="preserve">Dismissing this domain as "soft."</w:t>
      </w:r>
      <w:r>
        <w:rPr>
          <w:rFonts w:ascii="Calibri" w:cs="Calibri" w:eastAsia="Calibri" w:hAnsi="Calibri"/>
          <w:color w:val="1A1A2E"/>
          <w:sz w:val="21"/>
          <w:szCs w:val="21"/>
        </w:rPr>
        <w:t xml:space="preserve"> It is 14% and tests real architect judgment.</w:t>
      </w:r>
    </w:p>
    <w:p>
      <w:pPr>
        <w:pBdr>
          <w:bottom w:val="single" w:color="C9BFC9" w:sz="6"/>
        </w:pBdr>
        <w:spacing w:after="120" w:before="60"/>
      </w:pPr>
      <w:r>
        <w:rPr>
          <w:sz w:val="2"/>
          <w:szCs w:val="2"/>
        </w:rPr>
        <w:t xml:space="preserve"/>
      </w:r>
    </w:p>
    <w:p>
      <w:pPr>
        <w:pStyle w:val="Heading2"/>
        <w:spacing w:after="100" w:before="260"/>
      </w:pPr>
      <w:r>
        <w:rPr>
          <w:rFonts w:ascii="Calibri" w:cs="Calibri" w:eastAsia="Calibri" w:hAnsi="Calibri"/>
          <w:b/>
          <w:bCs/>
          <w:color w:val="1A1A2E"/>
          <w:sz w:val="26"/>
          <w:szCs w:val="26"/>
        </w:rPr>
        <w:t xml:space="preserve">Domain 7 · Developer Productivity &amp; Operational Enablement — 7%  (Lightest)</w:t>
      </w:r>
    </w:p>
    <w:p>
      <w:pPr>
        <w:pStyle w:val="Heading3"/>
        <w:spacing w:after="70" w:before="180"/>
      </w:pPr>
      <w:r>
        <w:rPr>
          <w:rFonts w:ascii="Calibri" w:cs="Calibri" w:eastAsia="Calibri" w:hAnsi="Calibri"/>
          <w:b/>
          <w:bCs/>
          <w:color w:val="0F5257"/>
          <w:sz w:val="22"/>
          <w:szCs w:val="22"/>
        </w:rPr>
        <w:t xml:space="preserve">Official objectives</w:t>
      </w:r>
    </w:p>
    <w:p>
      <w:pPr>
        <w:pStyle w:val="ListParagraph"/>
        <w:numPr>
          <w:ilvl w:val="0"/>
          <w:numId w:val="2"/>
        </w:numPr>
        <w:spacing w:after="60" w:line="272"/>
      </w:pPr>
      <w:r>
        <w:rPr>
          <w:rFonts w:ascii="Calibri" w:cs="Calibri" w:eastAsia="Calibri" w:hAnsi="Calibri"/>
          <w:color w:val="1A1A2E"/>
          <w:sz w:val="21"/>
          <w:szCs w:val="21"/>
        </w:rPr>
        <w:t xml:space="preserve">Configure Claude tools and environments for teams (e.g., Claude Code).</w:t>
      </w:r>
    </w:p>
    <w:p>
      <w:pPr>
        <w:pStyle w:val="ListParagraph"/>
        <w:numPr>
          <w:ilvl w:val="0"/>
          <w:numId w:val="2"/>
        </w:numPr>
        <w:spacing w:after="60" w:line="272"/>
      </w:pPr>
      <w:r>
        <w:rPr>
          <w:rFonts w:ascii="Calibri" w:cs="Calibri" w:eastAsia="Calibri" w:hAnsi="Calibri"/>
          <w:color w:val="1A1A2E"/>
          <w:sz w:val="21"/>
          <w:szCs w:val="21"/>
        </w:rPr>
        <w:t xml:space="preserve">Improve developer workflows using AI-assisted tooling.</w:t>
      </w:r>
    </w:p>
    <w:p>
      <w:pPr>
        <w:pStyle w:val="ListParagraph"/>
        <w:numPr>
          <w:ilvl w:val="0"/>
          <w:numId w:val="2"/>
        </w:numPr>
        <w:spacing w:after="60" w:line="272"/>
      </w:pPr>
      <w:r>
        <w:rPr>
          <w:rFonts w:ascii="Calibri" w:cs="Calibri" w:eastAsia="Calibri" w:hAnsi="Calibri"/>
          <w:color w:val="1A1A2E"/>
          <w:sz w:val="21"/>
          <w:szCs w:val="21"/>
        </w:rPr>
        <w:t xml:space="preserve">Support debugging and operational issue resolution.</w:t>
      </w:r>
    </w:p>
    <w:p>
      <w:pPr>
        <w:pStyle w:val="Heading3"/>
        <w:spacing w:after="70" w:before="180"/>
      </w:pPr>
      <w:r>
        <w:rPr>
          <w:rFonts w:ascii="Calibri" w:cs="Calibri" w:eastAsia="Calibri" w:hAnsi="Calibri"/>
          <w:b/>
          <w:bCs/>
          <w:color w:val="0F5257"/>
          <w:sz w:val="22"/>
          <w:szCs w:val="22"/>
        </w:rPr>
        <w:t xml:space="preserve">Core concepts to master</w:t>
      </w:r>
    </w:p>
    <w:p>
      <w:pPr>
        <w:spacing w:after="120" w:line="276"/>
      </w:pPr>
      <w:r>
        <w:rPr>
          <w:rFonts w:ascii="Calibri" w:cs="Calibri" w:eastAsia="Calibri" w:hAnsi="Calibri"/>
          <w:b/>
          <w:bCs/>
          <w:color w:val="1A1A2E"/>
          <w:sz w:val="21"/>
          <w:szCs w:val="21"/>
        </w:rPr>
        <w:t xml:space="preserve">The smallest domain — study it, but don't over-invest.</w:t>
      </w:r>
      <w:r>
        <w:rPr>
          <w:rFonts w:ascii="Calibri" w:cs="Calibri" w:eastAsia="Calibri" w:hAnsi="Calibri"/>
          <w:color w:val="1A1A2E"/>
          <w:sz w:val="21"/>
          <w:szCs w:val="21"/>
        </w:rPr>
        <w:t xml:space="preserve"> It asks how an architect enables a </w:t>
      </w:r>
      <w:r>
        <w:rPr>
          <w:rFonts w:ascii="Calibri" w:cs="Calibri" w:eastAsia="Calibri" w:hAnsi="Calibri"/>
          <w:i/>
          <w:iCs/>
          <w:color w:val="1A1A2E"/>
          <w:sz w:val="21"/>
          <w:szCs w:val="21"/>
        </w:rPr>
        <w:t xml:space="preserve">team</w:t>
      </w:r>
      <w:r>
        <w:rPr>
          <w:rFonts w:ascii="Calibri" w:cs="Calibri" w:eastAsia="Calibri" w:hAnsi="Calibri"/>
          <w:color w:val="1A1A2E"/>
          <w:sz w:val="21"/>
          <w:szCs w:val="21"/>
        </w:rPr>
        <w:t xml:space="preserve"> to build and operate Claude-powered systems productively.</w:t>
      </w:r>
    </w:p>
    <w:p>
      <w:pPr>
        <w:pStyle w:val="ListParagraph"/>
        <w:numPr>
          <w:ilvl w:val="0"/>
          <w:numId w:val="2"/>
        </w:numPr>
        <w:spacing w:after="60" w:line="272"/>
      </w:pPr>
      <w:r>
        <w:rPr>
          <w:rFonts w:ascii="Calibri" w:cs="Calibri" w:eastAsia="Calibri" w:hAnsi="Calibri"/>
          <w:b/>
          <w:bCs/>
          <w:color w:val="1A1A2E"/>
          <w:sz w:val="21"/>
          <w:szCs w:val="21"/>
        </w:rPr>
        <w:t xml:space="preserve">Team tooling</w:t>
      </w:r>
      <w:r>
        <w:rPr>
          <w:rFonts w:ascii="Calibri" w:cs="Calibri" w:eastAsia="Calibri" w:hAnsi="Calibri"/>
          <w:color w:val="1A1A2E"/>
          <w:sz w:val="21"/>
          <w:szCs w:val="21"/>
        </w:rPr>
        <w:t xml:space="preserve"> — configuring AI-assisted developer tools (such as Claude Code) for a team: shared configuration and context, consistent setup, and integrating the tooling into existing workflows (version control, CI, MCP servers) so the whole team benefits, not just individuals.</w:t>
      </w:r>
    </w:p>
    <w:p>
      <w:pPr>
        <w:pStyle w:val="ListParagraph"/>
        <w:numPr>
          <w:ilvl w:val="0"/>
          <w:numId w:val="2"/>
        </w:numPr>
        <w:spacing w:after="60" w:line="272"/>
      </w:pPr>
      <w:r>
        <w:rPr>
          <w:rFonts w:ascii="Calibri" w:cs="Calibri" w:eastAsia="Calibri" w:hAnsi="Calibri"/>
          <w:b/>
          <w:bCs/>
          <w:color w:val="1A1A2E"/>
          <w:sz w:val="21"/>
          <w:szCs w:val="21"/>
        </w:rPr>
        <w:t xml:space="preserve">Workflow improvement</w:t>
      </w:r>
      <w:r>
        <w:rPr>
          <w:rFonts w:ascii="Calibri" w:cs="Calibri" w:eastAsia="Calibri" w:hAnsi="Calibri"/>
          <w:color w:val="1A1A2E"/>
          <w:sz w:val="21"/>
          <w:szCs w:val="21"/>
        </w:rPr>
        <w:t xml:space="preserve"> — using AI assistance to accelerate real engineering work (code understanding, generation, review) while maintaining quality and reviewability. Know where AI-assisted tooling helps and where human review remains essential.</w:t>
      </w:r>
    </w:p>
    <w:p>
      <w:pPr>
        <w:pStyle w:val="ListParagraph"/>
        <w:numPr>
          <w:ilvl w:val="0"/>
          <w:numId w:val="2"/>
        </w:numPr>
        <w:spacing w:after="60" w:line="272"/>
      </w:pPr>
      <w:r>
        <w:rPr>
          <w:rFonts w:ascii="Calibri" w:cs="Calibri" w:eastAsia="Calibri" w:hAnsi="Calibri"/>
          <w:b/>
          <w:bCs/>
          <w:color w:val="1A1A2E"/>
          <w:sz w:val="21"/>
          <w:szCs w:val="21"/>
        </w:rPr>
        <w:t xml:space="preserve">Operational support</w:t>
      </w:r>
      <w:r>
        <w:rPr>
          <w:rFonts w:ascii="Calibri" w:cs="Calibri" w:eastAsia="Calibri" w:hAnsi="Calibri"/>
          <w:color w:val="1A1A2E"/>
          <w:sz w:val="21"/>
          <w:szCs w:val="21"/>
        </w:rPr>
        <w:t xml:space="preserve"> — using the same tooling and your observability (Domains 3–4) to debug and resolve production issues faster: reproduce, trace, and fix, with the pipeline visibility to find the failing component.</w:t>
      </w:r>
    </w:p>
    <w:p>
      <w:pPr>
        <w:pStyle w:val="Heading3"/>
        <w:spacing w:after="70" w:before="180"/>
      </w:pPr>
      <w:r>
        <w:rPr>
          <w:rFonts w:ascii="Calibri" w:cs="Calibri" w:eastAsia="Calibri" w:hAnsi="Calibri"/>
          <w:b/>
          <w:bCs/>
          <w:color w:val="0F5257"/>
          <w:sz w:val="22"/>
          <w:szCs w:val="22"/>
        </w:rPr>
        <w:t xml:space="preserve">Worked scenario — Meridian</w:t>
      </w:r>
    </w:p>
    <w:p>
      <w:pPr>
        <w:spacing w:after="120" w:line="276"/>
      </w:pPr>
      <w:r>
        <w:rPr>
          <w:rFonts w:ascii="Calibri" w:cs="Calibri" w:eastAsia="Calibri" w:hAnsi="Calibri"/>
          <w:b/>
          <w:bCs/>
          <w:color w:val="1A1A2E"/>
          <w:sz w:val="21"/>
          <w:szCs w:val="21"/>
        </w:rPr>
        <w:t xml:space="preserve">Q: </w:t>
      </w:r>
      <w:r>
        <w:rPr>
          <w:rFonts w:ascii="Calibri" w:cs="Calibri" w:eastAsia="Calibri" w:hAnsi="Calibri"/>
          <w:color w:val="1A1A2E"/>
          <w:sz w:val="21"/>
          <w:szCs w:val="21"/>
        </w:rPr>
        <w:t xml:space="preserve">Meridian's platform team wants every engineer working on the loan assistant to share the same project context, coding standards, and access to the internal policy-search MCP server. What is the architect's role?</w:t>
      </w:r>
    </w:p>
    <w:p>
      <w:pPr>
        <w:spacing w:after="120" w:line="276"/>
      </w:pPr>
      <w:r>
        <w:rPr>
          <w:rFonts w:ascii="Calibri" w:cs="Calibri" w:eastAsia="Calibri" w:hAnsi="Calibri"/>
          <w:b/>
          <w:bCs/>
          <w:color w:val="1A1A2E"/>
          <w:sz w:val="21"/>
          <w:szCs w:val="21"/>
        </w:rPr>
        <w:t xml:space="preserve">A: </w:t>
      </w:r>
      <w:r>
        <w:rPr>
          <w:rFonts w:ascii="Calibri" w:cs="Calibri" w:eastAsia="Calibri" w:hAnsi="Calibri"/>
          <w:b/>
          <w:bCs/>
          <w:color w:val="1A1A2E"/>
          <w:sz w:val="21"/>
          <w:szCs w:val="21"/>
        </w:rPr>
        <w:t xml:space="preserve">Standardize the team environment</w:t>
      </w:r>
      <w:r>
        <w:rPr>
          <w:rFonts w:ascii="Calibri" w:cs="Calibri" w:eastAsia="Calibri" w:hAnsi="Calibri"/>
          <w:color w:val="1A1A2E"/>
          <w:sz w:val="21"/>
          <w:szCs w:val="21"/>
        </w:rPr>
        <w:t xml:space="preserve"> — provide shared configuration for the AI-assisted tooling (project context, standards, and the MCP server connection) so every engineer gets consistent, governed capabilities, rather than each configuring their own ad-hoc setup. This is operational enablement: making the whole team productive and consistent, tied back to the same governance and observability the system requires.</w:t>
      </w:r>
    </w:p>
    <w:p>
      <w:pPr>
        <w:pStyle w:val="Heading3"/>
        <w:spacing w:after="70" w:before="180"/>
      </w:pPr>
      <w:r>
        <w:rPr>
          <w:rFonts w:ascii="Calibri" w:cs="Calibri" w:eastAsia="Calibri" w:hAnsi="Calibri"/>
          <w:b/>
          <w:bCs/>
          <w:color w:val="0F5257"/>
          <w:sz w:val="22"/>
          <w:szCs w:val="22"/>
        </w:rPr>
        <w:t xml:space="preserve">Traps</w:t>
      </w:r>
    </w:p>
    <w:p>
      <w:pPr>
        <w:pStyle w:val="ListParagraph"/>
        <w:numPr>
          <w:ilvl w:val="0"/>
          <w:numId w:val="2"/>
        </w:numPr>
        <w:spacing w:after="60" w:line="272"/>
      </w:pPr>
      <w:r>
        <w:rPr>
          <w:rFonts w:ascii="Calibri" w:cs="Calibri" w:eastAsia="Calibri" w:hAnsi="Calibri"/>
          <w:color w:val="8A5A00"/>
          <w:sz w:val="21"/>
          <w:szCs w:val="21"/>
        </w:rPr>
        <w:t xml:space="preserve">Over-investing study time here</w:t>
      </w:r>
      <w:r>
        <w:rPr>
          <w:rFonts w:ascii="Calibri" w:cs="Calibri" w:eastAsia="Calibri" w:hAnsi="Calibri"/>
          <w:color w:val="1A1A2E"/>
          <w:sz w:val="21"/>
          <w:szCs w:val="21"/>
        </w:rPr>
        <w:t xml:space="preserve"> — it is only 7%.</w:t>
      </w:r>
    </w:p>
    <w:p>
      <w:pPr>
        <w:pStyle w:val="ListParagraph"/>
        <w:numPr>
          <w:ilvl w:val="0"/>
          <w:numId w:val="2"/>
        </w:numPr>
        <w:spacing w:after="60" w:line="272"/>
      </w:pPr>
      <w:r>
        <w:rPr>
          <w:rFonts w:ascii="Calibri" w:cs="Calibri" w:eastAsia="Calibri" w:hAnsi="Calibri"/>
          <w:color w:val="8A5A00"/>
          <w:sz w:val="21"/>
          <w:szCs w:val="21"/>
        </w:rPr>
        <w:t xml:space="preserve">Treating AI-assisted coding as replacing review</w:t>
      </w:r>
      <w:r>
        <w:rPr>
          <w:rFonts w:ascii="Calibri" w:cs="Calibri" w:eastAsia="Calibri" w:hAnsi="Calibri"/>
          <w:color w:val="1A1A2E"/>
          <w:sz w:val="21"/>
          <w:szCs w:val="21"/>
        </w:rPr>
        <w:t xml:space="preserve"> rather than accelerating it.</w:t>
      </w:r>
    </w:p>
    <w:p>
      <w:r>
        <w:br w:type="page"/>
      </w:r>
    </w:p>
    <w:p>
      <w:pPr>
        <w:pStyle w:val="Heading1"/>
        <w:spacing w:after="140" w:before="340"/>
      </w:pPr>
      <w:r>
        <w:rPr>
          <w:rFonts w:ascii="Calibri" w:cs="Calibri" w:eastAsia="Calibri" w:hAnsi="Calibri"/>
          <w:b/>
          <w:bCs/>
          <w:color w:val="6B2D5C"/>
          <w:sz w:val="32"/>
          <w:szCs w:val="32"/>
        </w:rPr>
        <w:t xml:space="preserve">Part 4 · Cross-Cutting Themes</w:t>
      </w:r>
    </w:p>
    <w:p>
      <w:pPr>
        <w:spacing w:after="100" w:line="276"/>
      </w:pPr>
      <w:r>
        <w:rPr>
          <w:rFonts w:ascii="Calibri" w:cs="Calibri" w:eastAsia="Calibri" w:hAnsi="Calibri"/>
          <w:color w:val="1A1A2E"/>
          <w:sz w:val="21"/>
          <w:szCs w:val="21"/>
        </w:rPr>
        <w:t xml:space="preserve">Certain ideas recur across multiple domains. If you internalize these five, a large share of the exam becomes pattern-matching.</w:t>
      </w:r>
    </w:p>
    <w:p>
      <w:pPr>
        <w:pStyle w:val="Heading3"/>
        <w:spacing w:after="70" w:before="180"/>
      </w:pPr>
      <w:r>
        <w:rPr>
          <w:rFonts w:ascii="Calibri" w:cs="Calibri" w:eastAsia="Calibri" w:hAnsi="Calibri"/>
          <w:b/>
          <w:bCs/>
          <w:color w:val="0F5257"/>
          <w:sz w:val="22"/>
          <w:szCs w:val="22"/>
        </w:rPr>
        <w:t xml:space="preserve">1 · Simplest-sufficient design wins</w:t>
      </w:r>
    </w:p>
    <w:p>
      <w:pPr>
        <w:spacing w:after="120" w:line="276"/>
      </w:pPr>
      <w:r>
        <w:rPr>
          <w:rFonts w:ascii="Calibri" w:cs="Calibri" w:eastAsia="Calibri" w:hAnsi="Calibri"/>
          <w:color w:val="1A1A2E"/>
          <w:sz w:val="21"/>
          <w:szCs w:val="21"/>
        </w:rPr>
        <w:t xml:space="preserve">Augmented LLM before workflow before agentic before multi-agent. Direct API before MCP when you own both ends. Monolithic context only when small and stable. The sophisticated-sounding option is usually the distractor. (Domains 1, 3.)</w:t>
      </w:r>
    </w:p>
    <w:p>
      <w:pPr>
        <w:pStyle w:val="Heading3"/>
        <w:spacing w:after="70" w:before="180"/>
      </w:pPr>
      <w:r>
        <w:rPr>
          <w:rFonts w:ascii="Calibri" w:cs="Calibri" w:eastAsia="Calibri" w:hAnsi="Calibri"/>
          <w:b/>
          <w:bCs/>
          <w:color w:val="0F5257"/>
          <w:sz w:val="22"/>
          <w:szCs w:val="22"/>
        </w:rPr>
        <w:t xml:space="preserve">2 · Least privilege means removal, not monitoring</w:t>
      </w:r>
    </w:p>
    <w:p>
      <w:pPr>
        <w:spacing w:after="120" w:line="276"/>
      </w:pPr>
      <w:r>
        <w:rPr>
          <w:rFonts w:ascii="Calibri" w:cs="Calibri" w:eastAsia="Calibri" w:hAnsi="Calibri"/>
          <w:color w:val="1A1A2E"/>
          <w:sz w:val="21"/>
          <w:szCs w:val="21"/>
        </w:rPr>
        <w:t xml:space="preserve">Remove capabilities a role doesn't need. Logging and confirmations are detective/compensating controls that don't shrink the attack surface. (Domains 3, 5.)</w:t>
      </w:r>
    </w:p>
    <w:p>
      <w:pPr>
        <w:pStyle w:val="Heading3"/>
        <w:spacing w:after="70" w:before="180"/>
      </w:pPr>
      <w:r>
        <w:rPr>
          <w:rFonts w:ascii="Calibri" w:cs="Calibri" w:eastAsia="Calibri" w:hAnsi="Calibri"/>
          <w:b/>
          <w:bCs/>
          <w:color w:val="0F5257"/>
          <w:sz w:val="22"/>
          <w:szCs w:val="22"/>
        </w:rPr>
        <w:t xml:space="preserve">3 · Map symptoms to the component that changed</w:t>
      </w:r>
    </w:p>
    <w:p>
      <w:pPr>
        <w:spacing w:after="120" w:line="276"/>
      </w:pPr>
      <w:r>
        <w:rPr>
          <w:rFonts w:ascii="Calibri" w:cs="Calibri" w:eastAsia="Calibri" w:hAnsi="Calibri"/>
          <w:color w:val="1A1A2E"/>
          <w:sz w:val="21"/>
          <w:szCs w:val="21"/>
        </w:rPr>
        <w:t xml:space="preserve">Confident-but-wrong after a doc refresh → retrieval/indexing. Format drift → prompt. Quality drop after a model swap → model fit. Don't blame the model reflexively. (Domains 3, 4.)</w:t>
      </w:r>
    </w:p>
    <w:p>
      <w:pPr>
        <w:pStyle w:val="Heading3"/>
        <w:spacing w:after="70" w:before="180"/>
      </w:pPr>
      <w:r>
        <w:rPr>
          <w:rFonts w:ascii="Calibri" w:cs="Calibri" w:eastAsia="Calibri" w:hAnsi="Calibri"/>
          <w:b/>
          <w:bCs/>
          <w:color w:val="0F5257"/>
          <w:sz w:val="22"/>
          <w:szCs w:val="22"/>
        </w:rPr>
        <w:t xml:space="preserve">4 · Cache stable prefixes; don't truncate</w:t>
      </w:r>
    </w:p>
    <w:p>
      <w:pPr>
        <w:spacing w:after="120" w:line="276"/>
      </w:pPr>
      <w:r>
        <w:rPr>
          <w:rFonts w:ascii="Calibri" w:cs="Calibri" w:eastAsia="Calibri" w:hAnsi="Calibri"/>
          <w:color w:val="1A1A2E"/>
          <w:sz w:val="21"/>
          <w:szCs w:val="21"/>
        </w:rPr>
        <w:t xml:space="preserve">When a large static prefix repeats, order it first and enable prompt caching to cut both latency and cost without losing context. (Domains 2, 4.)</w:t>
      </w:r>
    </w:p>
    <w:p>
      <w:pPr>
        <w:pStyle w:val="Heading3"/>
        <w:spacing w:after="70" w:before="180"/>
      </w:pPr>
      <w:r>
        <w:rPr>
          <w:rFonts w:ascii="Calibri" w:cs="Calibri" w:eastAsia="Calibri" w:hAnsi="Calibri"/>
          <w:b/>
          <w:bCs/>
          <w:color w:val="0F5257"/>
          <w:sz w:val="22"/>
          <w:szCs w:val="22"/>
        </w:rPr>
        <w:t xml:space="preserve">5 · Keep the human where errors are costly or law requires it</w:t>
      </w:r>
    </w:p>
    <w:p>
      <w:pPr>
        <w:spacing w:after="120" w:line="276"/>
      </w:pPr>
      <w:r>
        <w:rPr>
          <w:rFonts w:ascii="Calibri" w:cs="Calibri" w:eastAsia="Calibri" w:hAnsi="Calibri"/>
          <w:color w:val="1A1A2E"/>
          <w:sz w:val="21"/>
          <w:szCs w:val="21"/>
        </w:rPr>
        <w:t xml:space="preserve">High-stakes or legally-gated decisions need human-in-the-loop. A confidence score is not a fairness, safety, or compliance control. Transparency and auditability are design inputs. (Domains 5, 6.)</w:t>
      </w:r>
    </w:p>
    <w:tbl>
      <w:tblPr>
        <w:tblW w:type="pct" w:w="100%"/>
        <w:tblBorders>
          <w:top w:val="single" w:color="E8F0F0" w:sz="2"/>
          <w:left w:val="single" w:color="0F5257" w:sz="24"/>
          <w:bottom w:val="single" w:color="E8F0F0" w:sz="2"/>
          <w:right w:val="single" w:color="E8F0F0" w:sz="2"/>
          <w:insideH w:val="none"/>
          <w:insideV w:val="none"/>
        </w:tblBorders>
      </w:tblPr>
      <w:tblGrid>
        <w:gridCol w:w="9360"/>
      </w:tblGrid>
      <w:tr>
        <w:tc>
          <w:tcPr>
            <w:tcW w:type="dxa" w:w="9360"/>
            <w:shd w:fill="E8F0F0" w:color="auto" w:val="clear"/>
            <w:tcMar>
              <w:top w:type="dxa" w:w="120"/>
              <w:left w:type="dxa" w:w="180"/>
              <w:bottom w:type="dxa" w:w="120"/>
              <w:right w:type="dxa" w:w="180"/>
            </w:tcMar>
          </w:tcPr>
          <w:p>
            <w:pPr>
              <w:spacing w:after="60"/>
            </w:pPr>
            <w:r>
              <w:rPr>
                <w:rFonts w:ascii="Calibri" w:cs="Calibri" w:eastAsia="Calibri" w:hAnsi="Calibri"/>
                <w:b/>
                <w:bCs/>
                <w:color w:val="0F5257"/>
                <w:sz w:val="21"/>
                <w:szCs w:val="21"/>
              </w:rPr>
              <w:t xml:space="preserve">The meta-skill</w:t>
            </w:r>
          </w:p>
          <w:p>
            <w:pPr>
              <w:spacing w:after="60" w:line="270"/>
            </w:pPr>
            <w:r>
              <w:rPr>
                <w:rFonts w:ascii="Calibri" w:cs="Calibri" w:eastAsia="Calibri" w:hAnsi="Calibri"/>
                <w:color w:val="1A1A2E"/>
                <w:sz w:val="21"/>
                <w:szCs w:val="21"/>
              </w:rPr>
              <w:t xml:space="preserve">Almost every hard item reduces to one question: </w:t>
            </w:r>
            <w:r>
              <w:rPr>
                <w:rFonts w:ascii="Calibri" w:cs="Calibri" w:eastAsia="Calibri" w:hAnsi="Calibri"/>
                <w:b/>
                <w:bCs/>
                <w:color w:val="0F5257"/>
                <w:sz w:val="21"/>
                <w:szCs w:val="21"/>
              </w:rPr>
              <w:t xml:space="preserve">what is the dominant constraint, and what is the simplest design that satisfies it without violating a hard requirement (SLA, security, compliance)?</w:t>
            </w:r>
            <w:r>
              <w:rPr>
                <w:rFonts w:ascii="Calibri" w:cs="Calibri" w:eastAsia="Calibri" w:hAnsi="Calibri"/>
                <w:color w:val="1A1A2E"/>
                <w:sz w:val="21"/>
                <w:szCs w:val="21"/>
              </w:rPr>
              <w:t xml:space="preserve"> Diagnose before you design.</w:t>
            </w:r>
          </w:p>
        </w:tc>
      </w:tr>
    </w:tbl>
    <w:p>
      <w:r>
        <w:br w:type="page"/>
      </w:r>
    </w:p>
    <w:p>
      <w:pPr>
        <w:pStyle w:val="Heading1"/>
        <w:spacing w:after="140" w:before="340"/>
      </w:pPr>
      <w:r>
        <w:rPr>
          <w:rFonts w:ascii="Calibri" w:cs="Calibri" w:eastAsia="Calibri" w:hAnsi="Calibri"/>
          <w:b/>
          <w:bCs/>
          <w:color w:val="6B2D5C"/>
          <w:sz w:val="32"/>
          <w:szCs w:val="32"/>
        </w:rPr>
        <w:t xml:space="preserve">Part 5 · A Six-Week Study Plan</w:t>
      </w:r>
    </w:p>
    <w:p>
      <w:pPr>
        <w:spacing w:after="120" w:line="276"/>
      </w:pPr>
      <w:r>
        <w:rPr>
          <w:rFonts w:ascii="Calibri" w:cs="Calibri" w:eastAsia="Calibri" w:hAnsi="Calibri"/>
          <w:color w:val="1A1A2E"/>
          <w:sz w:val="21"/>
          <w:szCs w:val="21"/>
        </w:rPr>
        <w:t xml:space="preserve">Weighted to the blueprint. Integration, Solution Design, and Evaluation get the most time because together they are over half the exam. Adjust the pace to your starting point, but keep the sequence — the hands-on build in Week 1 is what makes the later domains click.</w:t>
      </w:r>
    </w:p>
    <w:p>
      <w:pPr>
        <w:pStyle w:val="Heading3"/>
        <w:spacing w:after="70" w:before="180"/>
      </w:pPr>
      <w:r>
        <w:rPr>
          <w:rFonts w:ascii="Calibri" w:cs="Calibri" w:eastAsia="Calibri" w:hAnsi="Calibri"/>
          <w:b/>
          <w:bCs/>
          <w:color w:val="0F5257"/>
          <w:sz w:val="22"/>
          <w:szCs w:val="22"/>
        </w:rPr>
        <w:t xml:space="preserve">Week 1 — Baseline + start the build</w:t>
      </w:r>
    </w:p>
    <w:p>
      <w:pPr>
        <w:pStyle w:val="ListParagraph"/>
        <w:numPr>
          <w:ilvl w:val="0"/>
          <w:numId w:val="2"/>
        </w:numPr>
        <w:spacing w:after="60" w:line="272"/>
      </w:pPr>
      <w:r>
        <w:rPr>
          <w:rFonts w:ascii="Calibri" w:cs="Calibri" w:eastAsia="Calibri" w:hAnsi="Calibri"/>
          <w:color w:val="1A1A2E"/>
          <w:sz w:val="21"/>
          <w:szCs w:val="21"/>
        </w:rPr>
        <w:t xml:space="preserve">Read Anthropic's official exam guide in full. Rate yourself 1–5 on each of the seven domains.</w:t>
      </w:r>
    </w:p>
    <w:p>
      <w:pPr>
        <w:pStyle w:val="ListParagraph"/>
        <w:numPr>
          <w:ilvl w:val="0"/>
          <w:numId w:val="2"/>
        </w:numPr>
        <w:spacing w:after="60" w:line="272"/>
      </w:pPr>
      <w:r>
        <w:rPr>
          <w:rFonts w:ascii="Calibri" w:cs="Calibri" w:eastAsia="Calibri" w:hAnsi="Calibri"/>
          <w:b/>
          <w:bCs/>
          <w:color w:val="1A1A2E"/>
          <w:sz w:val="21"/>
          <w:szCs w:val="21"/>
        </w:rPr>
        <w:t xml:space="preserve">Start building one real end-to-end Claude system</w:t>
      </w:r>
      <w:r>
        <w:rPr>
          <w:rFonts w:ascii="Calibri" w:cs="Calibri" w:eastAsia="Calibri" w:hAnsi="Calibri"/>
          <w:color w:val="1A1A2E"/>
          <w:sz w:val="21"/>
          <w:szCs w:val="21"/>
        </w:rPr>
        <w:t xml:space="preserve"> you'll improve all six weeks — include RAG, evaluation, and observability. A scoped-down Meridian-style assistant is ideal.</w:t>
      </w:r>
    </w:p>
    <w:p>
      <w:pPr>
        <w:pStyle w:val="Heading3"/>
        <w:spacing w:after="70" w:before="180"/>
      </w:pPr>
      <w:r>
        <w:rPr>
          <w:rFonts w:ascii="Calibri" w:cs="Calibri" w:eastAsia="Calibri" w:hAnsi="Calibri"/>
          <w:b/>
          <w:bCs/>
          <w:color w:val="0F5257"/>
          <w:sz w:val="22"/>
          <w:szCs w:val="22"/>
        </w:rPr>
        <w:t xml:space="preserve">Week 2 — Integration (19%)</w:t>
      </w:r>
    </w:p>
    <w:p>
      <w:pPr>
        <w:pStyle w:val="ListParagraph"/>
        <w:numPr>
          <w:ilvl w:val="0"/>
          <w:numId w:val="2"/>
        </w:numPr>
        <w:spacing w:after="60" w:line="272"/>
      </w:pPr>
      <w:r>
        <w:rPr>
          <w:rFonts w:ascii="Calibri" w:cs="Calibri" w:eastAsia="Calibri" w:hAnsi="Calibri"/>
          <w:color w:val="1A1A2E"/>
          <w:sz w:val="21"/>
          <w:szCs w:val="21"/>
        </w:rPr>
        <w:t xml:space="preserve">RAG deep-dive: chunking, indexing, and retrieval strategies matched to data shape and query pattern. Deliberately break retrieval (stale index, mismatched embeddings) and practice root-cause diagnosis.</w:t>
      </w:r>
    </w:p>
    <w:p>
      <w:pPr>
        <w:pStyle w:val="ListParagraph"/>
        <w:numPr>
          <w:ilvl w:val="0"/>
          <w:numId w:val="2"/>
        </w:numPr>
        <w:spacing w:after="60" w:line="272"/>
      </w:pPr>
      <w:r>
        <w:rPr>
          <w:rFonts w:ascii="Calibri" w:cs="Calibri" w:eastAsia="Calibri" w:hAnsi="Calibri"/>
          <w:color w:val="1A1A2E"/>
          <w:sz w:val="21"/>
          <w:szCs w:val="21"/>
        </w:rPr>
        <w:t xml:space="preserve">Least-privilege tool config, authN/authZ gap analysis, protocol selection (MCP vs. API/CLI vs. agent-to-agent), progressive vs. monolithic context, observability at scale.</w:t>
      </w:r>
    </w:p>
    <w:p>
      <w:pPr>
        <w:pStyle w:val="Heading3"/>
        <w:spacing w:after="70" w:before="180"/>
      </w:pPr>
      <w:r>
        <w:rPr>
          <w:rFonts w:ascii="Calibri" w:cs="Calibri" w:eastAsia="Calibri" w:hAnsi="Calibri"/>
          <w:b/>
          <w:bCs/>
          <w:color w:val="0F5257"/>
          <w:sz w:val="22"/>
          <w:szCs w:val="22"/>
        </w:rPr>
        <w:t xml:space="preserve">Week 3 — Solution Design &amp; Architecture (17%)</w:t>
      </w:r>
    </w:p>
    <w:p>
      <w:pPr>
        <w:pStyle w:val="ListParagraph"/>
        <w:numPr>
          <w:ilvl w:val="0"/>
          <w:numId w:val="2"/>
        </w:numPr>
        <w:spacing w:after="60" w:line="272"/>
      </w:pPr>
      <w:r>
        <w:rPr>
          <w:rFonts w:ascii="Calibri" w:cs="Calibri" w:eastAsia="Calibri" w:hAnsi="Calibri"/>
          <w:color w:val="1A1A2E"/>
          <w:sz w:val="21"/>
          <w:szCs w:val="21"/>
        </w:rPr>
        <w:t xml:space="preserve">Drill pattern selection (augmented LLM / workflow / agentic / multi-agent) and orchestration strategies.</w:t>
      </w:r>
    </w:p>
    <w:p>
      <w:pPr>
        <w:pStyle w:val="ListParagraph"/>
        <w:numPr>
          <w:ilvl w:val="0"/>
          <w:numId w:val="2"/>
        </w:numPr>
        <w:spacing w:after="60" w:line="272"/>
      </w:pPr>
      <w:r>
        <w:rPr>
          <w:rFonts w:ascii="Calibri" w:cs="Calibri" w:eastAsia="Calibri" w:hAnsi="Calibri"/>
          <w:color w:val="1A1A2E"/>
          <w:sz w:val="21"/>
          <w:szCs w:val="21"/>
        </w:rPr>
        <w:t xml:space="preserve">Practice translating business problems into architectures and aligning to the value pillars and SLAs. Rehearse diagnosing the dominant problem before picking a pattern.</w:t>
      </w:r>
    </w:p>
    <w:p>
      <w:pPr>
        <w:pStyle w:val="Heading3"/>
        <w:spacing w:after="70" w:before="180"/>
      </w:pPr>
      <w:r>
        <w:rPr>
          <w:rFonts w:ascii="Calibri" w:cs="Calibri" w:eastAsia="Calibri" w:hAnsi="Calibri"/>
          <w:b/>
          <w:bCs/>
          <w:color w:val="0F5257"/>
          <w:sz w:val="22"/>
          <w:szCs w:val="22"/>
        </w:rPr>
        <w:t xml:space="preserve">Week 4 — Evaluation (16%) + Models &amp; Prompting (13%)</w:t>
      </w:r>
    </w:p>
    <w:p>
      <w:pPr>
        <w:pStyle w:val="ListParagraph"/>
        <w:numPr>
          <w:ilvl w:val="0"/>
          <w:numId w:val="2"/>
        </w:numPr>
        <w:spacing w:after="60" w:line="272"/>
      </w:pPr>
      <w:r>
        <w:rPr>
          <w:rFonts w:ascii="Calibri" w:cs="Calibri" w:eastAsia="Calibri" w:hAnsi="Calibri"/>
          <w:color w:val="1A1A2E"/>
          <w:sz w:val="21"/>
          <w:szCs w:val="21"/>
        </w:rPr>
        <w:t xml:space="preserve">Design evaluation datasets and metrics across all five axes; practice the symptom→cause diagnosis table until it's automatic.</w:t>
      </w:r>
    </w:p>
    <w:p>
      <w:pPr>
        <w:pStyle w:val="ListParagraph"/>
        <w:numPr>
          <w:ilvl w:val="0"/>
          <w:numId w:val="2"/>
        </w:numPr>
        <w:spacing w:after="60" w:line="272"/>
      </w:pPr>
      <w:r>
        <w:rPr>
          <w:rFonts w:ascii="Calibri" w:cs="Calibri" w:eastAsia="Calibri" w:hAnsi="Calibri"/>
          <w:color w:val="1A1A2E"/>
          <w:sz w:val="21"/>
          <w:szCs w:val="21"/>
        </w:rPr>
        <w:t xml:space="preserve">Model-selection trade-offs, prompt caching, context-window optimization, and prompt-reuse strategies (caching, modular prompts, Skills).</w:t>
      </w:r>
    </w:p>
    <w:p>
      <w:pPr>
        <w:pStyle w:val="Heading3"/>
        <w:spacing w:after="70" w:before="180"/>
      </w:pPr>
      <w:r>
        <w:rPr>
          <w:rFonts w:ascii="Calibri" w:cs="Calibri" w:eastAsia="Calibri" w:hAnsi="Calibri"/>
          <w:b/>
          <w:bCs/>
          <w:color w:val="0F5257"/>
          <w:sz w:val="22"/>
          <w:szCs w:val="22"/>
        </w:rPr>
        <w:t xml:space="preserve">Week 5 — Governance (14%) + Stakeholder/Lifecycle (14%) + Dev Enablement (7%)</w:t>
      </w:r>
    </w:p>
    <w:p>
      <w:pPr>
        <w:pStyle w:val="ListParagraph"/>
        <w:numPr>
          <w:ilvl w:val="0"/>
          <w:numId w:val="2"/>
        </w:numPr>
        <w:spacing w:after="60" w:line="272"/>
      </w:pPr>
      <w:r>
        <w:rPr>
          <w:rFonts w:ascii="Calibri" w:cs="Calibri" w:eastAsia="Calibri" w:hAnsi="Calibri"/>
          <w:color w:val="1A1A2E"/>
          <w:sz w:val="21"/>
          <w:szCs w:val="21"/>
        </w:rPr>
        <w:t xml:space="preserve">Guardrails, human-in-the-loop, failure modes, and compliance (GDPR, HIPAA, FedRAMP + sector regimes).</w:t>
      </w:r>
    </w:p>
    <w:p>
      <w:pPr>
        <w:pStyle w:val="ListParagraph"/>
        <w:numPr>
          <w:ilvl w:val="0"/>
          <w:numId w:val="2"/>
        </w:numPr>
        <w:spacing w:after="60" w:line="272"/>
      </w:pPr>
      <w:r>
        <w:rPr>
          <w:rFonts w:ascii="Calibri" w:cs="Calibri" w:eastAsia="Calibri" w:hAnsi="Calibri"/>
          <w:color w:val="1A1A2E"/>
          <w:sz w:val="21"/>
          <w:szCs w:val="21"/>
        </w:rPr>
        <w:t xml:space="preserve">Practice framing one architecture decision four ways — for executive, legal, security, and operations. Round out with Claude Code team tooling and operational enablement.</w:t>
      </w:r>
    </w:p>
    <w:p>
      <w:pPr>
        <w:pStyle w:val="Heading3"/>
        <w:spacing w:after="70" w:before="180"/>
      </w:pPr>
      <w:r>
        <w:rPr>
          <w:rFonts w:ascii="Calibri" w:cs="Calibri" w:eastAsia="Calibri" w:hAnsi="Calibri"/>
          <w:b/>
          <w:bCs/>
          <w:color w:val="0F5257"/>
          <w:sz w:val="22"/>
          <w:szCs w:val="22"/>
        </w:rPr>
        <w:t xml:space="preserve">Week 6 — Review + simulate + schedule</w:t>
      </w:r>
    </w:p>
    <w:p>
      <w:pPr>
        <w:pStyle w:val="ListParagraph"/>
        <w:numPr>
          <w:ilvl w:val="0"/>
          <w:numId w:val="2"/>
        </w:numPr>
        <w:spacing w:after="60" w:line="272"/>
      </w:pPr>
      <w:r>
        <w:rPr>
          <w:rFonts w:ascii="Calibri" w:cs="Calibri" w:eastAsia="Calibri" w:hAnsi="Calibri"/>
          <w:color w:val="1A1A2E"/>
          <w:sz w:val="21"/>
          <w:szCs w:val="21"/>
        </w:rPr>
        <w:t xml:space="preserve">Redo your domain self-assessment; pour remaining time into your two weakest domains.</w:t>
      </w:r>
    </w:p>
    <w:p>
      <w:pPr>
        <w:pStyle w:val="ListParagraph"/>
        <w:numPr>
          <w:ilvl w:val="0"/>
          <w:numId w:val="2"/>
        </w:numPr>
        <w:spacing w:after="60" w:line="272"/>
      </w:pPr>
      <w:r>
        <w:rPr>
          <w:rFonts w:ascii="Calibri" w:cs="Calibri" w:eastAsia="Calibri" w:hAnsi="Calibri"/>
          <w:color w:val="1A1A2E"/>
          <w:sz w:val="21"/>
          <w:szCs w:val="21"/>
        </w:rPr>
        <w:t xml:space="preserve">Work the three official sample questions and their rationale under exam conditions, then take a full timed practice run.</w:t>
      </w:r>
    </w:p>
    <w:p>
      <w:pPr>
        <w:pStyle w:val="ListParagraph"/>
        <w:numPr>
          <w:ilvl w:val="0"/>
          <w:numId w:val="2"/>
        </w:numPr>
        <w:spacing w:after="60" w:line="272"/>
      </w:pPr>
      <w:r>
        <w:rPr>
          <w:rFonts w:ascii="Calibri" w:cs="Calibri" w:eastAsia="Calibri" w:hAnsi="Calibri"/>
          <w:color w:val="1A1A2E"/>
          <w:sz w:val="21"/>
          <w:szCs w:val="21"/>
        </w:rPr>
        <w:t xml:space="preserve">Register via the Anthropic Partner Academy and book Pearson VUE with a few days of buffer.</w:t>
      </w:r>
    </w:p>
    <w:tbl>
      <w:tblPr>
        <w:tblW w:type="pct" w:w="100%"/>
        <w:tblBorders>
          <w:top w:val="single" w:color="F2EEF3" w:sz="2"/>
          <w:left w:val="single" w:color="6B2D5C" w:sz="24"/>
          <w:bottom w:val="single" w:color="F2EEF3" w:sz="2"/>
          <w:right w:val="single" w:color="F2EEF3" w:sz="2"/>
          <w:insideH w:val="none"/>
          <w:insideV w:val="none"/>
        </w:tblBorders>
      </w:tblPr>
      <w:tblGrid>
        <w:gridCol w:w="9360"/>
      </w:tblGrid>
      <w:tr>
        <w:tc>
          <w:tcPr>
            <w:tcW w:type="dxa" w:w="9360"/>
            <w:shd w:fill="F2EEF3" w:color="auto" w:val="clear"/>
            <w:tcMar>
              <w:top w:type="dxa" w:w="120"/>
              <w:left w:type="dxa" w:w="180"/>
              <w:bottom w:type="dxa" w:w="120"/>
              <w:right w:type="dxa" w:w="180"/>
            </w:tcMar>
          </w:tcPr>
          <w:p>
            <w:pPr>
              <w:spacing w:after="60"/>
            </w:pPr>
            <w:r>
              <w:rPr>
                <w:rFonts w:ascii="Calibri" w:cs="Calibri" w:eastAsia="Calibri" w:hAnsi="Calibri"/>
                <w:b/>
                <w:bCs/>
                <w:color w:val="6B2D5C"/>
                <w:sz w:val="21"/>
                <w:szCs w:val="21"/>
              </w:rPr>
              <w:t xml:space="preserve">Pacing on exam day</w:t>
            </w:r>
          </w:p>
          <w:p>
            <w:pPr>
              <w:spacing w:after="60" w:line="270"/>
            </w:pPr>
            <w:r>
              <w:rPr>
                <w:rFonts w:ascii="Calibri" w:cs="Calibri" w:eastAsia="Calibri" w:hAnsi="Calibri"/>
                <w:color w:val="1A1A2E"/>
                <w:sz w:val="21"/>
                <w:szCs w:val="21"/>
              </w:rPr>
              <w:t xml:space="preserve">63 items in 120 minutes ≈ </w:t>
            </w:r>
            <w:r>
              <w:rPr>
                <w:rFonts w:ascii="Calibri" w:cs="Calibri" w:eastAsia="Calibri" w:hAnsi="Calibri"/>
                <w:b/>
                <w:bCs/>
                <w:color w:val="1A1A2E"/>
                <w:sz w:val="21"/>
                <w:szCs w:val="21"/>
              </w:rPr>
              <w:t xml:space="preserve">1 minute 54 seconds each.</w:t>
            </w:r>
            <w:r>
              <w:rPr>
                <w:rFonts w:ascii="Calibri" w:cs="Calibri" w:eastAsia="Calibri" w:hAnsi="Calibri"/>
                <w:color w:val="1A1A2E"/>
                <w:sz w:val="21"/>
                <w:szCs w:val="21"/>
              </w:rPr>
              <w:t xml:space="preserve"> Flag anything that takes more than ~2 minutes and move on; first pass for confident answers, second pass for flagged ones. Read multiple-response items carefully — each states exactly how many to select.</w:t>
            </w:r>
          </w:p>
        </w:tc>
      </w:tr>
    </w:tbl>
    <w:p>
      <w:r>
        <w:br w:type="page"/>
      </w:r>
    </w:p>
    <w:p>
      <w:pPr>
        <w:pStyle w:val="Heading1"/>
        <w:spacing w:after="140" w:before="340"/>
      </w:pPr>
      <w:r>
        <w:rPr>
          <w:rFonts w:ascii="Calibri" w:cs="Calibri" w:eastAsia="Calibri" w:hAnsi="Calibri"/>
          <w:b/>
          <w:bCs/>
          <w:color w:val="6B2D5C"/>
          <w:sz w:val="32"/>
          <w:szCs w:val="32"/>
        </w:rPr>
        <w:t xml:space="preserve">Part 6 · Registration, Policies &amp; Renewal</w:t>
      </w:r>
    </w:p>
    <w:p>
      <w:pPr>
        <w:pStyle w:val="Heading3"/>
        <w:spacing w:after="70" w:before="180"/>
      </w:pPr>
      <w:r>
        <w:rPr>
          <w:rFonts w:ascii="Calibri" w:cs="Calibri" w:eastAsia="Calibri" w:hAnsi="Calibri"/>
          <w:b/>
          <w:bCs/>
          <w:color w:val="0F5257"/>
          <w:sz w:val="22"/>
          <w:szCs w:val="22"/>
        </w:rPr>
        <w:t xml:space="preserve">Registration</w:t>
      </w:r>
    </w:p>
    <w:p>
      <w:pPr>
        <w:pStyle w:val="ListParagraph"/>
        <w:numPr>
          <w:ilvl w:val="0"/>
          <w:numId w:val="3"/>
        </w:numPr>
        <w:spacing w:after="60" w:line="272"/>
      </w:pPr>
      <w:r>
        <w:rPr>
          <w:rFonts w:ascii="Calibri" w:cs="Calibri" w:eastAsia="Calibri" w:hAnsi="Calibri"/>
          <w:color w:val="1A1A2E"/>
          <w:sz w:val="21"/>
          <w:szCs w:val="21"/>
        </w:rPr>
        <w:t xml:space="preserve">Go to the CCAR-P certification page on the Anthropic Partner Academy and review the exam details.</w:t>
      </w:r>
    </w:p>
    <w:p>
      <w:pPr>
        <w:pStyle w:val="ListParagraph"/>
        <w:numPr>
          <w:ilvl w:val="0"/>
          <w:numId w:val="3"/>
        </w:numPr>
        <w:spacing w:after="60" w:line="272"/>
      </w:pPr>
      <w:r>
        <w:rPr>
          <w:rFonts w:ascii="Calibri" w:cs="Calibri" w:eastAsia="Calibri" w:hAnsi="Calibri"/>
          <w:color w:val="1A1A2E"/>
          <w:sz w:val="21"/>
          <w:szCs w:val="21"/>
        </w:rPr>
        <w:t xml:space="preserve">Download the exam guide and review the Certification Terms and Conditions and the Certification Exam Policy before registering.</w:t>
      </w:r>
    </w:p>
    <w:p>
      <w:pPr>
        <w:pStyle w:val="ListParagraph"/>
        <w:numPr>
          <w:ilvl w:val="0"/>
          <w:numId w:val="3"/>
        </w:numPr>
        <w:spacing w:after="60" w:line="272"/>
      </w:pPr>
      <w:r>
        <w:rPr>
          <w:rFonts w:ascii="Calibri" w:cs="Calibri" w:eastAsia="Calibri" w:hAnsi="Calibri"/>
          <w:color w:val="1A1A2E"/>
          <w:sz w:val="21"/>
          <w:szCs w:val="21"/>
        </w:rPr>
        <w:t xml:space="preserve">Register and complete checkout — the fee reflects any partner-tier discount.</w:t>
      </w:r>
    </w:p>
    <w:p>
      <w:pPr>
        <w:pStyle w:val="ListParagraph"/>
        <w:numPr>
          <w:ilvl w:val="0"/>
          <w:numId w:val="3"/>
        </w:numPr>
        <w:spacing w:after="60" w:line="272"/>
      </w:pPr>
      <w:r>
        <w:rPr>
          <w:rFonts w:ascii="Calibri" w:cs="Calibri" w:eastAsia="Calibri" w:hAnsi="Calibri"/>
          <w:color w:val="1A1A2E"/>
          <w:sz w:val="21"/>
          <w:szCs w:val="21"/>
        </w:rPr>
        <w:t xml:space="preserve">Create your Pearson VUE account from the confirmation instructions, then sign in to schedule.</w:t>
      </w:r>
    </w:p>
    <w:p>
      <w:pPr>
        <w:pStyle w:val="ListParagraph"/>
        <w:numPr>
          <w:ilvl w:val="0"/>
          <w:numId w:val="3"/>
        </w:numPr>
        <w:spacing w:after="60" w:line="272"/>
      </w:pPr>
      <w:r>
        <w:rPr>
          <w:rFonts w:ascii="Calibri" w:cs="Calibri" w:eastAsia="Calibri" w:hAnsi="Calibri"/>
          <w:color w:val="1A1A2E"/>
          <w:sz w:val="21"/>
          <w:szCs w:val="21"/>
        </w:rPr>
        <w:t xml:space="preserve">Choose a date and either online proctoring or a Pearson test center.</w:t>
      </w:r>
    </w:p>
    <w:p>
      <w:pPr>
        <w:spacing w:after="120" w:line="276"/>
      </w:pPr>
      <w:r>
        <w:rPr>
          <w:rFonts w:ascii="Calibri" w:cs="Calibri" w:eastAsia="Calibri" w:hAnsi="Calibri"/>
          <w:color w:val="1A1A2E"/>
          <w:sz w:val="21"/>
          <w:szCs w:val="21"/>
        </w:rPr>
        <w:t xml:space="preserve">You may cancel or reschedule up to </w:t>
      </w:r>
      <w:r>
        <w:rPr>
          <w:rFonts w:ascii="Calibri" w:cs="Calibri" w:eastAsia="Calibri" w:hAnsi="Calibri"/>
          <w:b/>
          <w:bCs/>
          <w:color w:val="1A1A2E"/>
          <w:sz w:val="21"/>
          <w:szCs w:val="21"/>
        </w:rPr>
        <w:t xml:space="preserve">24 hours</w:t>
      </w:r>
      <w:r>
        <w:rPr>
          <w:rFonts w:ascii="Calibri" w:cs="Calibri" w:eastAsia="Calibri" w:hAnsi="Calibri"/>
          <w:color w:val="1A1A2E"/>
          <w:sz w:val="21"/>
          <w:szCs w:val="21"/>
        </w:rPr>
        <w:t xml:space="preserve"> before your appointment. Changes within 24 hours forfeit the fee. No-shows and late arrivals forfeit the fee and must re-register.</w:t>
      </w:r>
    </w:p>
    <w:p>
      <w:pPr>
        <w:pStyle w:val="Heading3"/>
        <w:spacing w:after="70" w:before="180"/>
      </w:pPr>
      <w:r>
        <w:rPr>
          <w:rFonts w:ascii="Calibri" w:cs="Calibri" w:eastAsia="Calibri" w:hAnsi="Calibri"/>
          <w:b/>
          <w:bCs/>
          <w:color w:val="0F5257"/>
          <w:sz w:val="22"/>
          <w:szCs w:val="22"/>
        </w:rPr>
        <w:t xml:space="preserve">On exam day</w:t>
      </w:r>
    </w:p>
    <w:p>
      <w:pPr>
        <w:pStyle w:val="ListParagraph"/>
        <w:numPr>
          <w:ilvl w:val="0"/>
          <w:numId w:val="2"/>
        </w:numPr>
        <w:spacing w:after="60" w:line="272"/>
      </w:pPr>
      <w:r>
        <w:rPr>
          <w:rFonts w:ascii="Calibri" w:cs="Calibri" w:eastAsia="Calibri" w:hAnsi="Calibri"/>
          <w:color w:val="1A1A2E"/>
          <w:sz w:val="21"/>
          <w:szCs w:val="21"/>
        </w:rPr>
        <w:t xml:space="preserve">Bring valid, unexpired, government-issued photo ID; the name must match your registration exactly (contact certifications-support@anthropic.com beforehand to correct a name).</w:t>
      </w:r>
    </w:p>
    <w:p>
      <w:pPr>
        <w:pStyle w:val="ListParagraph"/>
        <w:numPr>
          <w:ilvl w:val="0"/>
          <w:numId w:val="2"/>
        </w:numPr>
        <w:spacing w:after="60" w:line="272"/>
      </w:pPr>
      <w:r>
        <w:rPr>
          <w:rFonts w:ascii="Calibri" w:cs="Calibri" w:eastAsia="Calibri" w:hAnsi="Calibri"/>
          <w:color w:val="1A1A2E"/>
          <w:sz w:val="21"/>
          <w:szCs w:val="21"/>
        </w:rPr>
        <w:t xml:space="preserve">Closed-book and proctored: no notes, books, phones, smart watches, headphones, secondary monitors, or recording devices. Stay in view of the webcam the whole session if testing online.</w:t>
      </w:r>
    </w:p>
    <w:p>
      <w:pPr>
        <w:pStyle w:val="ListParagraph"/>
        <w:numPr>
          <w:ilvl w:val="0"/>
          <w:numId w:val="2"/>
        </w:numPr>
        <w:spacing w:after="60" w:line="272"/>
      </w:pPr>
      <w:r>
        <w:rPr>
          <w:rFonts w:ascii="Calibri" w:cs="Calibri" w:eastAsia="Calibri" w:hAnsi="Calibri"/>
          <w:color w:val="1A1A2E"/>
          <w:sz w:val="21"/>
          <w:szCs w:val="21"/>
        </w:rPr>
        <w:t xml:space="preserve">You accept a confidentiality/NDA before starting; do not reproduce or disclose any exam content. Misconduct can void your result and ban you from future exams.</w:t>
      </w:r>
    </w:p>
    <w:p>
      <w:pPr>
        <w:pStyle w:val="ListParagraph"/>
        <w:numPr>
          <w:ilvl w:val="0"/>
          <w:numId w:val="2"/>
        </w:numPr>
        <w:spacing w:after="60" w:line="272"/>
      </w:pPr>
      <w:r>
        <w:rPr>
          <w:rFonts w:ascii="Calibri" w:cs="Calibri" w:eastAsia="Calibri" w:hAnsi="Calibri"/>
          <w:color w:val="1A1A2E"/>
          <w:sz w:val="21"/>
          <w:szCs w:val="21"/>
        </w:rPr>
        <w:t xml:space="preserve">Request accommodations through Pearson VUE and get approval before scheduling.</w:t>
      </w:r>
    </w:p>
    <w:p>
      <w:pPr>
        <w:pStyle w:val="Heading3"/>
        <w:spacing w:after="70" w:before="180"/>
      </w:pPr>
      <w:r>
        <w:rPr>
          <w:rFonts w:ascii="Calibri" w:cs="Calibri" w:eastAsia="Calibri" w:hAnsi="Calibri"/>
          <w:b/>
          <w:bCs/>
          <w:color w:val="0F5257"/>
          <w:sz w:val="22"/>
          <w:szCs w:val="22"/>
        </w:rPr>
        <w:t xml:space="preserve">Retakes</w:t>
      </w:r>
    </w:p>
    <w:p>
      <w:pPr>
        <w:spacing w:after="120" w:line="276"/>
      </w:pPr>
      <w:r>
        <w:rPr>
          <w:rFonts w:ascii="Calibri" w:cs="Calibri" w:eastAsia="Calibri" w:hAnsi="Calibri"/>
          <w:color w:val="1A1A2E"/>
          <w:sz w:val="21"/>
          <w:szCs w:val="21"/>
        </w:rPr>
        <w:t xml:space="preserve">Waiting periods increase with each failed attempt: </w:t>
      </w:r>
      <w:r>
        <w:rPr>
          <w:rFonts w:ascii="Calibri" w:cs="Calibri" w:eastAsia="Calibri" w:hAnsi="Calibri"/>
          <w:b/>
          <w:bCs/>
          <w:color w:val="1A1A2E"/>
          <w:sz w:val="21"/>
          <w:szCs w:val="21"/>
        </w:rPr>
        <w:t xml:space="preserve">14 days</w:t>
      </w:r>
      <w:r>
        <w:rPr>
          <w:rFonts w:ascii="Calibri" w:cs="Calibri" w:eastAsia="Calibri" w:hAnsi="Calibri"/>
          <w:color w:val="1A1A2E"/>
          <w:sz w:val="21"/>
          <w:szCs w:val="21"/>
        </w:rPr>
        <w:t xml:space="preserve"> after the first, </w:t>
      </w:r>
      <w:r>
        <w:rPr>
          <w:rFonts w:ascii="Calibri" w:cs="Calibri" w:eastAsia="Calibri" w:hAnsi="Calibri"/>
          <w:b/>
          <w:bCs/>
          <w:color w:val="1A1A2E"/>
          <w:sz w:val="21"/>
          <w:szCs w:val="21"/>
        </w:rPr>
        <w:t xml:space="preserve">30 days</w:t>
      </w:r>
      <w:r>
        <w:rPr>
          <w:rFonts w:ascii="Calibri" w:cs="Calibri" w:eastAsia="Calibri" w:hAnsi="Calibri"/>
          <w:color w:val="1A1A2E"/>
          <w:sz w:val="21"/>
          <w:szCs w:val="21"/>
        </w:rPr>
        <w:t xml:space="preserve"> after the second, </w:t>
      </w:r>
      <w:r>
        <w:rPr>
          <w:rFonts w:ascii="Calibri" w:cs="Calibri" w:eastAsia="Calibri" w:hAnsi="Calibri"/>
          <w:b/>
          <w:bCs/>
          <w:color w:val="1A1A2E"/>
          <w:sz w:val="21"/>
          <w:szCs w:val="21"/>
        </w:rPr>
        <w:t xml:space="preserve">90 days</w:t>
      </w:r>
      <w:r>
        <w:rPr>
          <w:rFonts w:ascii="Calibri" w:cs="Calibri" w:eastAsia="Calibri" w:hAnsi="Calibri"/>
          <w:color w:val="1A1A2E"/>
          <w:sz w:val="21"/>
          <w:szCs w:val="21"/>
        </w:rPr>
        <w:t xml:space="preserve"> after the third. Up to four attempts per rolling 12 months. The $175 fee applies to every attempt — budget prep time to pass on the first try.</w:t>
      </w:r>
    </w:p>
    <w:p>
      <w:pPr>
        <w:pStyle w:val="Heading3"/>
        <w:spacing w:after="70" w:before="180"/>
      </w:pPr>
      <w:r>
        <w:rPr>
          <w:rFonts w:ascii="Calibri" w:cs="Calibri" w:eastAsia="Calibri" w:hAnsi="Calibri"/>
          <w:b/>
          <w:bCs/>
          <w:color w:val="0F5257"/>
          <w:sz w:val="22"/>
          <w:szCs w:val="22"/>
        </w:rPr>
        <w:t xml:space="preserve">Validity and renewal</w:t>
      </w:r>
    </w:p>
    <w:p>
      <w:pPr>
        <w:spacing w:after="120" w:line="276"/>
      </w:pPr>
      <w:r>
        <w:rPr>
          <w:rFonts w:ascii="Calibri" w:cs="Calibri" w:eastAsia="Calibri" w:hAnsi="Calibri"/>
          <w:color w:val="1A1A2E"/>
          <w:sz w:val="21"/>
          <w:szCs w:val="21"/>
        </w:rPr>
        <w:t xml:space="preserve">The credential is valid for </w:t>
      </w:r>
      <w:r>
        <w:rPr>
          <w:rFonts w:ascii="Calibri" w:cs="Calibri" w:eastAsia="Calibri" w:hAnsi="Calibri"/>
          <w:b/>
          <w:bCs/>
          <w:color w:val="1A1A2E"/>
          <w:sz w:val="21"/>
          <w:szCs w:val="21"/>
        </w:rPr>
        <w:t xml:space="preserve">12 months</w:t>
      </w:r>
      <w:r>
        <w:rPr>
          <w:rFonts w:ascii="Calibri" w:cs="Calibri" w:eastAsia="Calibri" w:hAnsi="Calibri"/>
          <w:color w:val="1A1A2E"/>
          <w:sz w:val="21"/>
          <w:szCs w:val="21"/>
        </w:rPr>
        <w:t xml:space="preserve"> from the award date. Renew </w:t>
      </w:r>
      <w:r>
        <w:rPr>
          <w:rFonts w:ascii="Calibri" w:cs="Calibri" w:eastAsia="Calibri" w:hAnsi="Calibri"/>
          <w:i/>
          <w:iCs/>
          <w:color w:val="1A1A2E"/>
          <w:sz w:val="21"/>
          <w:szCs w:val="21"/>
        </w:rPr>
        <w:t xml:space="preserve">on time</w:t>
      </w:r>
      <w:r>
        <w:rPr>
          <w:rFonts w:ascii="Calibri" w:cs="Calibri" w:eastAsia="Calibri" w:hAnsi="Calibri"/>
          <w:color w:val="1A1A2E"/>
          <w:sz w:val="21"/>
          <w:szCs w:val="21"/>
        </w:rPr>
        <w:t xml:space="preserve"> via a free, non-proctored assessment on the Anthropic Partner Academy (review what's changed since you certified). If it lapses, retake the full exam at full fee. If exam content changes significantly, Anthropic may require a full retake regardless.</w:t>
      </w:r>
    </w:p>
    <w:p>
      <w:pPr>
        <w:pStyle w:val="Heading3"/>
        <w:spacing w:after="70" w:before="180"/>
      </w:pPr>
      <w:r>
        <w:rPr>
          <w:rFonts w:ascii="Calibri" w:cs="Calibri" w:eastAsia="Calibri" w:hAnsi="Calibri"/>
          <w:b/>
          <w:bCs/>
          <w:color w:val="0F5257"/>
          <w:sz w:val="22"/>
          <w:szCs w:val="22"/>
        </w:rPr>
        <w:t xml:space="preserve">Appeals and support</w:t>
      </w:r>
    </w:p>
    <w:p>
      <w:pPr>
        <w:spacing w:after="120" w:line="276"/>
      </w:pPr>
      <w:r>
        <w:rPr>
          <w:rFonts w:ascii="Calibri" w:cs="Calibri" w:eastAsia="Calibri" w:hAnsi="Calibri"/>
          <w:color w:val="1A1A2E"/>
          <w:sz w:val="21"/>
          <w:szCs w:val="21"/>
        </w:rPr>
        <w:t xml:space="preserve">You may appeal a decision within 14 days of notification (or within 14 days of your exam date for a result concern) through Pearson VUE support. The standard-setting outcome and individual item content are not subject to appeal. For name corrections, contact certifications-support@anthropic.com; for everything else, Pearson VUE support.</w:t>
      </w:r>
    </w:p>
    <w:p>
      <w:r>
        <w:br w:type="page"/>
      </w:r>
    </w:p>
    <w:p>
      <w:pPr>
        <w:pStyle w:val="Heading1"/>
        <w:spacing w:after="140" w:before="340"/>
      </w:pPr>
      <w:r>
        <w:rPr>
          <w:rFonts w:ascii="Calibri" w:cs="Calibri" w:eastAsia="Calibri" w:hAnsi="Calibri"/>
          <w:b/>
          <w:bCs/>
          <w:color w:val="6B2D5C"/>
          <w:sz w:val="32"/>
          <w:szCs w:val="32"/>
        </w:rPr>
        <w:t xml:space="preserve">Part 7 · Domain Self-Check</w:t>
      </w:r>
    </w:p>
    <w:p>
      <w:pPr>
        <w:spacing w:after="100" w:line="276"/>
      </w:pPr>
      <w:r>
        <w:rPr>
          <w:rFonts w:ascii="Calibri" w:cs="Calibri" w:eastAsia="Calibri" w:hAnsi="Calibri"/>
          <w:color w:val="1A1A2E"/>
          <w:sz w:val="21"/>
          <w:szCs w:val="21"/>
        </w:rPr>
        <w:t xml:space="preserve">Before you schedule, you should be able to answer each of these from memory. If any make you hesitate, that domain needs another pass.</w:t>
      </w:r>
    </w:p>
    <w:tbl>
      <w:tblPr>
        <w:tblW w:type="pct" w:w="100%"/>
        <w:tblBorders>
          <w:top w:val="single" w:color="C9BFC9" w:sz="2"/>
          <w:left w:val="single" w:color="C9BFC9" w:sz="2"/>
          <w:bottom w:val="single" w:color="C9BFC9" w:sz="2"/>
          <w:right w:val="single" w:color="C9BFC9" w:sz="2"/>
          <w:insideH w:val="single" w:color="C9BFC9" w:sz="2"/>
          <w:insideV w:val="single" w:color="C9BFC9" w:sz="2"/>
        </w:tblBorders>
      </w:tblPr>
      <w:tblGrid>
        <w:gridCol w:w="2400"/>
        <w:gridCol w:w="6960"/>
      </w:tblGrid>
      <w:tr>
        <w:trPr>
          <w:tblHeader/>
        </w:trPr>
        <w:tc>
          <w:tcPr>
            <w:tcW w:type="dxa" w:w="240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Domain</w:t>
            </w:r>
          </w:p>
        </w:tc>
        <w:tc>
          <w:tcPr>
            <w:tcW w:type="dxa" w:w="6960"/>
            <w:shd w:fill="6B2D5C" w:color="auto" w:val="clear"/>
            <w:tcMar>
              <w:top w:type="dxa" w:w="70"/>
              <w:left w:type="dxa" w:w="110"/>
              <w:bottom w:type="dxa" w:w="70"/>
              <w:right w:type="dxa" w:w="110"/>
            </w:tcMar>
          </w:tcPr>
          <w:p>
            <w:r>
              <w:rPr>
                <w:rFonts w:ascii="Calibri" w:cs="Calibri" w:eastAsia="Calibri" w:hAnsi="Calibri"/>
                <w:b/>
                <w:bCs/>
                <w:color w:val="FFFFFF"/>
                <w:sz w:val="19"/>
                <w:szCs w:val="19"/>
              </w:rPr>
              <w:t xml:space="preserve">Can you answer this cold?</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Solution Design</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Given a scenario, can I name the dominant constraint and justify the simplest sufficient pattern (augmented LLM / workflow / agentic / multi-agent)?</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Solution Design</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sketch an end-to-end architecture including the feedback loop, and say where each LLM call belongs?</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Models &amp; Prompting</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Can I explain when to move up or down a model tier by trade-off, not by default?</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Models &amp; Prompting</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state exactly why ordering stable content first + prompt caching beats truncation or downsizing?</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Integration</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Can I explain why least privilege means removing a tool, not logging or confirming it?</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Integration</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design a RAG pipeline (chunking, indexing, retrieval) matched to a given data shape and query pattern?</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Integration</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Can I pick MCP vs. direct API/CLI vs. agent-to-agent from the signals in a scenario, and justify progressive vs. monolithic context?</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Evaluation</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recite the symptom→cause map, and explain why a post-refresh failure points at retrieval, not the model?</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Evaluation</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Can I name all five metric axes and design an eval set with mixed methodologies?</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Governance</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match each named failure mode to its mitigation, and place human-in-the-loop where it's required?</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Governance</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Can I say what GDPR, HIPAA, and FedRAMP each drive in a design, and why a confidence score isn't a fairness control?</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Stakeholder/Lifecycle</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frame the same architecture trade-off four ways for executive, legal, security, and operations?</w:t>
            </w:r>
          </w:p>
        </w:tc>
      </w:tr>
      <w:tr>
        <w:tc>
          <w:tcPr>
            <w:tcW w:type="dxa" w:w="240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Stakeholder/Lifecycle</w:t>
            </w:r>
          </w:p>
        </w:tc>
        <w:tc>
          <w:tcPr>
            <w:tcW w:type="dxa" w:w="6960"/>
            <w:shd w:fill="F2EEF3" w:color="auto" w:val="clear"/>
            <w:tcMar>
              <w:top w:type="dxa" w:w="60"/>
              <w:left w:type="dxa" w:w="110"/>
              <w:bottom w:type="dxa" w:w="60"/>
              <w:right w:type="dxa" w:w="110"/>
            </w:tcMar>
          </w:tcPr>
          <w:p>
            <w:r>
              <w:rPr>
                <w:rFonts w:ascii="Calibri" w:cs="Calibri" w:eastAsia="Calibri" w:hAnsi="Calibri"/>
                <w:color w:val="1A1A2E"/>
                <w:sz w:val="19"/>
                <w:szCs w:val="19"/>
              </w:rPr>
              <w:t xml:space="preserve">Can I list the lifecycle phases and say what a good handoff deliverable contains?</w:t>
            </w:r>
          </w:p>
        </w:tc>
      </w:tr>
      <w:tr>
        <w:tc>
          <w:tcPr>
            <w:tcW w:type="dxa" w:w="240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Dev Enablement</w:t>
            </w:r>
          </w:p>
        </w:tc>
        <w:tc>
          <w:tcPr>
            <w:tcW w:type="dxa" w:w="6960"/>
            <w:shd w:fill="FFFFFF" w:color="auto" w:val="clear"/>
            <w:tcMar>
              <w:top w:type="dxa" w:w="60"/>
              <w:left w:type="dxa" w:w="110"/>
              <w:bottom w:type="dxa" w:w="60"/>
              <w:right w:type="dxa" w:w="110"/>
            </w:tcMar>
          </w:tcPr>
          <w:p>
            <w:r>
              <w:rPr>
                <w:rFonts w:ascii="Calibri" w:cs="Calibri" w:eastAsia="Calibri" w:hAnsi="Calibri"/>
                <w:color w:val="1A1A2E"/>
                <w:sz w:val="19"/>
                <w:szCs w:val="19"/>
              </w:rPr>
              <w:t xml:space="preserve">Can I describe how an architect standardizes AI-assisted team tooling and ties it to governance and observability?</w:t>
            </w:r>
          </w:p>
        </w:tc>
      </w:tr>
    </w:tbl>
    <w:p>
      <w:r>
        <w:br w:type="page"/>
      </w:r>
    </w:p>
    <w:p>
      <w:pPr>
        <w:pStyle w:val="Heading1"/>
        <w:spacing w:after="140" w:before="340"/>
      </w:pPr>
      <w:r>
        <w:rPr>
          <w:rFonts w:ascii="Calibri" w:cs="Calibri" w:eastAsia="Calibri" w:hAnsi="Calibri"/>
          <w:b/>
          <w:bCs/>
          <w:color w:val="6B2D5C"/>
          <w:sz w:val="32"/>
          <w:szCs w:val="32"/>
        </w:rPr>
        <w:t xml:space="preserve">Sources &amp; Provenance</w:t>
      </w:r>
    </w:p>
    <w:p>
      <w:pPr>
        <w:spacing w:after="120" w:line="276"/>
      </w:pPr>
      <w:r>
        <w:rPr>
          <w:rFonts w:ascii="Calibri" w:cs="Calibri" w:eastAsia="Calibri" w:hAnsi="Calibri"/>
          <w:color w:val="1A1A2E"/>
          <w:sz w:val="21"/>
          <w:szCs w:val="21"/>
        </w:rPr>
        <w:t xml:space="preserve">All exam facts — format, weights, the seven domains and their objectives, scoring, policies, renewal, and the three sample questions with rationale — are taken directly from Anthropic's official document:</w:t>
      </w:r>
    </w:p>
    <w:p>
      <w:pPr>
        <w:pStyle w:val="ListParagraph"/>
        <w:numPr>
          <w:ilvl w:val="0"/>
          <w:numId w:val="2"/>
        </w:numPr>
        <w:spacing w:after="60" w:line="272"/>
      </w:pPr>
      <w:r>
        <w:rPr>
          <w:rFonts w:ascii="Calibri" w:cs="Calibri" w:eastAsia="Calibri" w:hAnsi="Calibri"/>
          <w:b/>
          <w:bCs/>
          <w:color w:val="1A1A2E"/>
          <w:sz w:val="21"/>
          <w:szCs w:val="21"/>
        </w:rPr>
        <w:t xml:space="preserve">Anthropic — </w:t>
      </w:r>
      <w:r>
        <w:rPr>
          <w:rFonts w:ascii="Calibri" w:cs="Calibri" w:eastAsia="Calibri" w:hAnsi="Calibri"/>
          <w:i/>
          <w:iCs/>
          <w:color w:val="1A1A2E"/>
          <w:sz w:val="21"/>
          <w:szCs w:val="21"/>
        </w:rPr>
        <w:t xml:space="preserve">Claude Certified Architect – Professional Exam Guide</w:t>
      </w:r>
      <w:r>
        <w:rPr>
          <w:rFonts w:ascii="Calibri" w:cs="Calibri" w:eastAsia="Calibri" w:hAnsi="Calibri"/>
          <w:color w:val="1A1A2E"/>
          <w:sz w:val="21"/>
          <w:szCs w:val="21"/>
        </w:rPr>
        <w:t xml:space="preserve">, Version 1.0, effective July 2026 (exam code CCAR-P).</w:t>
      </w:r>
    </w:p>
    <w:p>
      <w:pPr>
        <w:spacing w:after="120" w:line="276"/>
      </w:pPr>
      <w:r>
        <w:rPr>
          <w:rFonts w:ascii="Calibri" w:cs="Calibri" w:eastAsia="Calibri" w:hAnsi="Calibri"/>
          <w:color w:val="1A1A2E"/>
          <w:sz w:val="21"/>
          <w:szCs w:val="21"/>
        </w:rPr>
        <w:t xml:space="preserve">Exam-context corroboration (blueprint weights, format, logistics) was cross-checked against independent prep resources, principally the FlashGenius CCAR-P interactive guide (July 2026) and the Educative CCAR-P course outline, both of which cite the same Anthropic Exam Guide v1.0.</w:t>
      </w:r>
    </w:p>
    <w:tbl>
      <w:tblPr>
        <w:tblW w:type="pct" w:w="100%"/>
        <w:tblBorders>
          <w:top w:val="single" w:color="F2EEF3" w:sz="2"/>
          <w:left w:val="single" w:color="6B2D5C" w:sz="24"/>
          <w:bottom w:val="single" w:color="F2EEF3" w:sz="2"/>
          <w:right w:val="single" w:color="F2EEF3" w:sz="2"/>
          <w:insideH w:val="none"/>
          <w:insideV w:val="none"/>
        </w:tblBorders>
      </w:tblPr>
      <w:tblGrid>
        <w:gridCol w:w="9360"/>
      </w:tblGrid>
      <w:tr>
        <w:tc>
          <w:tcPr>
            <w:tcW w:type="dxa" w:w="9360"/>
            <w:shd w:fill="F2EEF3" w:color="auto" w:val="clear"/>
            <w:tcMar>
              <w:top w:type="dxa" w:w="120"/>
              <w:left w:type="dxa" w:w="180"/>
              <w:bottom w:type="dxa" w:w="120"/>
              <w:right w:type="dxa" w:w="180"/>
            </w:tcMar>
          </w:tcPr>
          <w:p>
            <w:pPr>
              <w:spacing w:after="60"/>
            </w:pPr>
            <w:r>
              <w:rPr>
                <w:rFonts w:ascii="Calibri" w:cs="Calibri" w:eastAsia="Calibri" w:hAnsi="Calibri"/>
                <w:b/>
                <w:bCs/>
                <w:color w:val="6B2D5C"/>
                <w:sz w:val="21"/>
                <w:szCs w:val="21"/>
              </w:rPr>
              <w:t xml:space="preserve">What is official vs. interpretation</w:t>
            </w:r>
          </w:p>
          <w:p>
            <w:pPr>
              <w:spacing w:after="60" w:line="270"/>
            </w:pPr>
            <w:r>
              <w:rPr>
                <w:rFonts w:ascii="Calibri" w:cs="Calibri" w:eastAsia="Calibri" w:hAnsi="Calibri"/>
                <w:b/>
                <w:bCs/>
                <w:color w:val="1A1A2E"/>
                <w:sz w:val="21"/>
                <w:szCs w:val="21"/>
              </w:rPr>
              <w:t xml:space="preserve">Official (from the exam guide):</w:t>
            </w:r>
            <w:r>
              <w:rPr>
                <w:rFonts w:ascii="Calibri" w:cs="Calibri" w:eastAsia="Calibri" w:hAnsi="Calibri"/>
                <w:color w:val="1A1A2E"/>
                <w:sz w:val="21"/>
                <w:szCs w:val="21"/>
              </w:rPr>
              <w:t xml:space="preserve"> every domain title and objective, all weights, the format/scoring/policy facts, and the three sample questions and their answer rationale.</w:t>
            </w:r>
          </w:p>
          <w:p>
            <w:pPr>
              <w:spacing w:after="60" w:line="270"/>
            </w:pPr>
            <w:r>
              <w:rPr>
                <w:rFonts w:ascii="Calibri" w:cs="Calibri" w:eastAsia="Calibri" w:hAnsi="Calibri"/>
                <w:b/>
                <w:bCs/>
                <w:color w:val="1A1A2E"/>
                <w:sz w:val="21"/>
                <w:szCs w:val="21"/>
              </w:rPr>
              <w:t xml:space="preserve">This guide's interpretation:</w:t>
            </w:r>
            <w:r>
              <w:rPr>
                <w:rFonts w:ascii="Calibri" w:cs="Calibri" w:eastAsia="Calibri" w:hAnsi="Calibri"/>
                <w:color w:val="1A1A2E"/>
                <w:sz w:val="21"/>
                <w:szCs w:val="21"/>
              </w:rPr>
              <w:t xml:space="preserve"> the teaching content, decision heuristics, the symptom→cause table, the Meridian case study, the cross-cutting themes, and the study plan. These are built on the published objectives to help you reason the way the exam asks — they are not Anthropic's own material.</w:t>
            </w:r>
          </w:p>
          <w:p>
            <w:pPr>
              <w:spacing w:after="60" w:line="270"/>
            </w:pPr>
            <w:r>
              <w:rPr>
                <w:rFonts w:ascii="Calibri" w:cs="Calibri" w:eastAsia="Calibri" w:hAnsi="Calibri"/>
                <w:i/>
                <w:iCs/>
                <w:color w:val="1A1A2E"/>
                <w:sz w:val="21"/>
                <w:szCs w:val="21"/>
              </w:rPr>
              <w:t xml:space="preserve">Always confirm current details on Anthropic's official certification pages before you register. Exam content, fees, and the model line-up evolve.</w:t>
            </w:r>
          </w:p>
        </w:tc>
      </w:tr>
    </w:tbl>
    <w:p>
      <w:pPr>
        <w:spacing w:after="0" w:line="276"/>
      </w:pPr>
      <w:r>
        <w:rPr>
          <w:rFonts w:ascii="Calibri" w:cs="Calibri" w:eastAsia="Calibri" w:hAnsi="Calibri"/>
          <w:color w:val="1A1A2E"/>
          <w:sz w:val="21"/>
          <w:szCs w:val="21"/>
        </w:rPr>
        <w:t xml:space="preserve">Note on scope: the exam is Claude-specific and, per the program terms, delivered to organizations in the Claude Partner Network. Confirm your eligibility and current pricing at registration.</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FC9" w:sz="4"/>
      </w:pBdr>
      <w:spacing w:before="80"/>
      <w:jc w:val="center"/>
    </w:pPr>
    <w:r>
      <w:rPr>
        <w:rFonts w:ascii="Calibri" w:cs="Calibri" w:eastAsia="Calibri" w:hAnsi="Calibri"/>
        <w:color w:val="5A5A6E"/>
        <w:sz w:val="16"/>
        <w:szCs w:val="16"/>
      </w:rPr>
      <w:t xml:space="preserve">Claude Certified Architect – Professional (CCAR-P)  ·  Study Guide  ·  Page </w:t>
    </w:r>
    <w:r>
      <w:rPr>
        <w:rFonts w:ascii="Calibri" w:cs="Calibri" w:eastAsia="Calibri" w:hAnsi="Calibri"/>
        <w:color w:val="5A5A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6B2D5C"/>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rPr>
        <w:b/>
        <w:bCs/>
        <w:color w:val="6B2D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Certified Architect – Professional: End-to-End Preparation Guide</dc:title>
  <dc:creator>CCAR-P Study Guide</dc:creator>
  <dc:description>A complete study guide for the CCAR-P exam, built from Anthropic's official Exam Guide v1.0 (July 2026).</dc:description>
  <cp:lastModifiedBy>Un-named</cp:lastModifiedBy>
  <cp:revision>1</cp:revision>
  <dcterms:created xsi:type="dcterms:W3CDTF">2026-08-17T17:34:44.075Z</dcterms:created>
  <dcterms:modified xsi:type="dcterms:W3CDTF">2026-08-17T17:34:44.075Z</dcterms:modified>
</cp:coreProperties>
</file>

<file path=docProps/custom.xml><?xml version="1.0" encoding="utf-8"?>
<Properties xmlns="http://schemas.openxmlformats.org/officeDocument/2006/custom-properties" xmlns:vt="http://schemas.openxmlformats.org/officeDocument/2006/docPropsVTypes"/>
</file>