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Strategic Evaluation Report</w:t>
      </w:r>
    </w:p>
    <w:p>
      <w:pPr>
        <w:spacing w:before="200" w:after="400"/>
        <w:jc w:val="center"/>
      </w:pPr>
      <w:r>
        <w:rPr>
          <w:color w:val="2874A6"/>
          <w:sz w:val="32"/>
          <w:szCs w:val="32"/>
        </w:rPr>
        <w:t xml:space="preserve">AWS vs Microsoft Azure for Banking AI, ML, and GenAI Pipelines</w:t>
      </w:r>
    </w:p>
    <w:p>
      <w:pPr>
        <w:spacing w:after="200"/>
        <w:jc w:val="center"/>
      </w:pPr>
      <w:r>
        <w:rPr>
          <w:i/>
          <w:iCs/>
          <w:color w:val="666666"/>
          <w:sz w:val="26"/>
          <w:szCs w:val="26"/>
        </w:rPr>
        <w:t xml:space="preserve">A First Principles Analysis for Financial Services</w:t>
      </w:r>
    </w:p>
    <w:p>
      <w:pPr>
        <w:spacing w:before="600"/>
        <w:jc w:val="center"/>
      </w:pPr>
      <w:r>
        <w:rPr>
          <w:b/>
          <w:bCs/>
          <w:sz w:val="24"/>
          <w:szCs w:val="24"/>
        </w:rPr>
        <w:t xml:space="preserve">Focus Areas:</w:t>
      </w:r>
    </w:p>
    <w:p>
      <w:pPr>
        <w:jc w:val="center"/>
      </w:pPr>
      <w:r>
        <w:rPr>
          <w:color w:val="2874A6"/>
          <w:sz w:val="22"/>
          <w:szCs w:val="22"/>
        </w:rPr>
        <w:t xml:space="preserve">Transaction Dispute Resolution • Fraud Detection • Agentic AI Systems</w:t>
      </w:r>
    </w:p>
    <w:p>
      <w:pPr>
        <w:spacing w:before="1500"/>
        <w:jc w:val="center"/>
      </w:pPr>
      <w:r>
        <w:rPr>
          <w:color w:val="666666"/>
          <w:sz w:val="22"/>
          <w:szCs w:val="22"/>
        </w:rPr>
        <w:t xml:space="preserve">December 2025</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t xml:space="preserve">This report provides a comprehensive first-principles analysis comparing Amazon Web Services (AWS) and Microsoft Azure as cloud platforms for implementing AI, Machine Learning, and Generative AI pipelines in banking and financial services. The evaluation focuses specifically on transaction dispute resolution, fraud detection, and agentic AI systems within the context of financial domain regulations, legacy system integration, and payment channel ecosystems.</w:t>
      </w:r>
    </w:p>
    <w:p>
      <w:pPr>
        <w:pStyle w:val="Heading2"/>
      </w:pPr>
      <w:r>
        <w:t xml:space="preserve">Key Findings</w:t>
      </w:r>
    </w:p>
    <w:p>
      <w:pPr>
        <w:pStyle w:val="ListParagraph"/>
        <w:numPr>
          <w:ilvl w:val="0"/>
          <w:numId w:val="2"/>
        </w:numPr>
      </w:pPr>
      <w:r>
        <w:rPr>
          <w:b/>
          <w:bCs/>
        </w:rPr>
        <w:t xml:space="preserve">Model Selection Flexibility: </w:t>
      </w:r>
      <w:r>
        <w:t xml:space="preserve">AWS Bedrock provides access to 25+ foundation models from multiple providers (Anthropic Claude, Meta Llama, Stability AI), while Azure OpenAI focuses on OpenAI's GPT series with Microsoft-exclusive access to GPT-4.</w:t>
      </w:r>
    </w:p>
    <w:p>
      <w:pPr>
        <w:pStyle w:val="ListParagraph"/>
        <w:numPr>
          <w:ilvl w:val="0"/>
          <w:numId w:val="2"/>
        </w:numPr>
      </w:pPr>
      <w:r>
        <w:rPr>
          <w:b/>
          <w:bCs/>
        </w:rPr>
        <w:t xml:space="preserve">Cost Efficiency: </w:t>
      </w:r>
      <w:r>
        <w:t xml:space="preserve">AWS Bedrock models can provide 30-556% cost savings over comparable Azure OpenAI models depending on use case and model selection.</w:t>
      </w:r>
    </w:p>
    <w:p>
      <w:pPr>
        <w:pStyle w:val="ListParagraph"/>
        <w:numPr>
          <w:ilvl w:val="0"/>
          <w:numId w:val="2"/>
        </w:numPr>
      </w:pPr>
      <w:r>
        <w:rPr>
          <w:b/>
          <w:bCs/>
        </w:rPr>
        <w:t xml:space="preserve">Compliance Parity: </w:t>
      </w:r>
      <w:r>
        <w:t xml:space="preserve">Both platforms maintain robust compliance certifications (SOC 1/2/3, ISO 27001, FedRAMP, PCI-DSS, HIPAA) with AWS supporting 143+ compliance standards.</w:t>
      </w:r>
    </w:p>
    <w:p>
      <w:pPr>
        <w:pStyle w:val="ListParagraph"/>
        <w:numPr>
          <w:ilvl w:val="0"/>
          <w:numId w:val="2"/>
        </w:numPr>
      </w:pPr>
      <w:r>
        <w:rPr>
          <w:b/>
          <w:bCs/>
        </w:rPr>
        <w:t xml:space="preserve">Enterprise Integration: </w:t>
      </w:r>
      <w:r>
        <w:t xml:space="preserve">Azure excels for organizations invested in Microsoft 365/Dynamics ecosystem; AWS provides deeper integration with broader cloud-native architectures.</w:t>
      </w:r>
    </w:p>
    <w:p>
      <w:pPr>
        <w:pStyle w:val="ListParagraph"/>
        <w:numPr>
          <w:ilvl w:val="0"/>
          <w:numId w:val="2"/>
        </w:numPr>
      </w:pPr>
      <w:r>
        <w:rPr>
          <w:b/>
          <w:bCs/>
        </w:rPr>
        <w:t xml:space="preserve">Market Adoption: </w:t>
      </w:r>
      <w:r>
        <w:t xml:space="preserve">Major banks employ multi-cloud strategies: JPMorgan Chase uses AWS extensively (80% of apps migrated to cloud), Wells Fargo uses Azure as primary with Google Cloud secondary, Bank of America partners with IBM Cloud.</w:t>
      </w:r>
    </w:p>
    <w:p>
      <w:r>
        <w:br w:type="page"/>
      </w:r>
    </w:p>
    <w:p>
      <w:pPr>
        <w:pStyle w:val="Heading1"/>
      </w:pPr>
      <w:r>
        <w:t xml:space="preserve">2. First Principles Framework for Evaluation</w:t>
      </w:r>
    </w:p>
    <w:p>
      <w:pPr>
        <w:spacing w:after="200"/>
      </w:pPr>
      <w:r>
        <w:t xml:space="preserve">Before comparing specific platforms, we must decompose this decision into its fundamental components. The first principles approach requires identifying the irreducible elements that govern cloud platform selection for banking AI systems.</w:t>
      </w:r>
    </w:p>
    <w:p>
      <w:pPr>
        <w:pStyle w:val="Heading2"/>
      </w:pPr>
      <w:r>
        <w:t xml:space="preserve">2.1 Core Axioms of Financial AI Systems</w:t>
      </w:r>
    </w:p>
    <w:p>
      <w:pPr>
        <w:spacing w:after="100"/>
      </w:pPr>
      <w:r>
        <w:rPr>
          <w:b/>
          <w:bCs/>
        </w:rPr>
        <w:t xml:space="preserve">Axiom 1 - Regulatory Primacy: </w:t>
      </w:r>
      <w:r>
        <w:t xml:space="preserve">No AI capability justifies regulatory non-compliance. Financial institutions operate under FFIEC, OCC, GLBA, PCI-DSS, SOX, and SR 11-7 model risk management requirements. The cloud platform must enable, not hinder, compliance.</w:t>
      </w:r>
    </w:p>
    <w:p>
      <w:pPr>
        <w:spacing w:after="100"/>
      </w:pPr>
      <w:r>
        <w:rPr>
          <w:b/>
          <w:bCs/>
        </w:rPr>
        <w:t xml:space="preserve">Axiom 2 - Data Sovereignty: </w:t>
      </w:r>
      <w:r>
        <w:t xml:space="preserve">Customer financial data represents a sacred trust. Data residency, encryption at rest/in transit, and access controls are non-negotiable requirements, not features.</w:t>
      </w:r>
    </w:p>
    <w:p>
      <w:pPr>
        <w:spacing w:after="100"/>
      </w:pPr>
      <w:r>
        <w:rPr>
          <w:b/>
          <w:bCs/>
        </w:rPr>
        <w:t xml:space="preserve">Axiom 3 - Operational Continuity: </w:t>
      </w:r>
      <w:r>
        <w:t xml:space="preserve">Banking systems cannot experience downtime. Migration to cloud-native AI must support co-existence with legacy systems during transition periods.</w:t>
      </w:r>
    </w:p>
    <w:p>
      <w:pPr>
        <w:spacing w:after="100"/>
      </w:pPr>
      <w:r>
        <w:rPr>
          <w:b/>
          <w:bCs/>
        </w:rPr>
        <w:t xml:space="preserve">Axiom 4 - Model Governance: </w:t>
      </w:r>
      <w:r>
        <w:t xml:space="preserve">SR 11-7 requires model validation, documentation, and ongoing monitoring. AI systems must be explainable and auditable for regulatory examination.</w:t>
      </w:r>
    </w:p>
    <w:p>
      <w:pPr>
        <w:spacing w:after="100"/>
      </w:pPr>
      <w:r>
        <w:rPr>
          <w:b/>
          <w:bCs/>
        </w:rPr>
        <w:t xml:space="preserve">Axiom 5 - Economic Rationality: </w:t>
      </w:r>
      <w:r>
        <w:t xml:space="preserve">Technology investment must demonstrate ROI. Cost optimization without compromising security or capability is essential.</w:t>
      </w:r>
    </w:p>
    <w:p>
      <w:pPr>
        <w:pStyle w:val="Heading2"/>
      </w:pPr>
      <w:r>
        <w:t xml:space="preserve">2.2 Decision Framework Matrix</w:t>
      </w:r>
    </w:p>
    <w:p>
      <w:pPr>
        <w:spacing w:after="200"/>
      </w:pPr>
      <w:r>
        <w:t xml:space="preserve">The optimal platform choice emerges from evaluating each option against these fundamental requirements, weighted by organizational context.</w:t>
      </w:r>
    </w:p>
    <w:p>
      <w:r>
        <w:br w:type="page"/>
      </w:r>
    </w:p>
    <w:p>
      <w:pPr>
        <w:pStyle w:val="Heading1"/>
      </w:pPr>
      <w:r>
        <w:t xml:space="preserve">3. Financial Regulatory Compliance Landscape</w:t>
      </w:r>
    </w:p>
    <w:p>
      <w:pPr>
        <w:pStyle w:val="Heading2"/>
      </w:pPr>
      <w:r>
        <w:t xml:space="preserve">3.1 Key Regulatory Frameworks</w:t>
      </w:r>
    </w:p>
    <w:p>
      <w:pPr>
        <w:spacing w:after="200"/>
      </w:pPr>
      <w:r>
        <w:t xml:space="preserve">Financial institutions must navigate a complex regulatory environment when deploying AI/ML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Regulation</w:t>
            </w:r>
          </w:p>
        </w:tc>
        <w:tc>
          <w:tcPr>
            <w:tcW w:type="dxa" w:w="686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AI/ML Requirements &amp; Implications</w:t>
            </w:r>
          </w:p>
        </w:tc>
      </w:tr>
      <w:tr>
        <w:tc>
          <w:tcPr>
            <w:tcW w:type="dxa" w:w="2500"/>
            <w:tcBorders>
              <w:top w:val="single" w:color="CCCCCC" w:sz="1"/>
              <w:left w:val="single" w:color="CCCCCC" w:sz="1"/>
              <w:bottom w:val="single" w:color="CCCCCC" w:sz="1"/>
              <w:right w:val="single" w:color="CCCCCC" w:sz="1"/>
            </w:tcBorders>
          </w:tcPr>
          <w:p>
            <w:r>
              <w:rPr>
                <w:b/>
                <w:bCs/>
              </w:rPr>
              <w:t xml:space="preserve">SR 11-7</w:t>
            </w:r>
          </w:p>
        </w:tc>
        <w:tc>
          <w:tcPr>
            <w:tcW w:type="dxa" w:w="6860"/>
            <w:tcBorders>
              <w:top w:val="single" w:color="CCCCCC" w:sz="1"/>
              <w:left w:val="single" w:color="CCCCCC" w:sz="1"/>
              <w:bottom w:val="single" w:color="CCCCCC" w:sz="1"/>
              <w:right w:val="single" w:color="CCCCCC" w:sz="1"/>
            </w:tcBorders>
          </w:tcPr>
          <w:p>
            <w:r>
              <w:t xml:space="preserve">Federal Reserve/OCC Model Risk Management guidance requiring validation, documentation, governance, and ongoing monitoring for all quantitative models including AI/ML.</w:t>
            </w:r>
          </w:p>
        </w:tc>
      </w:tr>
      <w:tr>
        <w:tc>
          <w:tcPr>
            <w:tcW w:type="dxa" w:w="2500"/>
            <w:tcBorders>
              <w:top w:val="single" w:color="CCCCCC" w:sz="1"/>
              <w:left w:val="single" w:color="CCCCCC" w:sz="1"/>
              <w:bottom w:val="single" w:color="CCCCCC" w:sz="1"/>
              <w:right w:val="single" w:color="CCCCCC" w:sz="1"/>
            </w:tcBorders>
            <w:shd w:fill="F8F9FA" w:val="clear"/>
          </w:tcPr>
          <w:p>
            <w:r>
              <w:rPr>
                <w:b/>
                <w:bCs/>
              </w:rPr>
              <w:t xml:space="preserve">FFIEC</w:t>
            </w:r>
          </w:p>
        </w:tc>
        <w:tc>
          <w:tcPr>
            <w:tcW w:type="dxa" w:w="6860"/>
            <w:tcBorders>
              <w:top w:val="single" w:color="CCCCCC" w:sz="1"/>
              <w:left w:val="single" w:color="CCCCCC" w:sz="1"/>
              <w:bottom w:val="single" w:color="CCCCCC" w:sz="1"/>
              <w:right w:val="single" w:color="CCCCCC" w:sz="1"/>
            </w:tcBorders>
            <w:shd w:fill="F8F9FA" w:val="clear"/>
          </w:tcPr>
          <w:p>
            <w:r>
              <w:t xml:space="preserve">Interagency cybersecurity standards emphasizing multi-factor authentication, continuous monitoring, and third-party risk management. Non-compliance fines up to $2M.</w:t>
            </w:r>
          </w:p>
        </w:tc>
      </w:tr>
      <w:tr>
        <w:tc>
          <w:tcPr>
            <w:tcW w:type="dxa" w:w="2500"/>
            <w:tcBorders>
              <w:top w:val="single" w:color="CCCCCC" w:sz="1"/>
              <w:left w:val="single" w:color="CCCCCC" w:sz="1"/>
              <w:bottom w:val="single" w:color="CCCCCC" w:sz="1"/>
              <w:right w:val="single" w:color="CCCCCC" w:sz="1"/>
            </w:tcBorders>
          </w:tcPr>
          <w:p>
            <w:r>
              <w:rPr>
                <w:b/>
                <w:bCs/>
              </w:rPr>
              <w:t xml:space="preserve">GLBA</w:t>
            </w:r>
          </w:p>
        </w:tc>
        <w:tc>
          <w:tcPr>
            <w:tcW w:type="dxa" w:w="6860"/>
            <w:tcBorders>
              <w:top w:val="single" w:color="CCCCCC" w:sz="1"/>
              <w:left w:val="single" w:color="CCCCCC" w:sz="1"/>
              <w:bottom w:val="single" w:color="CCCCCC" w:sz="1"/>
              <w:right w:val="single" w:color="CCCCCC" w:sz="1"/>
            </w:tcBorders>
          </w:tcPr>
          <w:p>
            <w:r>
              <w:t xml:space="preserve">Gramm-Leach-Bliley Act requiring safeguards for non-public personal information (NPI), privacy notices, and breach notification within 30 days. Fines up to $100K per violation.</w:t>
            </w:r>
          </w:p>
        </w:tc>
      </w:tr>
      <w:tr>
        <w:tc>
          <w:tcPr>
            <w:tcW w:type="dxa" w:w="2500"/>
            <w:tcBorders>
              <w:top w:val="single" w:color="CCCCCC" w:sz="1"/>
              <w:left w:val="single" w:color="CCCCCC" w:sz="1"/>
              <w:bottom w:val="single" w:color="CCCCCC" w:sz="1"/>
              <w:right w:val="single" w:color="CCCCCC" w:sz="1"/>
            </w:tcBorders>
            <w:shd w:fill="F8F9FA" w:val="clear"/>
          </w:tcPr>
          <w:p>
            <w:r>
              <w:rPr>
                <w:b/>
                <w:bCs/>
              </w:rPr>
              <w:t xml:space="preserve">PCI-DSS 4.0</w:t>
            </w:r>
          </w:p>
        </w:tc>
        <w:tc>
          <w:tcPr>
            <w:tcW w:type="dxa" w:w="6860"/>
            <w:tcBorders>
              <w:top w:val="single" w:color="CCCCCC" w:sz="1"/>
              <w:left w:val="single" w:color="CCCCCC" w:sz="1"/>
              <w:bottom w:val="single" w:color="CCCCCC" w:sz="1"/>
              <w:right w:val="single" w:color="CCCCCC" w:sz="1"/>
            </w:tcBorders>
            <w:shd w:fill="F8F9FA" w:val="clear"/>
          </w:tcPr>
          <w:p>
            <w:r>
              <w:t xml:space="preserve">Payment Card Industry standards requiring encryption of cardholder data, MFA for all system components, and password rotation every 90 days.</w:t>
            </w:r>
          </w:p>
        </w:tc>
      </w:tr>
      <w:tr>
        <w:tc>
          <w:tcPr>
            <w:tcW w:type="dxa" w:w="2500"/>
            <w:tcBorders>
              <w:top w:val="single" w:color="CCCCCC" w:sz="1"/>
              <w:left w:val="single" w:color="CCCCCC" w:sz="1"/>
              <w:bottom w:val="single" w:color="CCCCCC" w:sz="1"/>
              <w:right w:val="single" w:color="CCCCCC" w:sz="1"/>
            </w:tcBorders>
          </w:tcPr>
          <w:p>
            <w:r>
              <w:rPr>
                <w:b/>
                <w:bCs/>
              </w:rPr>
              <w:t xml:space="preserve">SOX</w:t>
            </w:r>
          </w:p>
        </w:tc>
        <w:tc>
          <w:tcPr>
            <w:tcW w:type="dxa" w:w="6860"/>
            <w:tcBorders>
              <w:top w:val="single" w:color="CCCCCC" w:sz="1"/>
              <w:left w:val="single" w:color="CCCCCC" w:sz="1"/>
              <w:bottom w:val="single" w:color="CCCCCC" w:sz="1"/>
              <w:right w:val="single" w:color="CCCCCC" w:sz="1"/>
            </w:tcBorders>
          </w:tcPr>
          <w:p>
            <w:r>
              <w:t xml:space="preserve">Sarbanes-Oxley requiring internal controls over financial reporting, executive accountability, and cybersecurity disclosure. Penalties up to $1M and 10 years imprisonment.</w:t>
            </w:r>
          </w:p>
        </w:tc>
      </w:tr>
      <w:tr>
        <w:tc>
          <w:tcPr>
            <w:tcW w:type="dxa" w:w="2500"/>
            <w:tcBorders>
              <w:top w:val="single" w:color="CCCCCC" w:sz="1"/>
              <w:left w:val="single" w:color="CCCCCC" w:sz="1"/>
              <w:bottom w:val="single" w:color="CCCCCC" w:sz="1"/>
              <w:right w:val="single" w:color="CCCCCC" w:sz="1"/>
            </w:tcBorders>
            <w:shd w:fill="F8F9FA" w:val="clear"/>
          </w:tcPr>
          <w:p>
            <w:r>
              <w:rPr>
                <w:b/>
                <w:bCs/>
              </w:rPr>
              <w:t xml:space="preserve">BSA/AML</w:t>
            </w:r>
          </w:p>
        </w:tc>
        <w:tc>
          <w:tcPr>
            <w:tcW w:type="dxa" w:w="6860"/>
            <w:tcBorders>
              <w:top w:val="single" w:color="CCCCCC" w:sz="1"/>
              <w:left w:val="single" w:color="CCCCCC" w:sz="1"/>
              <w:bottom w:val="single" w:color="CCCCCC" w:sz="1"/>
              <w:right w:val="single" w:color="CCCCCC" w:sz="1"/>
            </w:tcBorders>
            <w:shd w:fill="F8F9FA" w:val="clear"/>
          </w:tcPr>
          <w:p>
            <w:r>
              <w:t xml:space="preserve">Bank Secrecy Act requiring transaction monitoring, suspicious activity reporting (SARs), and customer due diligence. Critical for fraud detection AI systems.</w:t>
            </w:r>
          </w:p>
        </w:tc>
      </w:tr>
    </w:tbl>
    <w:p>
      <w:pPr>
        <w:pStyle w:val="Heading2"/>
        <w:spacing w:before="400"/>
      </w:pPr>
      <w:r>
        <w:t xml:space="preserve">3.2 AI-Specific Regulatory Considerations</w:t>
      </w:r>
    </w:p>
    <w:p>
      <w:pPr>
        <w:spacing w:after="100"/>
      </w:pPr>
      <w:r>
        <w:t xml:space="preserve">As AI adoption accelerates in banking, regulators are extending traditional frameworks to address AI-specific risks:</w:t>
      </w:r>
    </w:p>
    <w:p>
      <w:pPr>
        <w:pStyle w:val="ListParagraph"/>
        <w:numPr>
          <w:ilvl w:val="0"/>
          <w:numId w:val="3"/>
        </w:numPr>
      </w:pPr>
      <w:r>
        <w:rPr>
          <w:b/>
          <w:bCs/>
        </w:rPr>
        <w:t xml:space="preserve">Model Explainability: </w:t>
      </w:r>
      <w:r>
        <w:t xml:space="preserve">SR 11-7 principles now require explainability for AI/ML models, particularly for decisions affecting customers (lending, fraud flags).</w:t>
      </w:r>
    </w:p>
    <w:p>
      <w:pPr>
        <w:pStyle w:val="ListParagraph"/>
        <w:numPr>
          <w:ilvl w:val="0"/>
          <w:numId w:val="3"/>
        </w:numPr>
      </w:pPr>
      <w:r>
        <w:rPr>
          <w:b/>
          <w:bCs/>
        </w:rPr>
        <w:t xml:space="preserve">Bias Mitigation: </w:t>
      </w:r>
      <w:r>
        <w:t xml:space="preserve">Fair lending laws require monitoring AI systems for discriminatory outcomes, demanding interpretable models or robust bias testing.</w:t>
      </w:r>
    </w:p>
    <w:p>
      <w:pPr>
        <w:pStyle w:val="ListParagraph"/>
        <w:numPr>
          <w:ilvl w:val="0"/>
          <w:numId w:val="3"/>
        </w:numPr>
      </w:pPr>
      <w:r>
        <w:rPr>
          <w:b/>
          <w:bCs/>
        </w:rPr>
        <w:t xml:space="preserve">Third-Party Model Risk: </w:t>
      </w:r>
      <w:r>
        <w:t xml:space="preserve">Cloud-based foundation models (GPT-4, Claude) must be incorporated into banks' model risk management frameworks despite vendor opacity.</w:t>
      </w:r>
    </w:p>
    <w:p>
      <w:pPr>
        <w:pStyle w:val="ListParagraph"/>
        <w:numPr>
          <w:ilvl w:val="0"/>
          <w:numId w:val="3"/>
        </w:numPr>
      </w:pPr>
      <w:r>
        <w:rPr>
          <w:b/>
          <w:bCs/>
        </w:rPr>
        <w:t xml:space="preserve">Continuous Monitoring: </w:t>
      </w:r>
      <w:r>
        <w:t xml:space="preserve">LLM drift and evolving fraud patterns require real-time model performance monitoring and periodic revalidation.</w:t>
      </w:r>
    </w:p>
    <w:p>
      <w:r>
        <w:br w:type="page"/>
      </w:r>
    </w:p>
    <w:p>
      <w:pPr>
        <w:pStyle w:val="Heading1"/>
      </w:pPr>
      <w:r>
        <w:t xml:space="preserve">4. AWS Platform Analysis for Financial AI</w:t>
      </w:r>
    </w:p>
    <w:p>
      <w:pPr>
        <w:pStyle w:val="Heading2"/>
      </w:pPr>
      <w:r>
        <w:t xml:space="preserve">4.1 Core AI/ML Services</w:t>
      </w:r>
    </w:p>
    <w:p>
      <w:pPr>
        <w:spacing w:after="100"/>
      </w:pPr>
      <w:r>
        <w:rPr>
          <w:b/>
          <w:bCs/>
        </w:rPr>
        <w:t xml:space="preserve">Amazon Bedrock: </w:t>
      </w:r>
      <w:r>
        <w:t xml:space="preserve">Fully managed serverless service providing API access to foundation models from Anthropic (Claude 3.5/3), Meta (Llama 3), AI21 Labs, Cohere, Stability AI, and Amazon's Titan models. Supports fine-tuning, RAG with Knowledge Bases, and Agents for agentic workflows.</w:t>
      </w:r>
    </w:p>
    <w:p>
      <w:pPr>
        <w:spacing w:after="100"/>
      </w:pPr>
      <w:r>
        <w:rPr>
          <w:b/>
          <w:bCs/>
        </w:rPr>
        <w:t xml:space="preserve">Amazon SageMaker: </w:t>
      </w:r>
      <w:r>
        <w:t xml:space="preserve">End-to-end ML platform for building, training, and deploying custom models. Includes SageMaker Canvas for no-code ML, JumpStart for pre-trained models, and MLOps capabilities.</w:t>
      </w:r>
    </w:p>
    <w:p>
      <w:pPr>
        <w:spacing w:after="100"/>
      </w:pPr>
      <w:r>
        <w:rPr>
          <w:b/>
          <w:bCs/>
        </w:rPr>
        <w:t xml:space="preserve">Amazon Q: </w:t>
      </w:r>
      <w:r>
        <w:t xml:space="preserve">Enterprise AI assistant for business intelligence, code generation, and knowledge management across AWS services.</w:t>
      </w:r>
    </w:p>
    <w:p>
      <w:pPr>
        <w:pStyle w:val="Heading2"/>
      </w:pPr>
      <w:r>
        <w:t xml:space="preserve">4.2 Financial Services-Specific Capabilities</w:t>
      </w:r>
    </w:p>
    <w:p>
      <w:pPr>
        <w:spacing w:after="100"/>
      </w:pPr>
      <w:r>
        <w:t xml:space="preserve">AWS has demonstrated significant traction in financial services:</w:t>
      </w:r>
    </w:p>
    <w:p>
      <w:pPr>
        <w:pStyle w:val="ListParagraph"/>
        <w:numPr>
          <w:ilvl w:val="0"/>
          <w:numId w:val="4"/>
        </w:numPr>
      </w:pPr>
      <w:r>
        <w:rPr>
          <w:b/>
          <w:bCs/>
        </w:rPr>
        <w:t xml:space="preserve">Nasdaq Integration: </w:t>
      </w:r>
      <w:r>
        <w:t xml:space="preserve">Uses Amazon Bedrock for ESG intelligence, achieving 33% reduction in investigation time for surveillance and anti-financial crime operations via Verafin.</w:t>
      </w:r>
    </w:p>
    <w:p>
      <w:pPr>
        <w:pStyle w:val="ListParagraph"/>
        <w:numPr>
          <w:ilvl w:val="0"/>
          <w:numId w:val="4"/>
        </w:numPr>
      </w:pPr>
      <w:r>
        <w:rPr>
          <w:b/>
          <w:bCs/>
        </w:rPr>
        <w:t xml:space="preserve">NYSE Partnership: </w:t>
      </w:r>
      <w:r>
        <w:t xml:space="preserve">Uses Amazon Bedrock for regulatory chat-bots, news sentiment analysis, and stock price movement correlation.</w:t>
      </w:r>
    </w:p>
    <w:p>
      <w:pPr>
        <w:pStyle w:val="ListParagraph"/>
        <w:numPr>
          <w:ilvl w:val="0"/>
          <w:numId w:val="4"/>
        </w:numPr>
      </w:pPr>
      <w:r>
        <w:rPr>
          <w:b/>
          <w:bCs/>
        </w:rPr>
        <w:t xml:space="preserve">Discover Financial Services: </w:t>
      </w:r>
      <w:r>
        <w:t xml:space="preserve">Built GenAI solutions on AWS for faster decision-making and improved customer service.</w:t>
      </w:r>
    </w:p>
    <w:p>
      <w:pPr>
        <w:pStyle w:val="ListParagraph"/>
        <w:numPr>
          <w:ilvl w:val="0"/>
          <w:numId w:val="4"/>
        </w:numPr>
      </w:pPr>
      <w:r>
        <w:rPr>
          <w:b/>
          <w:bCs/>
        </w:rPr>
        <w:t xml:space="preserve">JPMorgan Chase: </w:t>
      </w:r>
      <w:r>
        <w:t xml:space="preserve">90% of analytical data resides on public cloud platforms, with significant AWS workloads for trading and analytics.</w:t>
      </w:r>
    </w:p>
    <w:p>
      <w:pPr>
        <w:pStyle w:val="ListParagraph"/>
        <w:numPr>
          <w:ilvl w:val="0"/>
          <w:numId w:val="4"/>
        </w:numPr>
      </w:pPr>
      <w:r>
        <w:rPr>
          <w:b/>
          <w:bCs/>
        </w:rPr>
        <w:t xml:space="preserve">HSBC: </w:t>
      </w:r>
      <w:r>
        <w:t xml:space="preserve">Partnered with AWS to transition core banking operations, accelerating transaction processing and risk assessment.</w:t>
      </w:r>
    </w:p>
    <w:p>
      <w:pPr>
        <w:pStyle w:val="Heading2"/>
      </w:pPr>
      <w:r>
        <w:t xml:space="preserve">4.3 Compliance Certifications</w:t>
      </w:r>
    </w:p>
    <w:p>
      <w:pPr>
        <w:spacing w:after="200"/>
      </w:pPr>
      <w:r>
        <w:t xml:space="preserve">AWS supports 143+ compliance standards including: SOC 1/2/3, ISO 27001/27017/27018, FedRAMP Moderate/High (GovCloud), PCI-DSS Level 1, HIPAA, GDPR, FIPS 140-3, and financial-specific certifications from OCC, FDIC, FED, and FFIEC.</w:t>
      </w:r>
    </w:p>
    <w:p>
      <w:pPr>
        <w:pStyle w:val="Heading2"/>
      </w:pPr>
      <w:r>
        <w:t xml:space="preserve">4.4 Strengths for Dispute Resolution &amp; Fraud Detection</w:t>
      </w:r>
    </w:p>
    <w:p>
      <w:pPr>
        <w:pStyle w:val="ListParagraph"/>
        <w:numPr>
          <w:ilvl w:val="0"/>
          <w:numId w:val="5"/>
        </w:numPr>
      </w:pPr>
      <w:r>
        <w:rPr>
          <w:b/>
          <w:bCs/>
        </w:rPr>
        <w:t xml:space="preserve">Model Diversity: </w:t>
      </w:r>
      <w:r>
        <w:t xml:space="preserve">Access to Claude's 200K token context window enables processing of entire dispute histories in single inference calls.</w:t>
      </w:r>
    </w:p>
    <w:p>
      <w:pPr>
        <w:pStyle w:val="ListParagraph"/>
        <w:numPr>
          <w:ilvl w:val="0"/>
          <w:numId w:val="5"/>
        </w:numPr>
      </w:pPr>
      <w:r>
        <w:rPr>
          <w:b/>
          <w:bCs/>
        </w:rPr>
        <w:t xml:space="preserve">Agent Frameworks: </w:t>
      </w:r>
      <w:r>
        <w:t xml:space="preserve">Bedrock Agents enable multi-agent orchestration for complex dispute resolution workflows.</w:t>
      </w:r>
    </w:p>
    <w:p>
      <w:pPr>
        <w:pStyle w:val="ListParagraph"/>
        <w:numPr>
          <w:ilvl w:val="0"/>
          <w:numId w:val="5"/>
        </w:numPr>
      </w:pPr>
      <w:r>
        <w:rPr>
          <w:b/>
          <w:bCs/>
        </w:rPr>
        <w:t xml:space="preserve">Real-Time Processing: </w:t>
      </w:r>
      <w:r>
        <w:t xml:space="preserve">Lambda, Kinesis, and EventBridge support event-driven fraud detection architectures.</w:t>
      </w:r>
    </w:p>
    <w:p>
      <w:pPr>
        <w:pStyle w:val="ListParagraph"/>
        <w:numPr>
          <w:ilvl w:val="0"/>
          <w:numId w:val="5"/>
        </w:numPr>
      </w:pPr>
      <w:r>
        <w:rPr>
          <w:b/>
          <w:bCs/>
        </w:rPr>
        <w:t xml:space="preserve">Cost Optimization: </w:t>
      </w:r>
      <w:r>
        <w:t xml:space="preserve">Provisioned Throughput pricing and Savings Plans (up to 72% discount) optimize costs for high-volume fraud screening.</w:t>
      </w:r>
    </w:p>
    <w:p>
      <w:r>
        <w:br w:type="page"/>
      </w:r>
    </w:p>
    <w:p>
      <w:pPr>
        <w:pStyle w:val="Heading1"/>
      </w:pPr>
      <w:r>
        <w:t xml:space="preserve">5. Microsoft Azure Platform Analysis</w:t>
      </w:r>
    </w:p>
    <w:p>
      <w:pPr>
        <w:pStyle w:val="Heading2"/>
      </w:pPr>
      <w:r>
        <w:t xml:space="preserve">5.1 Core AI/ML Services</w:t>
      </w:r>
    </w:p>
    <w:p>
      <w:pPr>
        <w:spacing w:after="100"/>
      </w:pPr>
      <w:r>
        <w:rPr>
          <w:b/>
          <w:bCs/>
        </w:rPr>
        <w:t xml:space="preserve">Azure OpenAI Service: </w:t>
      </w:r>
      <w:r>
        <w:t xml:space="preserve">Enterprise access to OpenAI's GPT-4, GPT-4o, GPT-3.5, DALL-E, and Whisper models with Azure's security, compliance, and private networking. No customer data used for model training.</w:t>
      </w:r>
    </w:p>
    <w:p>
      <w:pPr>
        <w:spacing w:after="100"/>
      </w:pPr>
      <w:r>
        <w:rPr>
          <w:b/>
          <w:bCs/>
        </w:rPr>
        <w:t xml:space="preserve">Azure AI Foundry: </w:t>
      </w:r>
      <w:r>
        <w:t xml:space="preserve">Unified platform for building, deploying, and managing AI solutions across the entire lifecycle, integrating with GitHub, Visual Studio, and Copilot Studio.</w:t>
      </w:r>
    </w:p>
    <w:p>
      <w:pPr>
        <w:spacing w:after="100"/>
      </w:pPr>
      <w:r>
        <w:rPr>
          <w:b/>
          <w:bCs/>
        </w:rPr>
        <w:t xml:space="preserve">Microsoft Fabric: </w:t>
      </w:r>
      <w:r>
        <w:t xml:space="preserve">Data platform enabling connection to on-premises and multi-cloud data sources, making data AI-ready with governance capabilities.</w:t>
      </w:r>
    </w:p>
    <w:p>
      <w:pPr>
        <w:spacing w:after="100"/>
      </w:pPr>
      <w:r>
        <w:rPr>
          <w:b/>
          <w:bCs/>
        </w:rPr>
        <w:t xml:space="preserve">Copilot Studio: </w:t>
      </w:r>
      <w:r>
        <w:t xml:space="preserve">Low-code tool for creating AI-powered agents with Power Automate integration for workflow automation.</w:t>
      </w:r>
    </w:p>
    <w:p>
      <w:pPr>
        <w:pStyle w:val="Heading2"/>
      </w:pPr>
      <w:r>
        <w:t xml:space="preserve">5.2 Financial Services-Specific Capabilities</w:t>
      </w:r>
    </w:p>
    <w:p>
      <w:pPr>
        <w:pStyle w:val="ListParagraph"/>
        <w:numPr>
          <w:ilvl w:val="0"/>
          <w:numId w:val="6"/>
        </w:numPr>
      </w:pPr>
      <w:r>
        <w:rPr>
          <w:b/>
          <w:bCs/>
        </w:rPr>
        <w:t xml:space="preserve">FSI Landing Zone: </w:t>
      </w:r>
      <w:r>
        <w:t xml:space="preserve">Infrastructure-as-code providing baseline governance, resilience, security, and prescriptive guidance for financial services compliance requirements.</w:t>
      </w:r>
    </w:p>
    <w:p>
      <w:pPr>
        <w:pStyle w:val="ListParagraph"/>
        <w:numPr>
          <w:ilvl w:val="0"/>
          <w:numId w:val="6"/>
        </w:numPr>
      </w:pPr>
      <w:r>
        <w:rPr>
          <w:b/>
          <w:bCs/>
        </w:rPr>
        <w:t xml:space="preserve">Wells Fargo: </w:t>
      </w:r>
      <w:r>
        <w:t xml:space="preserve">Primary public cloud provider with Fargo virtual assistant achieving 245.4M interactions in 2024, upgraded with Gemini 2.0 Flash.</w:t>
      </w:r>
    </w:p>
    <w:p>
      <w:pPr>
        <w:pStyle w:val="ListParagraph"/>
        <w:numPr>
          <w:ilvl w:val="0"/>
          <w:numId w:val="6"/>
        </w:numPr>
      </w:pPr>
      <w:r>
        <w:rPr>
          <w:b/>
          <w:bCs/>
        </w:rPr>
        <w:t xml:space="preserve">Bank of Montreal: </w:t>
      </w:r>
      <w:r>
        <w:t xml:space="preserve">Migrated market risk management platform achieving 6x reduction in analysis time, 2x speed improvement, 30% cost savings.</w:t>
      </w:r>
    </w:p>
    <w:p>
      <w:pPr>
        <w:pStyle w:val="ListParagraph"/>
        <w:numPr>
          <w:ilvl w:val="0"/>
          <w:numId w:val="6"/>
        </w:numPr>
      </w:pPr>
      <w:r>
        <w:rPr>
          <w:b/>
          <w:bCs/>
        </w:rPr>
        <w:t xml:space="preserve">Swiss Re: </w:t>
      </w:r>
      <w:r>
        <w:t xml:space="preserve">3,000+ employees using Copilot for Microsoft 365 to automate routine tasks in HR, communications, and core business.</w:t>
      </w:r>
    </w:p>
    <w:p>
      <w:pPr>
        <w:pStyle w:val="ListParagraph"/>
        <w:numPr>
          <w:ilvl w:val="0"/>
          <w:numId w:val="6"/>
        </w:numPr>
      </w:pPr>
      <w:r>
        <w:rPr>
          <w:b/>
          <w:bCs/>
        </w:rPr>
        <w:t xml:space="preserve">State Bank of India: </w:t>
      </w:r>
      <w:r>
        <w:t xml:space="preserve">Hybrid cloud infrastructure (Meghdoot + Azure) achieving 65% improvement in handling user queries.</w:t>
      </w:r>
    </w:p>
    <w:p>
      <w:pPr>
        <w:pStyle w:val="Heading2"/>
      </w:pPr>
      <w:r>
        <w:t xml:space="preserve">5.3 Compliance Certifications</w:t>
      </w:r>
    </w:p>
    <w:p>
      <w:pPr>
        <w:spacing w:after="200"/>
      </w:pPr>
      <w:r>
        <w:t xml:space="preserve">Azure maintains comprehensive compliance: SOC 1/2/3, ISO 27001/27017/27018, FedRAMP, PCI-DSS, HIPAA, GDPR, FINMA, C5, and specific financial industry certifications. The FSI Landing Zone provides pre-built compliance guardrails.</w:t>
      </w:r>
    </w:p>
    <w:p>
      <w:pPr>
        <w:pStyle w:val="Heading2"/>
      </w:pPr>
      <w:r>
        <w:t xml:space="preserve">5.4 Strengths for Dispute Resolution &amp; Fraud Detection</w:t>
      </w:r>
    </w:p>
    <w:p>
      <w:pPr>
        <w:pStyle w:val="ListParagraph"/>
        <w:numPr>
          <w:ilvl w:val="0"/>
          <w:numId w:val="5"/>
        </w:numPr>
      </w:pPr>
      <w:r>
        <w:rPr>
          <w:b/>
          <w:bCs/>
        </w:rPr>
        <w:t xml:space="preserve">GPT-4o Performance: </w:t>
      </w:r>
      <w:r>
        <w:t xml:space="preserve">Industry-leading language understanding capabilities for complex dispute analysis and customer communication generation.</w:t>
      </w:r>
    </w:p>
    <w:p>
      <w:pPr>
        <w:pStyle w:val="ListParagraph"/>
        <w:numPr>
          <w:ilvl w:val="0"/>
          <w:numId w:val="5"/>
        </w:numPr>
      </w:pPr>
      <w:r>
        <w:rPr>
          <w:b/>
          <w:bCs/>
        </w:rPr>
        <w:t xml:space="preserve">Microsoft 365 Integration: </w:t>
      </w:r>
      <w:r>
        <w:t xml:space="preserve">Seamless integration with Teams, Outlook, and SharePoint for agent-assisted dispute handling workflows.</w:t>
      </w:r>
    </w:p>
    <w:p>
      <w:pPr>
        <w:pStyle w:val="ListParagraph"/>
        <w:numPr>
          <w:ilvl w:val="0"/>
          <w:numId w:val="5"/>
        </w:numPr>
      </w:pPr>
      <w:r>
        <w:rPr>
          <w:b/>
          <w:bCs/>
        </w:rPr>
        <w:t xml:space="preserve">Document Intelligence: </w:t>
      </w:r>
      <w:r>
        <w:t xml:space="preserve">Advanced ML for document processing, extracting text, key-value pairs, and structures for dispute evidence analysis.</w:t>
      </w:r>
    </w:p>
    <w:p>
      <w:pPr>
        <w:pStyle w:val="ListParagraph"/>
        <w:numPr>
          <w:ilvl w:val="0"/>
          <w:numId w:val="5"/>
        </w:numPr>
      </w:pPr>
      <w:r>
        <w:rPr>
          <w:b/>
          <w:bCs/>
        </w:rPr>
        <w:t xml:space="preserve">Responsible AI Framework: </w:t>
      </w:r>
      <w:r>
        <w:t xml:space="preserve">Built-in toxicity, hallucination, and appropriateness controls critical for customer-facing fraud communications.</w:t>
      </w:r>
    </w:p>
    <w:p>
      <w:r>
        <w:br w:type="page"/>
      </w:r>
    </w:p>
    <w:p>
      <w:pPr>
        <w:pStyle w:val="Heading1"/>
      </w:pPr>
      <w:r>
        <w:t xml:space="preserve">6. Head-to-Head Platform Comparison</w:t>
      </w:r>
    </w:p>
    <w:p>
      <w:pPr>
        <w:pStyle w:val="Heading2"/>
      </w:pPr>
      <w:r>
        <w:t xml:space="preserve">6.1 Generative AI Services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Dimension</w:t>
            </w:r>
          </w:p>
        </w:tc>
        <w:tc>
          <w:tcPr>
            <w:tcW w:type="dxa" w:w="328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AWS Bedrock</w:t>
            </w:r>
          </w:p>
        </w:tc>
        <w:tc>
          <w:tcPr>
            <w:tcW w:type="dxa" w:w="328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Azure OpenAI</w:t>
            </w:r>
          </w:p>
        </w:tc>
      </w:tr>
      <w:tr>
        <w:tc>
          <w:tcPr>
            <w:tcW w:type="dxa" w:w="2800"/>
            <w:tcBorders>
              <w:top w:val="single" w:color="CCCCCC" w:sz="1"/>
              <w:left w:val="single" w:color="CCCCCC" w:sz="1"/>
              <w:bottom w:val="single" w:color="CCCCCC" w:sz="1"/>
              <w:right w:val="single" w:color="CCCCCC" w:sz="1"/>
            </w:tcBorders>
          </w:tcPr>
          <w:p>
            <w:r>
              <w:rPr>
                <w:b/>
                <w:bCs/>
              </w:rPr>
              <w:t xml:space="preserve">Model Providers</w:t>
            </w:r>
          </w:p>
        </w:tc>
        <w:tc>
          <w:tcPr>
            <w:tcW w:type="dxa" w:w="3280"/>
            <w:tcBorders>
              <w:top w:val="single" w:color="CCCCCC" w:sz="1"/>
              <w:left w:val="single" w:color="CCCCCC" w:sz="1"/>
              <w:bottom w:val="single" w:color="CCCCCC" w:sz="1"/>
              <w:right w:val="single" w:color="CCCCCC" w:sz="1"/>
            </w:tcBorders>
          </w:tcPr>
          <w:p>
            <w:r>
              <w:t xml:space="preserve">25+ models from Anthropic, Meta, AI21, Cohere, Stability AI, Amazon</w:t>
            </w:r>
          </w:p>
        </w:tc>
        <w:tc>
          <w:tcPr>
            <w:tcW w:type="dxa" w:w="3280"/>
            <w:tcBorders>
              <w:top w:val="single" w:color="CCCCCC" w:sz="1"/>
              <w:left w:val="single" w:color="CCCCCC" w:sz="1"/>
              <w:bottom w:val="single" w:color="CCCCCC" w:sz="1"/>
              <w:right w:val="single" w:color="CCCCCC" w:sz="1"/>
            </w:tcBorders>
          </w:tcPr>
          <w:p>
            <w:r>
              <w:t xml:space="preserve">OpenAI models only (GPT-4, GPT-4o, DALL-E, Whisper)</w:t>
            </w:r>
          </w:p>
        </w:tc>
      </w:tr>
      <w:tr>
        <w:tc>
          <w:tcPr>
            <w:tcW w:type="dxa" w:w="2800"/>
            <w:tcBorders>
              <w:top w:val="single" w:color="CCCCCC" w:sz="1"/>
              <w:left w:val="single" w:color="CCCCCC" w:sz="1"/>
              <w:bottom w:val="single" w:color="CCCCCC" w:sz="1"/>
              <w:right w:val="single" w:color="CCCCCC" w:sz="1"/>
            </w:tcBorders>
            <w:shd w:fill="F8F9FA" w:val="clear"/>
          </w:tcPr>
          <w:p>
            <w:r>
              <w:rPr>
                <w:b/>
                <w:bCs/>
              </w:rPr>
              <w:t xml:space="preserve">Max Context Window</w:t>
            </w:r>
          </w:p>
        </w:tc>
        <w:tc>
          <w:tcPr>
            <w:tcW w:type="dxa" w:w="3280"/>
            <w:tcBorders>
              <w:top w:val="single" w:color="CCCCCC" w:sz="1"/>
              <w:left w:val="single" w:color="CCCCCC" w:sz="1"/>
              <w:bottom w:val="single" w:color="CCCCCC" w:sz="1"/>
              <w:right w:val="single" w:color="CCCCCC" w:sz="1"/>
            </w:tcBorders>
            <w:shd w:fill="F8F9FA" w:val="clear"/>
          </w:tcPr>
          <w:p>
            <w:r>
              <w:t xml:space="preserve">200K tokens (Claude 3.5)</w:t>
            </w:r>
          </w:p>
        </w:tc>
        <w:tc>
          <w:tcPr>
            <w:tcW w:type="dxa" w:w="3280"/>
            <w:tcBorders>
              <w:top w:val="single" w:color="CCCCCC" w:sz="1"/>
              <w:left w:val="single" w:color="CCCCCC" w:sz="1"/>
              <w:bottom w:val="single" w:color="CCCCCC" w:sz="1"/>
              <w:right w:val="single" w:color="CCCCCC" w:sz="1"/>
            </w:tcBorders>
            <w:shd w:fill="F8F9FA" w:val="clear"/>
          </w:tcPr>
          <w:p>
            <w:r>
              <w:t xml:space="preserve">128K tokens (GPT-4 Turbo)</w:t>
            </w:r>
          </w:p>
        </w:tc>
      </w:tr>
      <w:tr>
        <w:tc>
          <w:tcPr>
            <w:tcW w:type="dxa" w:w="2800"/>
            <w:tcBorders>
              <w:top w:val="single" w:color="CCCCCC" w:sz="1"/>
              <w:left w:val="single" w:color="CCCCCC" w:sz="1"/>
              <w:bottom w:val="single" w:color="CCCCCC" w:sz="1"/>
              <w:right w:val="single" w:color="CCCCCC" w:sz="1"/>
            </w:tcBorders>
          </w:tcPr>
          <w:p>
            <w:r>
              <w:rPr>
                <w:b/>
                <w:bCs/>
              </w:rPr>
              <w:t xml:space="preserve">Fine-Tuning</w:t>
            </w:r>
          </w:p>
        </w:tc>
        <w:tc>
          <w:tcPr>
            <w:tcW w:type="dxa" w:w="3280"/>
            <w:tcBorders>
              <w:top w:val="single" w:color="CCCCCC" w:sz="1"/>
              <w:left w:val="single" w:color="CCCCCC" w:sz="1"/>
              <w:bottom w:val="single" w:color="CCCCCC" w:sz="1"/>
              <w:right w:val="single" w:color="CCCCCC" w:sz="1"/>
            </w:tcBorders>
          </w:tcPr>
          <w:p>
            <w:r>
              <w:t xml:space="preserve">Supported for select models with custom training</w:t>
            </w:r>
          </w:p>
        </w:tc>
        <w:tc>
          <w:tcPr>
            <w:tcW w:type="dxa" w:w="3280"/>
            <w:tcBorders>
              <w:top w:val="single" w:color="CCCCCC" w:sz="1"/>
              <w:left w:val="single" w:color="CCCCCC" w:sz="1"/>
              <w:bottom w:val="single" w:color="CCCCCC" w:sz="1"/>
              <w:right w:val="single" w:color="CCCCCC" w:sz="1"/>
            </w:tcBorders>
          </w:tcPr>
          <w:p>
            <w:r>
              <w:t xml:space="preserve">GPT-3.5 fine-tuning available; GPT-4 expected soon</w:t>
            </w:r>
          </w:p>
        </w:tc>
      </w:tr>
      <w:tr>
        <w:tc>
          <w:tcPr>
            <w:tcW w:type="dxa" w:w="2800"/>
            <w:tcBorders>
              <w:top w:val="single" w:color="CCCCCC" w:sz="1"/>
              <w:left w:val="single" w:color="CCCCCC" w:sz="1"/>
              <w:bottom w:val="single" w:color="CCCCCC" w:sz="1"/>
              <w:right w:val="single" w:color="CCCCCC" w:sz="1"/>
            </w:tcBorders>
            <w:shd w:fill="F8F9FA" w:val="clear"/>
          </w:tcPr>
          <w:p>
            <w:r>
              <w:rPr>
                <w:b/>
                <w:bCs/>
              </w:rPr>
              <w:t xml:space="preserve">RAG Support</w:t>
            </w:r>
          </w:p>
        </w:tc>
        <w:tc>
          <w:tcPr>
            <w:tcW w:type="dxa" w:w="3280"/>
            <w:tcBorders>
              <w:top w:val="single" w:color="CCCCCC" w:sz="1"/>
              <w:left w:val="single" w:color="CCCCCC" w:sz="1"/>
              <w:bottom w:val="single" w:color="CCCCCC" w:sz="1"/>
              <w:right w:val="single" w:color="CCCCCC" w:sz="1"/>
            </w:tcBorders>
            <w:shd w:fill="F8F9FA" w:val="clear"/>
          </w:tcPr>
          <w:p>
            <w:r>
              <w:t xml:space="preserve">Knowledge Bases with native S3, OpenSearch, Pinecone integration</w:t>
            </w:r>
          </w:p>
        </w:tc>
        <w:tc>
          <w:tcPr>
            <w:tcW w:type="dxa" w:w="3280"/>
            <w:tcBorders>
              <w:top w:val="single" w:color="CCCCCC" w:sz="1"/>
              <w:left w:val="single" w:color="CCCCCC" w:sz="1"/>
              <w:bottom w:val="single" w:color="CCCCCC" w:sz="1"/>
              <w:right w:val="single" w:color="CCCCCC" w:sz="1"/>
            </w:tcBorders>
            <w:shd w:fill="F8F9FA" w:val="clear"/>
          </w:tcPr>
          <w:p>
            <w:r>
              <w:t xml:space="preserve">Azure AI Search integration with Cognitive Services</w:t>
            </w:r>
          </w:p>
        </w:tc>
      </w:tr>
      <w:tr>
        <w:tc>
          <w:tcPr>
            <w:tcW w:type="dxa" w:w="2800"/>
            <w:tcBorders>
              <w:top w:val="single" w:color="CCCCCC" w:sz="1"/>
              <w:left w:val="single" w:color="CCCCCC" w:sz="1"/>
              <w:bottom w:val="single" w:color="CCCCCC" w:sz="1"/>
              <w:right w:val="single" w:color="CCCCCC" w:sz="1"/>
            </w:tcBorders>
          </w:tcPr>
          <w:p>
            <w:r>
              <w:rPr>
                <w:b/>
                <w:bCs/>
              </w:rPr>
              <w:t xml:space="preserve">Agent Frameworks</w:t>
            </w:r>
          </w:p>
        </w:tc>
        <w:tc>
          <w:tcPr>
            <w:tcW w:type="dxa" w:w="3280"/>
            <w:tcBorders>
              <w:top w:val="single" w:color="CCCCCC" w:sz="1"/>
              <w:left w:val="single" w:color="CCCCCC" w:sz="1"/>
              <w:bottom w:val="single" w:color="CCCCCC" w:sz="1"/>
              <w:right w:val="single" w:color="CCCCCC" w:sz="1"/>
            </w:tcBorders>
          </w:tcPr>
          <w:p>
            <w:r>
              <w:t xml:space="preserve">Bedrock Agents with action groups, Lambda integration</w:t>
            </w:r>
          </w:p>
        </w:tc>
        <w:tc>
          <w:tcPr>
            <w:tcW w:type="dxa" w:w="3280"/>
            <w:tcBorders>
              <w:top w:val="single" w:color="CCCCCC" w:sz="1"/>
              <w:left w:val="single" w:color="CCCCCC" w:sz="1"/>
              <w:bottom w:val="single" w:color="CCCCCC" w:sz="1"/>
              <w:right w:val="single" w:color="CCCCCC" w:sz="1"/>
            </w:tcBorders>
          </w:tcPr>
          <w:p>
            <w:r>
              <w:t xml:space="preserve">Copilot Studio, Azure AI Agent Service</w:t>
            </w:r>
          </w:p>
        </w:tc>
      </w:tr>
      <w:tr>
        <w:tc>
          <w:tcPr>
            <w:tcW w:type="dxa" w:w="2800"/>
            <w:tcBorders>
              <w:top w:val="single" w:color="CCCCCC" w:sz="1"/>
              <w:left w:val="single" w:color="CCCCCC" w:sz="1"/>
              <w:bottom w:val="single" w:color="CCCCCC" w:sz="1"/>
              <w:right w:val="single" w:color="CCCCCC" w:sz="1"/>
            </w:tcBorders>
            <w:shd w:fill="F8F9FA" w:val="clear"/>
          </w:tcPr>
          <w:p>
            <w:r>
              <w:rPr>
                <w:b/>
                <w:bCs/>
              </w:rPr>
              <w:t xml:space="preserve">Regions Available</w:t>
            </w:r>
          </w:p>
        </w:tc>
        <w:tc>
          <w:tcPr>
            <w:tcW w:type="dxa" w:w="3280"/>
            <w:tcBorders>
              <w:top w:val="single" w:color="CCCCCC" w:sz="1"/>
              <w:left w:val="single" w:color="CCCCCC" w:sz="1"/>
              <w:bottom w:val="single" w:color="CCCCCC" w:sz="1"/>
              <w:right w:val="single" w:color="CCCCCC" w:sz="1"/>
            </w:tcBorders>
            <w:shd w:fill="F8F9FA" w:val="clear"/>
          </w:tcPr>
          <w:p>
            <w:r>
              <w:t xml:space="preserve">7 regions including GovCloud</w:t>
            </w:r>
          </w:p>
        </w:tc>
        <w:tc>
          <w:tcPr>
            <w:tcW w:type="dxa" w:w="3280"/>
            <w:tcBorders>
              <w:top w:val="single" w:color="CCCCCC" w:sz="1"/>
              <w:left w:val="single" w:color="CCCCCC" w:sz="1"/>
              <w:bottom w:val="single" w:color="CCCCCC" w:sz="1"/>
              <w:right w:val="single" w:color="CCCCCC" w:sz="1"/>
            </w:tcBorders>
            <w:shd w:fill="F8F9FA" w:val="clear"/>
          </w:tcPr>
          <w:p>
            <w:r>
              <w:t xml:space="preserve">15 regions (varies by model)</w:t>
            </w:r>
          </w:p>
        </w:tc>
      </w:tr>
    </w:tbl>
    <w:p>
      <w:pPr>
        <w:pStyle w:val="Heading2"/>
        <w:spacing w:before="400"/>
      </w:pPr>
      <w:r>
        <w:t xml:space="preserve">6.2 Pricing Comparison</w:t>
      </w:r>
    </w:p>
    <w:p>
      <w:pPr>
        <w:spacing w:after="200"/>
      </w:pPr>
      <w:r>
        <w:t xml:space="preserve">Cost analysis reveals significant variance depending on model selection and use case:</w:t>
      </w:r>
    </w:p>
    <w:p>
      <w:pPr>
        <w:pStyle w:val="ListParagraph"/>
        <w:numPr>
          <w:ilvl w:val="0"/>
          <w:numId w:val="5"/>
        </w:numPr>
      </w:pPr>
      <w:r>
        <w:rPr>
          <w:b/>
          <w:bCs/>
        </w:rPr>
        <w:t xml:space="preserve">Text Generation: </w:t>
      </w:r>
      <w:r>
        <w:t xml:space="preserve">AWS Bedrock models can provide 30-556% cost savings over comparable Azure OpenAI models for similar quality outputs.</w:t>
      </w:r>
    </w:p>
    <w:p>
      <w:pPr>
        <w:pStyle w:val="ListParagraph"/>
        <w:numPr>
          <w:ilvl w:val="0"/>
          <w:numId w:val="5"/>
        </w:numPr>
      </w:pPr>
      <w:r>
        <w:rPr>
          <w:b/>
          <w:bCs/>
        </w:rPr>
        <w:t xml:space="preserve">High-Volume Workloads: </w:t>
      </w:r>
      <w:r>
        <w:t xml:space="preserve">AWS Provisioned Throughput and Savings Plans (up to 72% discount) favor organizations with predictable demand.</w:t>
      </w:r>
    </w:p>
    <w:p>
      <w:pPr>
        <w:pStyle w:val="ListParagraph"/>
        <w:numPr>
          <w:ilvl w:val="0"/>
          <w:numId w:val="5"/>
        </w:numPr>
      </w:pPr>
      <w:r>
        <w:rPr>
          <w:b/>
          <w:bCs/>
        </w:rPr>
        <w:t xml:space="preserve">Pay-As-You-Go: </w:t>
      </w:r>
      <w:r>
        <w:t xml:space="preserve">Azure OpenAI's token-based pricing is straightforward but lacks equivalent volume discounts.</w:t>
      </w:r>
    </w:p>
    <w:p>
      <w:pPr>
        <w:pStyle w:val="ListParagraph"/>
        <w:numPr>
          <w:ilvl w:val="0"/>
          <w:numId w:val="5"/>
        </w:numPr>
      </w:pPr>
      <w:r>
        <w:rPr>
          <w:b/>
          <w:bCs/>
        </w:rPr>
        <w:t xml:space="preserve">Total Cost of Ownership: </w:t>
      </w:r>
      <w:r>
        <w:t xml:space="preserve">Organizations with existing Azure/M365 investments may realize value from bundled pricing and reduced integration costs.</w:t>
      </w:r>
    </w:p>
    <w:p>
      <w:r>
        <w:br w:type="page"/>
      </w:r>
    </w:p>
    <w:p>
      <w:pPr>
        <w:pStyle w:val="Heading1"/>
      </w:pPr>
      <w:r>
        <w:t xml:space="preserve">7. Legacy System Integration Analysis</w:t>
      </w:r>
    </w:p>
    <w:p>
      <w:pPr>
        <w:pStyle w:val="Heading2"/>
      </w:pPr>
      <w:r>
        <w:t xml:space="preserve">7.1 Banking Legacy Landscape</w:t>
      </w:r>
    </w:p>
    <w:p>
      <w:pPr>
        <w:spacing w:after="200"/>
      </w:pPr>
      <w:r>
        <w:t xml:space="preserve">Nearly three-quarters of banks globally continue to run on legacy core banking systems. A 2024 IDC study found 98% of banks are planning core system upgrades within three years to accelerate digital transformation.</w:t>
      </w:r>
    </w:p>
    <w:p>
      <w:pPr>
        <w:pStyle w:val="Heading3"/>
      </w:pPr>
      <w:r>
        <w:t xml:space="preserve">Common Legacy Challenges</w:t>
      </w:r>
    </w:p>
    <w:p>
      <w:pPr>
        <w:pStyle w:val="ListParagraph"/>
        <w:numPr>
          <w:ilvl w:val="0"/>
          <w:numId w:val="7"/>
        </w:numPr>
      </w:pPr>
      <w:r>
        <w:rPr>
          <w:b/>
          <w:bCs/>
        </w:rPr>
        <w:t xml:space="preserve">COBOL Dependencies: </w:t>
      </w:r>
      <w:r>
        <w:t xml:space="preserve">Many core banking systems still run on COBOL, with a shrinking talent pool for maintenance.</w:t>
      </w:r>
    </w:p>
    <w:p>
      <w:pPr>
        <w:pStyle w:val="ListParagraph"/>
        <w:numPr>
          <w:ilvl w:val="0"/>
          <w:numId w:val="7"/>
        </w:numPr>
      </w:pPr>
      <w:r>
        <w:rPr>
          <w:b/>
          <w:bCs/>
        </w:rPr>
        <w:t xml:space="preserve">Batch Processing: </w:t>
      </w:r>
      <w:r>
        <w:t xml:space="preserve">Payment engines relying on batch cycles struggle to meet instant payment demands.</w:t>
      </w:r>
    </w:p>
    <w:p>
      <w:pPr>
        <w:pStyle w:val="ListParagraph"/>
        <w:numPr>
          <w:ilvl w:val="0"/>
          <w:numId w:val="7"/>
        </w:numPr>
      </w:pPr>
      <w:r>
        <w:rPr>
          <w:b/>
          <w:bCs/>
        </w:rPr>
        <w:t xml:space="preserve">Data Silos: </w:t>
      </w:r>
      <w:r>
        <w:t xml:space="preserve">Fragmented data across multiple systems impedes AI model training and real-time analytics.</w:t>
      </w:r>
    </w:p>
    <w:p>
      <w:pPr>
        <w:pStyle w:val="ListParagraph"/>
        <w:numPr>
          <w:ilvl w:val="0"/>
          <w:numId w:val="7"/>
        </w:numPr>
      </w:pPr>
      <w:r>
        <w:rPr>
          <w:b/>
          <w:bCs/>
        </w:rPr>
        <w:t xml:space="preserve">API Incompatibility: </w:t>
      </w:r>
      <w:r>
        <w:t xml:space="preserve">Legacy systems often lack modern API interfaces for cloud integration.</w:t>
      </w:r>
    </w:p>
    <w:p>
      <w:pPr>
        <w:pStyle w:val="Heading2"/>
      </w:pPr>
      <w:r>
        <w:t xml:space="preserve">7.2 Migration Strategies</w:t>
      </w:r>
    </w:p>
    <w:p>
      <w:pPr>
        <w:spacing w:after="200"/>
      </w:pPr>
      <w:r>
        <w:t xml:space="preserve">Three primary migration methodologies for modernizing core banking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Strategy</w:t>
            </w:r>
          </w:p>
        </w:tc>
        <w:tc>
          <w:tcPr>
            <w:tcW w:type="dxa" w:w="358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Advantages</w:t>
            </w:r>
          </w:p>
        </w:tc>
        <w:tc>
          <w:tcPr>
            <w:tcW w:type="dxa" w:w="358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Considerations</w:t>
            </w:r>
          </w:p>
        </w:tc>
      </w:tr>
      <w:tr>
        <w:tc>
          <w:tcPr>
            <w:tcW w:type="dxa" w:w="2200"/>
            <w:tcBorders>
              <w:top w:val="single" w:color="CCCCCC" w:sz="1"/>
              <w:left w:val="single" w:color="CCCCCC" w:sz="1"/>
              <w:bottom w:val="single" w:color="CCCCCC" w:sz="1"/>
              <w:right w:val="single" w:color="CCCCCC" w:sz="1"/>
            </w:tcBorders>
          </w:tcPr>
          <w:p>
            <w:r>
              <w:rPr>
                <w:b/>
                <w:bCs/>
              </w:rPr>
              <w:t xml:space="preserve">Progressive Transformation</w:t>
            </w:r>
          </w:p>
        </w:tc>
        <w:tc>
          <w:tcPr>
            <w:tcW w:type="dxa" w:w="3580"/>
            <w:tcBorders>
              <w:top w:val="single" w:color="CCCCCC" w:sz="1"/>
              <w:left w:val="single" w:color="CCCCCC" w:sz="1"/>
              <w:bottom w:val="single" w:color="CCCCCC" w:sz="1"/>
              <w:right w:val="single" w:color="CCCCCC" w:sz="1"/>
            </w:tcBorders>
          </w:tcPr>
          <w:p>
            <w:r>
              <w:t xml:space="preserve">Phased approach reduces risk; allows gradual learning; maintains operations</w:t>
            </w:r>
          </w:p>
        </w:tc>
        <w:tc>
          <w:tcPr>
            <w:tcW w:type="dxa" w:w="3580"/>
            <w:tcBorders>
              <w:top w:val="single" w:color="CCCCCC" w:sz="1"/>
              <w:left w:val="single" w:color="CCCCCC" w:sz="1"/>
              <w:bottom w:val="single" w:color="CCCCCC" w:sz="1"/>
              <w:right w:val="single" w:color="CCCCCC" w:sz="1"/>
            </w:tcBorders>
          </w:tcPr>
          <w:p>
            <w:r>
              <w:t xml:space="preserve">Slower completion (years); requires parallel systems; complexity in integration</w:t>
            </w:r>
          </w:p>
        </w:tc>
      </w:tr>
      <w:tr>
        <w:tc>
          <w:tcPr>
            <w:tcW w:type="dxa" w:w="2200"/>
            <w:tcBorders>
              <w:top w:val="single" w:color="CCCCCC" w:sz="1"/>
              <w:left w:val="single" w:color="CCCCCC" w:sz="1"/>
              <w:bottom w:val="single" w:color="CCCCCC" w:sz="1"/>
              <w:right w:val="single" w:color="CCCCCC" w:sz="1"/>
            </w:tcBorders>
            <w:shd w:fill="F8F9FA" w:val="clear"/>
          </w:tcPr>
          <w:p>
            <w:r>
              <w:rPr>
                <w:b/>
                <w:bCs/>
              </w:rPr>
              <w:t xml:space="preserve">Greenfield Digital Bank</w:t>
            </w:r>
          </w:p>
        </w:tc>
        <w:tc>
          <w:tcPr>
            <w:tcW w:type="dxa" w:w="3580"/>
            <w:tcBorders>
              <w:top w:val="single" w:color="CCCCCC" w:sz="1"/>
              <w:left w:val="single" w:color="CCCCCC" w:sz="1"/>
              <w:bottom w:val="single" w:color="CCCCCC" w:sz="1"/>
              <w:right w:val="single" w:color="CCCCCC" w:sz="1"/>
            </w:tcBorders>
            <w:shd w:fill="F8F9FA" w:val="clear"/>
          </w:tcPr>
          <w:p>
            <w:r>
              <w:t xml:space="preserve">Rapid innovation; test new propositions; independent from legacy constraints</w:t>
            </w:r>
          </w:p>
        </w:tc>
        <w:tc>
          <w:tcPr>
            <w:tcW w:type="dxa" w:w="3580"/>
            <w:tcBorders>
              <w:top w:val="single" w:color="CCCCCC" w:sz="1"/>
              <w:left w:val="single" w:color="CCCCCC" w:sz="1"/>
              <w:bottom w:val="single" w:color="CCCCCC" w:sz="1"/>
              <w:right w:val="single" w:color="CCCCCC" w:sz="1"/>
            </w:tcBorders>
            <w:shd w:fill="F8F9FA" w:val="clear"/>
          </w:tcPr>
          <w:p>
            <w:r>
              <w:t xml:space="preserve">Challenging to run parallel cores; separate customer base initially</w:t>
            </w:r>
          </w:p>
        </w:tc>
      </w:tr>
      <w:tr>
        <w:tc>
          <w:tcPr>
            <w:tcW w:type="dxa" w:w="2200"/>
            <w:tcBorders>
              <w:top w:val="single" w:color="CCCCCC" w:sz="1"/>
              <w:left w:val="single" w:color="CCCCCC" w:sz="1"/>
              <w:bottom w:val="single" w:color="CCCCCC" w:sz="1"/>
              <w:right w:val="single" w:color="CCCCCC" w:sz="1"/>
            </w:tcBorders>
          </w:tcPr>
          <w:p>
            <w:r>
              <w:rPr>
                <w:b/>
                <w:bCs/>
              </w:rPr>
              <w:t xml:space="preserve">Big Bang Replacement</w:t>
            </w:r>
          </w:p>
        </w:tc>
        <w:tc>
          <w:tcPr>
            <w:tcW w:type="dxa" w:w="3580"/>
            <w:tcBorders>
              <w:top w:val="single" w:color="CCCCCC" w:sz="1"/>
              <w:left w:val="single" w:color="CCCCCC" w:sz="1"/>
              <w:bottom w:val="single" w:color="CCCCCC" w:sz="1"/>
              <w:right w:val="single" w:color="CCCCCC" w:sz="1"/>
            </w:tcBorders>
          </w:tcPr>
          <w:p>
            <w:r>
              <w:t xml:space="preserve">Complete modernization in one go; removes all legacy issues; fresh start</w:t>
            </w:r>
          </w:p>
        </w:tc>
        <w:tc>
          <w:tcPr>
            <w:tcW w:type="dxa" w:w="3580"/>
            <w:tcBorders>
              <w:top w:val="single" w:color="CCCCCC" w:sz="1"/>
              <w:left w:val="single" w:color="CCCCCC" w:sz="1"/>
              <w:bottom w:val="single" w:color="CCCCCC" w:sz="1"/>
              <w:right w:val="single" w:color="CCCCCC" w:sz="1"/>
            </w:tcBorders>
          </w:tcPr>
          <w:p>
            <w:r>
              <w:t xml:space="preserve">Higher disruption risk; limited testing; potential project delays from single glitch</w:t>
            </w:r>
          </w:p>
        </w:tc>
      </w:tr>
    </w:tbl>
    <w:p>
      <w:pPr>
        <w:pStyle w:val="Heading2"/>
        <w:spacing w:before="400"/>
      </w:pPr>
      <w:r>
        <w:t xml:space="preserve">7.3 Platform Comparison for Legacy Integration</w:t>
      </w:r>
    </w:p>
    <w:p>
      <w:pPr>
        <w:spacing w:after="100"/>
      </w:pPr>
      <w:r>
        <w:rPr>
          <w:b/>
          <w:bCs/>
        </w:rPr>
        <w:t xml:space="preserve">AWS Approach: </w:t>
      </w:r>
      <w:r>
        <w:t xml:space="preserve">AWS Migration Hub, Database Migration Service, and Application Migration Service provide comprehensive tooling. API Gateway enables legacy system exposure through modern APIs. Lambda supports gradual refactoring of business logic.</w:t>
      </w:r>
    </w:p>
    <w:p>
      <w:pPr>
        <w:spacing w:after="100"/>
      </w:pPr>
      <w:r>
        <w:rPr>
          <w:b/>
          <w:bCs/>
        </w:rPr>
        <w:t xml:space="preserve">Azure Approach: </w:t>
      </w:r>
      <w:r>
        <w:t xml:space="preserve">Azure Migrate and Azure App Service Migration Assistant streamline transitions. Microsoft Fabric connects data from on-premises and multi-cloud sources. Logic Apps integrate legacy workflows with modern AI services.</w:t>
      </w:r>
    </w:p>
    <w:p>
      <w:r>
        <w:br w:type="page"/>
      </w:r>
    </w:p>
    <w:p>
      <w:pPr>
        <w:pStyle w:val="Heading1"/>
      </w:pPr>
      <w:r>
        <w:t xml:space="preserve">8. Payment Channel Integration Analysis</w:t>
      </w:r>
    </w:p>
    <w:p>
      <w:pPr>
        <w:pStyle w:val="Heading2"/>
      </w:pPr>
      <w:r>
        <w:t xml:space="preserve">8.1 Fiserv Ecosystem Integration</w:t>
      </w:r>
    </w:p>
    <w:p>
      <w:pPr>
        <w:spacing w:after="200"/>
      </w:pPr>
      <w:r>
        <w:t xml:space="preserve">Fiserv, as one of the largest payment technology providers, demonstrates hybrid cloud adoption across both platforms:</w:t>
      </w:r>
    </w:p>
    <w:p>
      <w:pPr>
        <w:pStyle w:val="Heading3"/>
      </w:pPr>
      <w:r>
        <w:t xml:space="preserve">AWS Integration Examples</w:t>
      </w:r>
    </w:p>
    <w:p>
      <w:pPr>
        <w:pStyle w:val="ListParagraph"/>
        <w:numPr>
          <w:ilvl w:val="0"/>
          <w:numId w:val="5"/>
        </w:numPr>
      </w:pPr>
      <w:r>
        <w:rPr>
          <w:b/>
          <w:bCs/>
        </w:rPr>
        <w:t xml:space="preserve">DolEx Deployment: </w:t>
      </w:r>
      <w:r>
        <w:t xml:space="preserve">Cloud-based AML Risk Manager and Payment Fraud Manager deployed via AWS, strengthening anti-financial crime capabilities with scalability and flexibility.</w:t>
      </w:r>
    </w:p>
    <w:p>
      <w:pPr>
        <w:pStyle w:val="ListParagraph"/>
        <w:numPr>
          <w:ilvl w:val="0"/>
          <w:numId w:val="5"/>
        </w:numPr>
      </w:pPr>
      <w:r>
        <w:rPr>
          <w:b/>
          <w:bCs/>
        </w:rPr>
        <w:t xml:space="preserve">Fiserv DNA Core Banking: </w:t>
      </w:r>
      <w:r>
        <w:t xml:space="preserve">California Credit Union implemented AWS for disaster recovery backup, migrating 15+ servers with Fiserv DNA test environment on EC2.</w:t>
      </w:r>
    </w:p>
    <w:p>
      <w:pPr>
        <w:pStyle w:val="ListParagraph"/>
        <w:numPr>
          <w:ilvl w:val="0"/>
          <w:numId w:val="5"/>
        </w:numPr>
      </w:pPr>
      <w:r>
        <w:rPr>
          <w:b/>
          <w:bCs/>
        </w:rPr>
        <w:t xml:space="preserve">Data Intelligence: </w:t>
      </w:r>
      <w:r>
        <w:t xml:space="preserve">Fiserv uses AWS landing zones with Snowflake for data migration, leveraging Alation for governance and lineage tracking.</w:t>
      </w:r>
    </w:p>
    <w:p>
      <w:pPr>
        <w:pStyle w:val="Heading3"/>
      </w:pPr>
      <w:r>
        <w:t xml:space="preserve">Azure Integration Examples</w:t>
      </w:r>
    </w:p>
    <w:p>
      <w:pPr>
        <w:pStyle w:val="ListParagraph"/>
        <w:numPr>
          <w:ilvl w:val="0"/>
          <w:numId w:val="5"/>
        </w:numPr>
      </w:pPr>
      <w:r>
        <w:rPr>
          <w:b/>
          <w:bCs/>
        </w:rPr>
        <w:t xml:space="preserve">Enterprise Payments Platform: </w:t>
      </w:r>
      <w:r>
        <w:t xml:space="preserve">Fiserv's real-time payment processing platform runs on Microsoft Azure, simplifying payment operations and reducing costs for financial institutions.</w:t>
      </w:r>
    </w:p>
    <w:p>
      <w:pPr>
        <w:pStyle w:val="ListParagraph"/>
        <w:numPr>
          <w:ilvl w:val="0"/>
          <w:numId w:val="5"/>
        </w:numPr>
      </w:pPr>
      <w:r>
        <w:rPr>
          <w:b/>
          <w:bCs/>
        </w:rPr>
        <w:t xml:space="preserve">Forcht Bank Cybersecurity: </w:t>
      </w:r>
      <w:r>
        <w:t xml:space="preserve">Hybrid cloud infrastructure on Microsoft Azure with managed services from Fiserv, elevating vulnerability management from 50th to 95th percentile among peer banks.</w:t>
      </w:r>
    </w:p>
    <w:p>
      <w:pPr>
        <w:pStyle w:val="Heading2"/>
      </w:pPr>
      <w:r>
        <w:t xml:space="preserve">8.2 Real-Time Payments Infrastructure</w:t>
      </w:r>
    </w:p>
    <w:p>
      <w:pPr>
        <w:spacing w:after="200"/>
      </w:pPr>
      <w:r>
        <w:t xml:space="preserve">Modern payment channels require cloud infrastructure supporting:</w:t>
      </w:r>
    </w:p>
    <w:p>
      <w:pPr>
        <w:pStyle w:val="ListParagraph"/>
        <w:numPr>
          <w:ilvl w:val="0"/>
          <w:numId w:val="5"/>
        </w:numPr>
      </w:pPr>
      <w:r>
        <w:rPr>
          <w:b/>
          <w:bCs/>
        </w:rPr>
        <w:t xml:space="preserve">ISO 20022 Compliance: </w:t>
      </w:r>
      <w:r>
        <w:t xml:space="preserve">Fiserv Enterprise Payments Platform supports 50+ clearings globally on single platform already processing ISO 20022 standard.</w:t>
      </w:r>
    </w:p>
    <w:p>
      <w:pPr>
        <w:pStyle w:val="ListParagraph"/>
        <w:numPr>
          <w:ilvl w:val="0"/>
          <w:numId w:val="5"/>
        </w:numPr>
      </w:pPr>
      <w:r>
        <w:rPr>
          <w:b/>
          <w:bCs/>
        </w:rPr>
        <w:t xml:space="preserve">24/7/365 Operations: </w:t>
      </w:r>
      <w:r>
        <w:t xml:space="preserve">Cloud platforms must support always-on availability for instant payment rails.</w:t>
      </w:r>
    </w:p>
    <w:p>
      <w:pPr>
        <w:pStyle w:val="ListParagraph"/>
        <w:numPr>
          <w:ilvl w:val="0"/>
          <w:numId w:val="5"/>
        </w:numPr>
      </w:pPr>
      <w:r>
        <w:rPr>
          <w:b/>
          <w:bCs/>
        </w:rPr>
        <w:t xml:space="preserve">Cross-Channel Fraud Detection: </w:t>
      </w:r>
      <w:r>
        <w:t xml:space="preserve">AI-powered fraud detection must span ACH, wire, card, and real-time payment channels with unified risk scoring.</w:t>
      </w:r>
    </w:p>
    <w:p>
      <w:r>
        <w:br w:type="page"/>
      </w:r>
    </w:p>
    <w:p>
      <w:pPr>
        <w:pStyle w:val="Heading1"/>
      </w:pPr>
      <w:r>
        <w:t xml:space="preserve">9. Agentic AI for Dispute Resolution &amp; Fraud Detection</w:t>
      </w:r>
    </w:p>
    <w:p>
      <w:pPr>
        <w:pStyle w:val="Heading2"/>
      </w:pPr>
      <w:r>
        <w:t xml:space="preserve">9.1 The Agentic AI Paradigm Shift</w:t>
      </w:r>
    </w:p>
    <w:p>
      <w:pPr>
        <w:spacing w:after="200"/>
      </w:pPr>
      <w:r>
        <w:t xml:space="preserve">Agentic AI represents a fundamental evolution from traditional rule-based systems and even standard ML approaches. According to McKinsey, while analytical AI and GenAI provide 15-20% productivity uplifts, agentic AI can deliver 200-2,000% productivity gains by enabling autonomous task completion with human oversight only for exceptions.</w:t>
      </w:r>
    </w:p>
    <w:p>
      <w:pPr>
        <w:pStyle w:val="Heading3"/>
      </w:pPr>
      <w:r>
        <w:t xml:space="preserve">Key Agentic AI Capabilities</w:t>
      </w:r>
    </w:p>
    <w:p>
      <w:pPr>
        <w:pStyle w:val="ListParagraph"/>
        <w:numPr>
          <w:ilvl w:val="0"/>
          <w:numId w:val="5"/>
        </w:numPr>
      </w:pPr>
      <w:r>
        <w:rPr>
          <w:b/>
          <w:bCs/>
        </w:rPr>
        <w:t xml:space="preserve">Autonomous Decision-Making: </w:t>
      </w:r>
      <w:r>
        <w:t xml:space="preserve">AI agents can evaluate transaction context, weigh risk, and make instant decisions to approve, block, or escalate without human input.</w:t>
      </w:r>
    </w:p>
    <w:p>
      <w:pPr>
        <w:pStyle w:val="ListParagraph"/>
        <w:numPr>
          <w:ilvl w:val="0"/>
          <w:numId w:val="5"/>
        </w:numPr>
      </w:pPr>
      <w:r>
        <w:rPr>
          <w:b/>
          <w:bCs/>
        </w:rPr>
        <w:t xml:space="preserve">Continuous Learning: </w:t>
      </w:r>
      <w:r>
        <w:t xml:space="preserve">Unlike static models, agentic AI learns from new fraud vectors and dynamically updates risk thresholds in real-time.</w:t>
      </w:r>
    </w:p>
    <w:p>
      <w:pPr>
        <w:pStyle w:val="ListParagraph"/>
        <w:numPr>
          <w:ilvl w:val="0"/>
          <w:numId w:val="5"/>
        </w:numPr>
      </w:pPr>
      <w:r>
        <w:rPr>
          <w:b/>
          <w:bCs/>
        </w:rPr>
        <w:t xml:space="preserve">Multi-Agent Orchestration: </w:t>
      </w:r>
      <w:r>
        <w:t xml:space="preserve">Squads of specialized agents collaborate on complex investigations - RAG agents, data pipeline agents, research agents working together.</w:t>
      </w:r>
    </w:p>
    <w:p>
      <w:pPr>
        <w:pStyle w:val="Heading2"/>
      </w:pPr>
      <w:r>
        <w:t xml:space="preserve">9.2 Platform Comparison for Agentic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Capability</w:t>
            </w:r>
          </w:p>
        </w:tc>
        <w:tc>
          <w:tcPr>
            <w:tcW w:type="dxa" w:w="328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AWS</w:t>
            </w:r>
          </w:p>
        </w:tc>
        <w:tc>
          <w:tcPr>
            <w:tcW w:type="dxa" w:w="328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Azure</w:t>
            </w:r>
          </w:p>
        </w:tc>
      </w:tr>
      <w:tr>
        <w:tc>
          <w:tcPr>
            <w:tcW w:type="dxa" w:w="2800"/>
            <w:tcBorders>
              <w:top w:val="single" w:color="CCCCCC" w:sz="1"/>
              <w:left w:val="single" w:color="CCCCCC" w:sz="1"/>
              <w:bottom w:val="single" w:color="CCCCCC" w:sz="1"/>
              <w:right w:val="single" w:color="CCCCCC" w:sz="1"/>
            </w:tcBorders>
          </w:tcPr>
          <w:p>
            <w:r>
              <w:rPr>
                <w:b/>
                <w:bCs/>
              </w:rPr>
              <w:t xml:space="preserve">Agent Framework</w:t>
            </w:r>
          </w:p>
        </w:tc>
        <w:tc>
          <w:tcPr>
            <w:tcW w:type="dxa" w:w="3280"/>
            <w:tcBorders>
              <w:top w:val="single" w:color="CCCCCC" w:sz="1"/>
              <w:left w:val="single" w:color="CCCCCC" w:sz="1"/>
              <w:bottom w:val="single" w:color="CCCCCC" w:sz="1"/>
              <w:right w:val="single" w:color="CCCCCC" w:sz="1"/>
            </w:tcBorders>
          </w:tcPr>
          <w:p>
            <w:r>
              <w:t xml:space="preserve">Bedrock Agents with action groups, Lambda integration, knowledge base connections</w:t>
            </w:r>
          </w:p>
        </w:tc>
        <w:tc>
          <w:tcPr>
            <w:tcW w:type="dxa" w:w="3280"/>
            <w:tcBorders>
              <w:top w:val="single" w:color="CCCCCC" w:sz="1"/>
              <w:left w:val="single" w:color="CCCCCC" w:sz="1"/>
              <w:bottom w:val="single" w:color="CCCCCC" w:sz="1"/>
              <w:right w:val="single" w:color="CCCCCC" w:sz="1"/>
            </w:tcBorders>
          </w:tcPr>
          <w:p>
            <w:r>
              <w:t xml:space="preserve">Copilot Studio with Power Automate, Logic Apps for orchestration</w:t>
            </w:r>
          </w:p>
        </w:tc>
      </w:tr>
      <w:tr>
        <w:tc>
          <w:tcPr>
            <w:tcW w:type="dxa" w:w="2800"/>
            <w:tcBorders>
              <w:top w:val="single" w:color="CCCCCC" w:sz="1"/>
              <w:left w:val="single" w:color="CCCCCC" w:sz="1"/>
              <w:bottom w:val="single" w:color="CCCCCC" w:sz="1"/>
              <w:right w:val="single" w:color="CCCCCC" w:sz="1"/>
            </w:tcBorders>
            <w:shd w:fill="F8F9FA" w:val="clear"/>
          </w:tcPr>
          <w:p>
            <w:r>
              <w:rPr>
                <w:b/>
                <w:bCs/>
              </w:rPr>
              <w:t xml:space="preserve">Tool Integration</w:t>
            </w:r>
          </w:p>
        </w:tc>
        <w:tc>
          <w:tcPr>
            <w:tcW w:type="dxa" w:w="3280"/>
            <w:tcBorders>
              <w:top w:val="single" w:color="CCCCCC" w:sz="1"/>
              <w:left w:val="single" w:color="CCCCCC" w:sz="1"/>
              <w:bottom w:val="single" w:color="CCCCCC" w:sz="1"/>
              <w:right w:val="single" w:color="CCCCCC" w:sz="1"/>
            </w:tcBorders>
            <w:shd w:fill="F8F9FA" w:val="clear"/>
          </w:tcPr>
          <w:p>
            <w:r>
              <w:t xml:space="preserve">Lambda functions, API Gateway, Step Functions for complex workflows</w:t>
            </w:r>
          </w:p>
        </w:tc>
        <w:tc>
          <w:tcPr>
            <w:tcW w:type="dxa" w:w="3280"/>
            <w:tcBorders>
              <w:top w:val="single" w:color="CCCCCC" w:sz="1"/>
              <w:left w:val="single" w:color="CCCCCC" w:sz="1"/>
              <w:bottom w:val="single" w:color="CCCCCC" w:sz="1"/>
              <w:right w:val="single" w:color="CCCCCC" w:sz="1"/>
            </w:tcBorders>
            <w:shd w:fill="F8F9FA" w:val="clear"/>
          </w:tcPr>
          <w:p>
            <w:r>
              <w:t xml:space="preserve">Azure Functions, Logic Apps, M365 Copilot integration</w:t>
            </w:r>
          </w:p>
        </w:tc>
      </w:tr>
      <w:tr>
        <w:tc>
          <w:tcPr>
            <w:tcW w:type="dxa" w:w="2800"/>
            <w:tcBorders>
              <w:top w:val="single" w:color="CCCCCC" w:sz="1"/>
              <w:left w:val="single" w:color="CCCCCC" w:sz="1"/>
              <w:bottom w:val="single" w:color="CCCCCC" w:sz="1"/>
              <w:right w:val="single" w:color="CCCCCC" w:sz="1"/>
            </w:tcBorders>
          </w:tcPr>
          <w:p>
            <w:r>
              <w:rPr>
                <w:b/>
                <w:bCs/>
              </w:rPr>
              <w:t xml:space="preserve">Real-Time Event Processing</w:t>
            </w:r>
          </w:p>
        </w:tc>
        <w:tc>
          <w:tcPr>
            <w:tcW w:type="dxa" w:w="3280"/>
            <w:tcBorders>
              <w:top w:val="single" w:color="CCCCCC" w:sz="1"/>
              <w:left w:val="single" w:color="CCCCCC" w:sz="1"/>
              <w:bottom w:val="single" w:color="CCCCCC" w:sz="1"/>
              <w:right w:val="single" w:color="CCCCCC" w:sz="1"/>
            </w:tcBorders>
          </w:tcPr>
          <w:p>
            <w:r>
              <w:t xml:space="preserve">Kinesis Data Streams, EventBridge for fraud alerts</w:t>
            </w:r>
          </w:p>
        </w:tc>
        <w:tc>
          <w:tcPr>
            <w:tcW w:type="dxa" w:w="3280"/>
            <w:tcBorders>
              <w:top w:val="single" w:color="CCCCCC" w:sz="1"/>
              <w:left w:val="single" w:color="CCCCCC" w:sz="1"/>
              <w:bottom w:val="single" w:color="CCCCCC" w:sz="1"/>
              <w:right w:val="single" w:color="CCCCCC" w:sz="1"/>
            </w:tcBorders>
          </w:tcPr>
          <w:p>
            <w:r>
              <w:t xml:space="preserve">Event Grid, Service Bus for event-driven architecture</w:t>
            </w:r>
          </w:p>
        </w:tc>
      </w:tr>
      <w:tr>
        <w:tc>
          <w:tcPr>
            <w:tcW w:type="dxa" w:w="2800"/>
            <w:tcBorders>
              <w:top w:val="single" w:color="CCCCCC" w:sz="1"/>
              <w:left w:val="single" w:color="CCCCCC" w:sz="1"/>
              <w:bottom w:val="single" w:color="CCCCCC" w:sz="1"/>
              <w:right w:val="single" w:color="CCCCCC" w:sz="1"/>
            </w:tcBorders>
            <w:shd w:fill="F8F9FA" w:val="clear"/>
          </w:tcPr>
          <w:p>
            <w:r>
              <w:rPr>
                <w:b/>
                <w:bCs/>
              </w:rPr>
              <w:t xml:space="preserve">Human-in-the-Loop</w:t>
            </w:r>
          </w:p>
        </w:tc>
        <w:tc>
          <w:tcPr>
            <w:tcW w:type="dxa" w:w="3280"/>
            <w:tcBorders>
              <w:top w:val="single" w:color="CCCCCC" w:sz="1"/>
              <w:left w:val="single" w:color="CCCCCC" w:sz="1"/>
              <w:bottom w:val="single" w:color="CCCCCC" w:sz="1"/>
              <w:right w:val="single" w:color="CCCCCC" w:sz="1"/>
            </w:tcBorders>
            <w:shd w:fill="F8F9FA" w:val="clear"/>
          </w:tcPr>
          <w:p>
            <w:r>
              <w:t xml:space="preserve">SageMaker Ground Truth, A2I for human review workflows</w:t>
            </w:r>
          </w:p>
        </w:tc>
        <w:tc>
          <w:tcPr>
            <w:tcW w:type="dxa" w:w="3280"/>
            <w:tcBorders>
              <w:top w:val="single" w:color="CCCCCC" w:sz="1"/>
              <w:left w:val="single" w:color="CCCCCC" w:sz="1"/>
              <w:bottom w:val="single" w:color="CCCCCC" w:sz="1"/>
              <w:right w:val="single" w:color="CCCCCC" w:sz="1"/>
            </w:tcBorders>
            <w:shd w:fill="F8F9FA" w:val="clear"/>
          </w:tcPr>
          <w:p>
            <w:r>
              <w:t xml:space="preserve">Power Apps for custom review UIs, Teams integration</w:t>
            </w:r>
          </w:p>
        </w:tc>
      </w:tr>
    </w:tbl>
    <w:p>
      <w:pPr>
        <w:pStyle w:val="Heading2"/>
        <w:spacing w:before="400"/>
      </w:pPr>
      <w:r>
        <w:t xml:space="preserve">9.3 Market Statistics</w:t>
      </w:r>
    </w:p>
    <w:p>
      <w:pPr>
        <w:pStyle w:val="ListParagraph"/>
        <w:numPr>
          <w:ilvl w:val="0"/>
          <w:numId w:val="5"/>
        </w:numPr>
      </w:pPr>
      <w:r>
        <w:t xml:space="preserve">99% of financial organizations now use some form of ML or AI for fraud detection</w:t>
      </w:r>
    </w:p>
    <w:p>
      <w:pPr>
        <w:pStyle w:val="ListParagraph"/>
        <w:numPr>
          <w:ilvl w:val="0"/>
          <w:numId w:val="5"/>
        </w:numPr>
      </w:pPr>
      <w:r>
        <w:t xml:space="preserve">AI-powered fraud detection systems prevented an estimated $25.5 billion in fraud losses globally in 2025</w:t>
      </w:r>
    </w:p>
    <w:p>
      <w:pPr>
        <w:pStyle w:val="ListParagraph"/>
        <w:numPr>
          <w:ilvl w:val="0"/>
          <w:numId w:val="5"/>
        </w:numPr>
      </w:pPr>
      <w:r>
        <w:t xml:space="preserve">87% of financial organizations report their fraud prevention programs save more money than they cost</w:t>
      </w:r>
    </w:p>
    <w:p>
      <w:pPr>
        <w:pStyle w:val="ListParagraph"/>
        <w:numPr>
          <w:ilvl w:val="0"/>
          <w:numId w:val="5"/>
        </w:numPr>
      </w:pPr>
      <w:r>
        <w:t xml:space="preserve">70% of organizations are incorporating autonomous agents into their AI roadmaps</w:t>
      </w:r>
    </w:p>
    <w:p>
      <w:pPr>
        <w:pStyle w:val="ListParagraph"/>
        <w:numPr>
          <w:ilvl w:val="0"/>
          <w:numId w:val="5"/>
        </w:numPr>
      </w:pPr>
      <w:r>
        <w:t xml:space="preserve">AI agents have helped 82% of financial institutions reduce operational costs</w:t>
      </w:r>
    </w:p>
    <w:p>
      <w:r>
        <w:br w:type="page"/>
      </w:r>
    </w:p>
    <w:p>
      <w:pPr>
        <w:pStyle w:val="Heading1"/>
      </w:pPr>
      <w:r>
        <w:t xml:space="preserve">10. Strategic Recommendations</w:t>
      </w:r>
    </w:p>
    <w:p>
      <w:pPr>
        <w:pStyle w:val="Heading2"/>
      </w:pPr>
      <w:r>
        <w:t xml:space="preserve">10.1 Decision Framework</w:t>
      </w:r>
    </w:p>
    <w:p>
      <w:pPr>
        <w:spacing w:after="200"/>
      </w:pPr>
      <w:r>
        <w:t xml:space="preserve">Platform selection should be driven by organizational context rather than absolute technical superiority. Both AWS and Azure offer enterprise-grade capabilities for banking AI systems.</w:t>
      </w:r>
    </w:p>
    <w:p>
      <w:pPr>
        <w:pStyle w:val="Heading3"/>
      </w:pPr>
      <w:r>
        <w:t xml:space="preserve">Choose AWS Bedrock When:</w:t>
      </w:r>
    </w:p>
    <w:p>
      <w:pPr>
        <w:pStyle w:val="ListParagraph"/>
        <w:numPr>
          <w:ilvl w:val="0"/>
          <w:numId w:val="8"/>
        </w:numPr>
      </w:pPr>
      <w:r>
        <w:t xml:space="preserve">Multi-model flexibility is critical for optimizing cost and capability across different use cases</w:t>
      </w:r>
    </w:p>
    <w:p>
      <w:pPr>
        <w:pStyle w:val="ListParagraph"/>
        <w:numPr>
          <w:ilvl w:val="0"/>
          <w:numId w:val="8"/>
        </w:numPr>
      </w:pPr>
      <w:r>
        <w:t xml:space="preserve">Extended context windows (200K tokens) are needed for comprehensive dispute history analysis</w:t>
      </w:r>
    </w:p>
    <w:p>
      <w:pPr>
        <w:pStyle w:val="ListParagraph"/>
        <w:numPr>
          <w:ilvl w:val="0"/>
          <w:numId w:val="8"/>
        </w:numPr>
      </w:pPr>
      <w:r>
        <w:t xml:space="preserve">Existing AWS infrastructure investments (EC2, S3, Lambda) should be leveraged</w:t>
      </w:r>
    </w:p>
    <w:p>
      <w:pPr>
        <w:pStyle w:val="ListParagraph"/>
        <w:numPr>
          <w:ilvl w:val="0"/>
          <w:numId w:val="8"/>
        </w:numPr>
      </w:pPr>
      <w:r>
        <w:t xml:space="preserve">Cost optimization through Provisioned Throughput and Savings Plans is a priority</w:t>
      </w:r>
    </w:p>
    <w:p>
      <w:pPr>
        <w:pStyle w:val="ListParagraph"/>
        <w:numPr>
          <w:ilvl w:val="0"/>
          <w:numId w:val="8"/>
        </w:numPr>
      </w:pPr>
      <w:r>
        <w:t xml:space="preserve">Federal/government workloads require FedRAMP High authorization (GovCloud)</w:t>
      </w:r>
    </w:p>
    <w:p>
      <w:pPr>
        <w:pStyle w:val="Heading3"/>
      </w:pPr>
      <w:r>
        <w:t xml:space="preserve">Choose Azure OpenAI When:</w:t>
      </w:r>
    </w:p>
    <w:p>
      <w:pPr>
        <w:pStyle w:val="ListParagraph"/>
        <w:numPr>
          <w:ilvl w:val="0"/>
          <w:numId w:val="5"/>
        </w:numPr>
      </w:pPr>
      <w:r>
        <w:t xml:space="preserve">Organization is deeply invested in Microsoft 365, Dynamics 365, or Power Platform</w:t>
      </w:r>
    </w:p>
    <w:p>
      <w:pPr>
        <w:pStyle w:val="ListParagraph"/>
        <w:numPr>
          <w:ilvl w:val="0"/>
          <w:numId w:val="5"/>
        </w:numPr>
      </w:pPr>
      <w:r>
        <w:t xml:space="preserve">GPT-4o's specific capabilities align with use case requirements</w:t>
      </w:r>
    </w:p>
    <w:p>
      <w:pPr>
        <w:pStyle w:val="ListParagraph"/>
        <w:numPr>
          <w:ilvl w:val="0"/>
          <w:numId w:val="5"/>
        </w:numPr>
      </w:pPr>
      <w:r>
        <w:t xml:space="preserve">Low-code agent development through Copilot Studio is preferred</w:t>
      </w:r>
    </w:p>
    <w:p>
      <w:pPr>
        <w:pStyle w:val="ListParagraph"/>
        <w:numPr>
          <w:ilvl w:val="0"/>
          <w:numId w:val="5"/>
        </w:numPr>
      </w:pPr>
      <w:r>
        <w:t xml:space="preserve">Teams/Outlook integration for agent-assisted workflows is essential</w:t>
      </w:r>
    </w:p>
    <w:p>
      <w:pPr>
        <w:pStyle w:val="ListParagraph"/>
        <w:numPr>
          <w:ilvl w:val="0"/>
          <w:numId w:val="5"/>
        </w:numPr>
      </w:pPr>
      <w:r>
        <w:t xml:space="preserve">FSI Landing Zone accelerates compliance infrastructure setup</w:t>
      </w:r>
    </w:p>
    <w:p>
      <w:pPr>
        <w:pStyle w:val="Heading2"/>
      </w:pPr>
      <w:r>
        <w:t xml:space="preserve">10.2 Multi-Cloud Strategy Considerations</w:t>
      </w:r>
    </w:p>
    <w:p>
      <w:pPr>
        <w:spacing w:after="200"/>
      </w:pPr>
      <w:r>
        <w:t xml:space="preserve">Major banks increasingly adopt multi-cloud strategies to avoid vendor lock-in and leverage best-of-breed capabilities. JPMorgan Chase uses AWS extensively while Wells Fargo chose Azure as primary with Google Cloud secondary. Consider multi-cloud when:</w:t>
      </w:r>
    </w:p>
    <w:p>
      <w:pPr>
        <w:pStyle w:val="ListParagraph"/>
        <w:numPr>
          <w:ilvl w:val="0"/>
          <w:numId w:val="5"/>
        </w:numPr>
      </w:pPr>
      <w:r>
        <w:t xml:space="preserve">Regulatory requirements demand geographic or provider redundancy</w:t>
      </w:r>
    </w:p>
    <w:p>
      <w:pPr>
        <w:pStyle w:val="ListParagraph"/>
        <w:numPr>
          <w:ilvl w:val="0"/>
          <w:numId w:val="5"/>
        </w:numPr>
      </w:pPr>
      <w:r>
        <w:t xml:space="preserve">Different workloads have different optimal platforms</w:t>
      </w:r>
    </w:p>
    <w:p>
      <w:pPr>
        <w:pStyle w:val="ListParagraph"/>
        <w:numPr>
          <w:ilvl w:val="0"/>
          <w:numId w:val="5"/>
        </w:numPr>
      </w:pPr>
      <w:r>
        <w:t xml:space="preserve">Negotiating leverage with cloud providers is valuable</w:t>
      </w:r>
    </w:p>
    <w:p>
      <w:pPr>
        <w:pStyle w:val="Heading2"/>
      </w:pPr>
      <w:r>
        <w:t xml:space="preserve">10.3 Implementation Roadmap</w:t>
      </w:r>
    </w:p>
    <w:p>
      <w:pPr>
        <w:spacing w:after="100"/>
      </w:pPr>
      <w:r>
        <w:rPr>
          <w:b/>
          <w:bCs/>
        </w:rPr>
        <w:t xml:space="preserve">Phase 1 (0-6 months): </w:t>
      </w:r>
      <w:r>
        <w:t xml:space="preserve">Pilot deployment with low-risk internal use cases (employee assistants, document processing). Validate compliance controls and model governance frameworks.</w:t>
      </w:r>
    </w:p>
    <w:p>
      <w:pPr>
        <w:spacing w:after="100"/>
      </w:pPr>
      <w:r>
        <w:rPr>
          <w:b/>
          <w:bCs/>
        </w:rPr>
        <w:t xml:space="preserve">Phase 2 (6-12 months): </w:t>
      </w:r>
      <w:r>
        <w:t xml:space="preserve">Expand to customer-facing applications with human-in-the-loop oversight. Deploy agentic workflows for dispute triage with human approval gates.</w:t>
      </w:r>
    </w:p>
    <w:p>
      <w:pPr>
        <w:spacing w:after="100"/>
      </w:pPr>
      <w:r>
        <w:rPr>
          <w:b/>
          <w:bCs/>
        </w:rPr>
        <w:t xml:space="preserve">Phase 3 (12-24 months): </w:t>
      </w:r>
      <w:r>
        <w:t xml:space="preserve">Scale autonomous fraud detection with continuous monitoring. Implement multi-agent orchestration for complex investigation workflows.</w:t>
      </w:r>
    </w:p>
    <w:p>
      <w:r>
        <w:br w:type="page"/>
      </w:r>
    </w:p>
    <w:p>
      <w:pPr>
        <w:pStyle w:val="Heading1"/>
      </w:pPr>
      <w:r>
        <w:t xml:space="preserve">11. Conclusion</w:t>
      </w:r>
    </w:p>
    <w:p>
      <w:pPr>
        <w:spacing w:after="200"/>
      </w:pPr>
      <w:r>
        <w:t xml:space="preserve">The choice between AWS and Azure for banking AI/ML/GenAI pipelines is not a binary decision but a strategic one shaped by organizational context. Both platforms offer robust compliance certifications, enterprise-grade security, and powerful AI capabilities suitable for transaction dispute resolution and fraud detection.</w:t>
      </w:r>
    </w:p>
    <w:p>
      <w:pPr>
        <w:pStyle w:val="Heading2"/>
      </w:pPr>
      <w:r>
        <w:t xml:space="preserve">First Principles Summary</w:t>
      </w:r>
    </w:p>
    <w:p>
      <w:pPr>
        <w:spacing w:after="100"/>
      </w:pPr>
      <w:r>
        <w:rPr>
          <w:b/>
          <w:bCs/>
        </w:rPr>
        <w:t xml:space="preserve">Regulatory Compliance: </w:t>
      </w:r>
      <w:r>
        <w:t xml:space="preserve">Both platforms meet banking regulatory requirements. The differentiator is how well each platform's native tools support your specific compliance workflows and reporting needs.</w:t>
      </w:r>
    </w:p>
    <w:p>
      <w:pPr>
        <w:spacing w:after="100"/>
      </w:pPr>
      <w:r>
        <w:rPr>
          <w:b/>
          <w:bCs/>
        </w:rPr>
        <w:t xml:space="preserve">Data Sovereignty: </w:t>
      </w:r>
      <w:r>
        <w:t xml:space="preserve">Both offer encryption, access controls, and regional deployment options. AWS GovCloud provides additional isolation for sensitive government-related financial workloads.</w:t>
      </w:r>
    </w:p>
    <w:p>
      <w:pPr>
        <w:spacing w:after="100"/>
      </w:pPr>
      <w:r>
        <w:rPr>
          <w:b/>
          <w:bCs/>
        </w:rPr>
        <w:t xml:space="preserve">Operational Continuity: </w:t>
      </w:r>
      <w:r>
        <w:t xml:space="preserve">Both support hybrid architectures and gradual migration. The choice depends on which platform better integrates with your existing core banking and payment systems.</w:t>
      </w:r>
    </w:p>
    <w:p>
      <w:pPr>
        <w:spacing w:after="100"/>
      </w:pPr>
      <w:r>
        <w:rPr>
          <w:b/>
          <w:bCs/>
        </w:rPr>
        <w:t xml:space="preserve">Model Governance: </w:t>
      </w:r>
      <w:r>
        <w:t xml:space="preserve">SR 11-7 compliance requires robust validation and monitoring. AWS Bedrock's model diversity enables comparative validation; Azure's responsible AI framework provides built-in guardrails.</w:t>
      </w:r>
    </w:p>
    <w:p>
      <w:pPr>
        <w:spacing w:after="100"/>
      </w:pPr>
      <w:r>
        <w:rPr>
          <w:b/>
          <w:bCs/>
        </w:rPr>
        <w:t xml:space="preserve">Economic Rationality: </w:t>
      </w:r>
      <w:r>
        <w:t xml:space="preserve">AWS Bedrock offers greater cost optimization flexibility; Azure provides value through ecosystem integration. Total cost of ownership depends on existing investments.</w:t>
      </w:r>
    </w:p>
    <w:p>
      <w:pPr>
        <w:spacing w:before="300" w:after="200"/>
      </w:pPr>
      <w:r>
        <w:t xml:space="preserve">The financial services industry has reached a critical inflection point in AI adoption. With 98% of banks planning core system upgrades and $17 billion tech budgets at leading institutions, the platform choice made today will shape competitive positioning for years to come. Organizations should pilot both platforms where possible, benchmark against their specific use cases, and make data-driven decisions aligned with their strategic technology roadmap.</w:t>
      </w:r>
    </w:p>
    <w:p>
      <w:pPr>
        <w:spacing w:before="400"/>
        <w:jc w:val="center"/>
      </w:pPr>
      <w:r>
        <w:rPr>
          <w:i/>
          <w:iCs/>
          <w:color w:val="666666"/>
        </w:rPr>
        <w:t xml:space="preserve">— End of Report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AWS vs Azure: Banking AI/ML Strategy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4"/>
    <w:lvlOverride w:ilvl="0">
      <w:startOverride w:val="1"/>
    </w:lvlOverride>
  </w:num>
  <w:num w:numId="5">
    <w:abstractNumId w:val="2"/>
    <w:lvlOverride w:ilvl="0">
      <w:startOverride w:val="1"/>
    </w:lvlOverride>
  </w:num>
  <w:num w:numId="6">
    <w:abstractNumId w:val="5"/>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4F72"/>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874A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2025-12-02T13:04:58.928Z</dcterms:created>
  <dcterms:modified xsi:type="dcterms:W3CDTF">2025-12-02T13:04:58.929Z</dcterms:modified>
</cp:coreProperties>
</file>

<file path=docProps/custom.xml><?xml version="1.0" encoding="utf-8"?>
<Properties xmlns="http://schemas.openxmlformats.org/officeDocument/2006/custom-properties" xmlns:vt="http://schemas.openxmlformats.org/officeDocument/2006/docPropsVTypes"/>
</file>