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2F2A" w:rsidRDefault="00851FBE">
      <w:pPr>
        <w:spacing w:before="1440" w:after="300"/>
        <w:jc w:val="center"/>
      </w:pPr>
      <w:r>
        <w:rPr>
          <w:b/>
          <w:bCs/>
          <w:color w:val="1F3864"/>
          <w:sz w:val="56"/>
          <w:szCs w:val="56"/>
        </w:rPr>
        <w:t>BLUESTOCK FINTECH</w:t>
      </w:r>
    </w:p>
    <w:p w:rsidR="006F2F2A" w:rsidRDefault="00851FBE">
      <w:pPr>
        <w:spacing w:after="200"/>
        <w:jc w:val="center"/>
      </w:pPr>
      <w:r>
        <w:rPr>
          <w:b/>
          <w:bCs/>
          <w:color w:val="2E74B5"/>
          <w:sz w:val="44"/>
          <w:szCs w:val="44"/>
        </w:rPr>
        <w:t>Mutual Fund Analytics Platform</w:t>
      </w:r>
    </w:p>
    <w:p w:rsidR="006F2F2A" w:rsidRDefault="00851FBE">
      <w:pPr>
        <w:spacing w:after="200"/>
        <w:jc w:val="center"/>
      </w:pPr>
      <w:r>
        <w:rPr>
          <w:color w:val="404040"/>
          <w:sz w:val="26"/>
          <w:szCs w:val="26"/>
        </w:rPr>
        <w:t>End-to-End Data Engineering, ETL Pipeline &amp; Interactive Dashboard</w:t>
      </w:r>
    </w:p>
    <w:p w:rsidR="006F2F2A" w:rsidRDefault="00851FBE">
      <w:pPr>
        <w:spacing w:before="400" w:after="400"/>
        <w:jc w:val="center"/>
      </w:pPr>
      <w:r>
        <w:rPr>
          <w:color w:val="2E74B5"/>
        </w:rPr>
        <w:t>─────────────────────────────────────────────</w:t>
      </w:r>
    </w:p>
    <w:p w:rsidR="006F2F2A" w:rsidRDefault="00851FBE">
      <w:pPr>
        <w:spacing w:after="150"/>
        <w:jc w:val="center"/>
      </w:pPr>
      <w:r>
        <w:rPr>
          <w:b/>
          <w:bCs/>
          <w:sz w:val="24"/>
          <w:szCs w:val="24"/>
        </w:rPr>
        <w:t xml:space="preserve">Company: Bluestock </w:t>
      </w:r>
      <w:proofErr w:type="spellStart"/>
      <w:r>
        <w:rPr>
          <w:b/>
          <w:bCs/>
          <w:sz w:val="24"/>
          <w:szCs w:val="24"/>
        </w:rPr>
        <w:t>Fintech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Pvt.</w:t>
      </w:r>
      <w:proofErr w:type="spellEnd"/>
      <w:r>
        <w:rPr>
          <w:b/>
          <w:bCs/>
          <w:sz w:val="24"/>
          <w:szCs w:val="24"/>
        </w:rPr>
        <w:t xml:space="preserve"> Ltd.</w:t>
      </w:r>
    </w:p>
    <w:p w:rsidR="006F2F2A" w:rsidRDefault="00851FBE">
      <w:pPr>
        <w:spacing w:after="150"/>
        <w:jc w:val="center"/>
      </w:pPr>
      <w:r>
        <w:rPr>
          <w:sz w:val="24"/>
          <w:szCs w:val="24"/>
        </w:rPr>
        <w:t xml:space="preserve">Domain: Mutual Fund / </w:t>
      </w:r>
      <w:proofErr w:type="spellStart"/>
      <w:r>
        <w:rPr>
          <w:sz w:val="24"/>
          <w:szCs w:val="24"/>
        </w:rPr>
        <w:t>Fintech</w:t>
      </w:r>
      <w:proofErr w:type="spellEnd"/>
    </w:p>
    <w:p w:rsidR="006F2F2A" w:rsidRDefault="00851FBE">
      <w:pPr>
        <w:spacing w:after="150"/>
        <w:jc w:val="center"/>
      </w:pPr>
      <w:r>
        <w:rPr>
          <w:sz w:val="24"/>
          <w:szCs w:val="24"/>
        </w:rPr>
        <w:t>Project Type: Individual Capstone (7 Days)</w:t>
      </w:r>
    </w:p>
    <w:p w:rsidR="006F2F2A" w:rsidRDefault="00851FBE">
      <w:pPr>
        <w:spacing w:after="150"/>
        <w:jc w:val="center"/>
      </w:pPr>
      <w:r>
        <w:rPr>
          <w:sz w:val="24"/>
          <w:szCs w:val="24"/>
        </w:rPr>
        <w:t xml:space="preserve">Technologies: Python | SQL | Power BI | Pandas | </w:t>
      </w:r>
      <w:proofErr w:type="spellStart"/>
      <w:r>
        <w:rPr>
          <w:sz w:val="24"/>
          <w:szCs w:val="24"/>
        </w:rPr>
        <w:t>Matplotlib</w:t>
      </w:r>
      <w:proofErr w:type="spellEnd"/>
    </w:p>
    <w:p w:rsidR="006F2F2A" w:rsidRDefault="00851FBE">
      <w:pPr>
        <w:spacing w:after="150"/>
        <w:jc w:val="center"/>
      </w:pPr>
      <w:r>
        <w:rPr>
          <w:sz w:val="24"/>
          <w:szCs w:val="24"/>
        </w:rPr>
        <w:t>Date: August 2026</w:t>
      </w:r>
    </w:p>
    <w:p w:rsidR="006F2F2A" w:rsidRDefault="00851FBE">
      <w:r>
        <w:br w:type="page"/>
      </w:r>
    </w:p>
    <w:p w:rsidR="006F2F2A" w:rsidRDefault="00851FBE">
      <w:pPr>
        <w:pStyle w:val="Heading1"/>
        <w:spacing w:before="400" w:after="200"/>
      </w:pPr>
      <w:r>
        <w:lastRenderedPageBreak/>
        <w:t>1. Executive Summary</w:t>
      </w:r>
    </w:p>
    <w:p w:rsidR="006F2F2A" w:rsidRDefault="00851FBE">
      <w:pPr>
        <w:spacing w:after="150"/>
      </w:pPr>
      <w:r>
        <w:rPr>
          <w:sz w:val="22"/>
          <w:szCs w:val="22"/>
        </w:rPr>
        <w:t xml:space="preserve">This report presents the complete documentation of the Bluestock </w:t>
      </w:r>
      <w:proofErr w:type="spellStart"/>
      <w:r>
        <w:rPr>
          <w:sz w:val="22"/>
          <w:szCs w:val="22"/>
        </w:rPr>
        <w:t>Fintech</w:t>
      </w:r>
      <w:proofErr w:type="spellEnd"/>
      <w:r>
        <w:rPr>
          <w:sz w:val="22"/>
          <w:szCs w:val="22"/>
        </w:rPr>
        <w:t xml:space="preserve"> Mutual Fund Analytics Platform — a full</w:t>
      </w:r>
      <w:r>
        <w:rPr>
          <w:sz w:val="22"/>
          <w:szCs w:val="22"/>
        </w:rPr>
        <w:t>-stack data engineering and analytics project. The platform ingests live NAV data from the mfapi.in REST API, processes 87,000+ rows across 10 datasets, stores everything in a normalised SQLite star schema database, and delivers business insights via an in</w:t>
      </w:r>
      <w:r>
        <w:rPr>
          <w:sz w:val="22"/>
          <w:szCs w:val="22"/>
        </w:rPr>
        <w:t>teractive 4-page Power BI dashboard.</w:t>
      </w:r>
    </w:p>
    <w:p w:rsidR="006F2F2A" w:rsidRDefault="00851FBE">
      <w:pPr>
        <w:spacing w:after="150"/>
      </w:pPr>
      <w:r>
        <w:rPr>
          <w:b/>
          <w:bCs/>
          <w:sz w:val="22"/>
          <w:szCs w:val="22"/>
        </w:rPr>
        <w:t>Key Outcomes:</w:t>
      </w:r>
    </w:p>
    <w:p w:rsidR="006F2F2A" w:rsidRDefault="00851FBE">
      <w:pPr>
        <w:spacing w:after="100"/>
      </w:pPr>
      <w:r>
        <w:rPr>
          <w:sz w:val="22"/>
          <w:szCs w:val="22"/>
        </w:rPr>
        <w:t xml:space="preserve">• Top Fund by Composite Score: ICICI </w:t>
      </w:r>
      <w:proofErr w:type="spellStart"/>
      <w:r>
        <w:rPr>
          <w:sz w:val="22"/>
          <w:szCs w:val="22"/>
        </w:rPr>
        <w:t>Pru</w:t>
      </w:r>
      <w:proofErr w:type="spellEnd"/>
      <w:r>
        <w:rPr>
          <w:sz w:val="22"/>
          <w:szCs w:val="22"/>
        </w:rPr>
        <w:t xml:space="preserve"> Midcap Fund — 100/100</w:t>
      </w:r>
    </w:p>
    <w:p w:rsidR="006F2F2A" w:rsidRDefault="00851FBE">
      <w:pPr>
        <w:spacing w:after="100"/>
      </w:pPr>
      <w:r>
        <w:rPr>
          <w:sz w:val="22"/>
          <w:szCs w:val="22"/>
        </w:rPr>
        <w:t xml:space="preserve">• Best Sharpe Ratio: </w:t>
      </w:r>
      <w:proofErr w:type="spellStart"/>
      <w:r>
        <w:rPr>
          <w:sz w:val="22"/>
          <w:szCs w:val="22"/>
        </w:rPr>
        <w:t>Mirae</w:t>
      </w:r>
      <w:proofErr w:type="spellEnd"/>
      <w:r>
        <w:rPr>
          <w:sz w:val="22"/>
          <w:szCs w:val="22"/>
        </w:rPr>
        <w:t xml:space="preserve"> Asset Large Cap Fund — 1.45</w:t>
      </w:r>
    </w:p>
    <w:p w:rsidR="006F2F2A" w:rsidRDefault="00851FBE">
      <w:pPr>
        <w:spacing w:after="100"/>
      </w:pPr>
      <w:r>
        <w:rPr>
          <w:sz w:val="22"/>
          <w:szCs w:val="22"/>
        </w:rPr>
        <w:t>• Best 3-Year CAGR: Axis Midcap Fund — 35.11%</w:t>
      </w:r>
    </w:p>
    <w:p w:rsidR="006F2F2A" w:rsidRDefault="00851FBE">
      <w:pPr>
        <w:spacing w:after="100"/>
      </w:pPr>
      <w:r>
        <w:rPr>
          <w:sz w:val="22"/>
          <w:szCs w:val="22"/>
        </w:rPr>
        <w:t xml:space="preserve">• Highest Alpha </w:t>
      </w:r>
      <w:proofErr w:type="spellStart"/>
      <w:r>
        <w:rPr>
          <w:sz w:val="22"/>
          <w:szCs w:val="22"/>
        </w:rPr>
        <w:t>vs</w:t>
      </w:r>
      <w:proofErr w:type="spellEnd"/>
      <w:r>
        <w:rPr>
          <w:sz w:val="22"/>
          <w:szCs w:val="22"/>
        </w:rPr>
        <w:t xml:space="preserve"> Nifty 100: SBI Small C</w:t>
      </w:r>
      <w:r>
        <w:rPr>
          <w:sz w:val="22"/>
          <w:szCs w:val="22"/>
        </w:rPr>
        <w:t xml:space="preserve">ap </w:t>
      </w:r>
      <w:proofErr w:type="gramStart"/>
      <w:r>
        <w:rPr>
          <w:sz w:val="22"/>
          <w:szCs w:val="22"/>
        </w:rPr>
        <w:t>Regular</w:t>
      </w:r>
      <w:proofErr w:type="gramEnd"/>
      <w:r>
        <w:rPr>
          <w:sz w:val="22"/>
          <w:szCs w:val="22"/>
        </w:rPr>
        <w:t xml:space="preserve"> — 0.30</w:t>
      </w:r>
    </w:p>
    <w:p w:rsidR="006F2F2A" w:rsidRDefault="00851FBE">
      <w:pPr>
        <w:spacing w:after="100"/>
      </w:pPr>
      <w:r>
        <w:rPr>
          <w:sz w:val="22"/>
          <w:szCs w:val="22"/>
        </w:rPr>
        <w:t xml:space="preserve">• Highest Daily </w:t>
      </w:r>
      <w:proofErr w:type="spellStart"/>
      <w:r>
        <w:rPr>
          <w:sz w:val="22"/>
          <w:szCs w:val="22"/>
        </w:rPr>
        <w:t>VaR</w:t>
      </w:r>
      <w:proofErr w:type="spellEnd"/>
      <w:r>
        <w:rPr>
          <w:sz w:val="22"/>
          <w:szCs w:val="22"/>
        </w:rPr>
        <w:t xml:space="preserve"> Risk: SBI Small Cap Direct — -2.69%</w:t>
      </w:r>
    </w:p>
    <w:p w:rsidR="006F2F2A" w:rsidRDefault="00851FBE">
      <w:pPr>
        <w:spacing w:after="100"/>
      </w:pPr>
      <w:r>
        <w:rPr>
          <w:sz w:val="22"/>
          <w:szCs w:val="22"/>
        </w:rPr>
        <w:t>• Worst Max Drawdown: SBI Small Cap Direct — -52.57%</w:t>
      </w:r>
    </w:p>
    <w:p w:rsidR="006F2F2A" w:rsidRDefault="00851FBE">
      <w:pPr>
        <w:spacing w:after="100"/>
      </w:pPr>
      <w:r>
        <w:rPr>
          <w:sz w:val="22"/>
          <w:szCs w:val="22"/>
        </w:rPr>
        <w:t>• SIP Inflow Growth: Rs.14</w:t>
      </w:r>
      <w:proofErr w:type="gramStart"/>
      <w:r>
        <w:rPr>
          <w:sz w:val="22"/>
          <w:szCs w:val="22"/>
        </w:rPr>
        <w:t>,000</w:t>
      </w:r>
      <w:proofErr w:type="gramEnd"/>
      <w:r>
        <w:rPr>
          <w:sz w:val="22"/>
          <w:szCs w:val="22"/>
        </w:rPr>
        <w:t xml:space="preserve"> Cr (2023) → Rs.31,002 Cr (Dec 2025 All-Time High)</w:t>
      </w:r>
    </w:p>
    <w:p w:rsidR="006F2F2A" w:rsidRDefault="00851FBE">
      <w:pPr>
        <w:spacing w:after="100"/>
      </w:pPr>
      <w:r>
        <w:rPr>
          <w:sz w:val="22"/>
          <w:szCs w:val="22"/>
        </w:rPr>
        <w:t xml:space="preserve">• Folio Growth: 13.26 </w:t>
      </w:r>
      <w:proofErr w:type="spellStart"/>
      <w:r>
        <w:rPr>
          <w:sz w:val="22"/>
          <w:szCs w:val="22"/>
        </w:rPr>
        <w:t>Crore</w:t>
      </w:r>
      <w:proofErr w:type="spellEnd"/>
      <w:r>
        <w:rPr>
          <w:sz w:val="22"/>
          <w:szCs w:val="22"/>
        </w:rPr>
        <w:t xml:space="preserve"> → 26.12 </w:t>
      </w:r>
      <w:proofErr w:type="spellStart"/>
      <w:r>
        <w:rPr>
          <w:sz w:val="22"/>
          <w:szCs w:val="22"/>
        </w:rPr>
        <w:t>Crore</w:t>
      </w:r>
      <w:proofErr w:type="spellEnd"/>
      <w:r>
        <w:rPr>
          <w:sz w:val="22"/>
          <w:szCs w:val="22"/>
        </w:rPr>
        <w:t xml:space="preserve"> in jus</w:t>
      </w:r>
      <w:r>
        <w:rPr>
          <w:sz w:val="22"/>
          <w:szCs w:val="22"/>
        </w:rPr>
        <w:t>t 4 years</w:t>
      </w:r>
    </w:p>
    <w:p w:rsidR="006F2F2A" w:rsidRDefault="00851FBE">
      <w:pPr>
        <w:spacing w:after="100"/>
      </w:pPr>
      <w:r>
        <w:rPr>
          <w:sz w:val="22"/>
          <w:szCs w:val="22"/>
        </w:rPr>
        <w:t>• At-Risk SIP Investors: 97.8% have transaction gaps exceeding 35 days</w:t>
      </w:r>
    </w:p>
    <w:p w:rsidR="006F2F2A" w:rsidRDefault="00851FBE">
      <w:r>
        <w:br w:type="page"/>
      </w:r>
    </w:p>
    <w:p w:rsidR="006F2F2A" w:rsidRDefault="00851FBE">
      <w:pPr>
        <w:pStyle w:val="Heading1"/>
        <w:spacing w:before="400" w:after="200"/>
      </w:pPr>
      <w:r>
        <w:lastRenderedPageBreak/>
        <w:t>2. Problem Statement</w:t>
      </w:r>
    </w:p>
    <w:p w:rsidR="006F2F2A" w:rsidRDefault="00851FBE">
      <w:pPr>
        <w:spacing w:after="150"/>
      </w:pPr>
      <w:r>
        <w:rPr>
          <w:sz w:val="22"/>
          <w:szCs w:val="22"/>
        </w:rPr>
        <w:t>Despite India'</w:t>
      </w:r>
      <w:r>
        <w:rPr>
          <w:sz w:val="22"/>
          <w:szCs w:val="22"/>
        </w:rPr>
        <w:t xml:space="preserve">s mutual fund industry managing over Rs.81 lakh </w:t>
      </w:r>
      <w:proofErr w:type="spellStart"/>
      <w:r>
        <w:rPr>
          <w:sz w:val="22"/>
          <w:szCs w:val="22"/>
        </w:rPr>
        <w:t>crore</w:t>
      </w:r>
      <w:proofErr w:type="spellEnd"/>
      <w:r>
        <w:rPr>
          <w:sz w:val="22"/>
          <w:szCs w:val="22"/>
        </w:rPr>
        <w:t xml:space="preserve"> in AUM across 1,908 schemes and 26.12 </w:t>
      </w:r>
      <w:proofErr w:type="spellStart"/>
      <w:r>
        <w:rPr>
          <w:sz w:val="22"/>
          <w:szCs w:val="22"/>
        </w:rPr>
        <w:t>crore</w:t>
      </w:r>
      <w:proofErr w:type="spellEnd"/>
      <w:r>
        <w:rPr>
          <w:sz w:val="22"/>
          <w:szCs w:val="22"/>
        </w:rPr>
        <w:t xml:space="preserve"> investor folios, individual investors and financial advisors struggle with data-driven fund selection due to five core problems:</w:t>
      </w:r>
    </w:p>
    <w:p w:rsidR="006F2F2A" w:rsidRDefault="00851FBE">
      <w:pPr>
        <w:spacing w:after="100"/>
      </w:pPr>
      <w:r>
        <w:rPr>
          <w:sz w:val="22"/>
          <w:szCs w:val="22"/>
        </w:rPr>
        <w:t>• P1: Data Fragmentation — NA</w:t>
      </w:r>
      <w:r>
        <w:rPr>
          <w:sz w:val="22"/>
          <w:szCs w:val="22"/>
        </w:rPr>
        <w:t xml:space="preserve">V, AUM, SIP and portfolio data scattered across AMFI website in different formats (TXT, PDF, </w:t>
      </w:r>
      <w:proofErr w:type="gramStart"/>
      <w:r>
        <w:rPr>
          <w:sz w:val="22"/>
          <w:szCs w:val="22"/>
        </w:rPr>
        <w:t>HTML</w:t>
      </w:r>
      <w:proofErr w:type="gramEnd"/>
      <w:r>
        <w:rPr>
          <w:sz w:val="22"/>
          <w:szCs w:val="22"/>
        </w:rPr>
        <w:t>). No unified database exists.</w:t>
      </w:r>
    </w:p>
    <w:p w:rsidR="006F2F2A" w:rsidRDefault="00851FBE">
      <w:pPr>
        <w:spacing w:after="100"/>
      </w:pPr>
      <w:r>
        <w:rPr>
          <w:sz w:val="22"/>
          <w:szCs w:val="22"/>
        </w:rPr>
        <w:t>• P2: Performance Comparison Gap — No single platform for risk-adjusted comparison across AMCs. Raw NAV data requires significan</w:t>
      </w:r>
      <w:r>
        <w:rPr>
          <w:sz w:val="22"/>
          <w:szCs w:val="22"/>
        </w:rPr>
        <w:t xml:space="preserve">t transformation to compute Sharpe, Alpha, </w:t>
      </w:r>
      <w:proofErr w:type="gramStart"/>
      <w:r>
        <w:rPr>
          <w:sz w:val="22"/>
          <w:szCs w:val="22"/>
        </w:rPr>
        <w:t>Beta</w:t>
      </w:r>
      <w:proofErr w:type="gramEnd"/>
      <w:r>
        <w:rPr>
          <w:sz w:val="22"/>
          <w:szCs w:val="22"/>
        </w:rPr>
        <w:t>.</w:t>
      </w:r>
    </w:p>
    <w:p w:rsidR="006F2F2A" w:rsidRDefault="00851FBE">
      <w:pPr>
        <w:spacing w:after="100"/>
      </w:pPr>
      <w:r>
        <w:rPr>
          <w:sz w:val="22"/>
          <w:szCs w:val="22"/>
        </w:rPr>
        <w:t>• P3: No Benchmark Tracking — Retail investors unaware whether their fund outperforms Nifty 50/100. Tracking error requires both NAV and benchmark index data.</w:t>
      </w:r>
    </w:p>
    <w:p w:rsidR="006F2F2A" w:rsidRDefault="00851FBE">
      <w:pPr>
        <w:spacing w:after="100"/>
      </w:pPr>
      <w:r>
        <w:rPr>
          <w:sz w:val="22"/>
          <w:szCs w:val="22"/>
        </w:rPr>
        <w:t>• P4: Investor Behaviour Blind Spot — Limited vi</w:t>
      </w:r>
      <w:r>
        <w:rPr>
          <w:sz w:val="22"/>
          <w:szCs w:val="22"/>
        </w:rPr>
        <w:t>sibility into demographic and geographic SIP patterns across T30 and B30 cities.</w:t>
      </w:r>
    </w:p>
    <w:p w:rsidR="006F2F2A" w:rsidRDefault="00851FBE">
      <w:pPr>
        <w:spacing w:after="100"/>
      </w:pPr>
      <w:r>
        <w:rPr>
          <w:sz w:val="22"/>
          <w:szCs w:val="22"/>
        </w:rPr>
        <w:t>• P5: Slow Reporting — Static monthly PDFs replaced by live self-service dashboards with drill-down capability.</w:t>
      </w:r>
    </w:p>
    <w:p w:rsidR="006F2F2A" w:rsidRDefault="00851FBE">
      <w:r>
        <w:br w:type="page"/>
      </w:r>
    </w:p>
    <w:p w:rsidR="006F2F2A" w:rsidRDefault="00851FBE">
      <w:pPr>
        <w:pStyle w:val="Heading1"/>
        <w:spacing w:before="400" w:after="200"/>
      </w:pPr>
      <w:r>
        <w:lastRenderedPageBreak/>
        <w:t>3. Data Sources &amp; Datasets</w:t>
      </w:r>
    </w:p>
    <w:p w:rsidR="006F2F2A" w:rsidRDefault="00851FBE">
      <w:pPr>
        <w:spacing w:after="150"/>
      </w:pPr>
      <w:r>
        <w:rPr>
          <w:sz w:val="22"/>
          <w:szCs w:val="22"/>
        </w:rPr>
        <w:t>All data sourced from publicly ava</w:t>
      </w:r>
      <w:r>
        <w:rPr>
          <w:sz w:val="22"/>
          <w:szCs w:val="22"/>
        </w:rPr>
        <w:t>ilable AMFI India, mfapi.in, NSE and BSE sources. 10 pre-provided datasets plus 6 live-fetched NAV CSVs from the mfapi.in REST API.</w:t>
      </w:r>
    </w:p>
    <w:p w:rsidR="006F2F2A" w:rsidRDefault="006F2F2A">
      <w:pPr>
        <w:spacing w:after="2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1200"/>
        <w:gridCol w:w="2800"/>
      </w:tblGrid>
      <w:tr w:rsidR="006F2F2A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3864"/>
          </w:tcPr>
          <w:p w:rsidR="006F2F2A" w:rsidRDefault="00851FBE">
            <w:r>
              <w:rPr>
                <w:b/>
                <w:bCs/>
                <w:color w:val="FFFFFF"/>
              </w:rPr>
              <w:t>Dataset</w:t>
            </w:r>
          </w:p>
        </w:tc>
        <w:tc>
          <w:tcPr>
            <w:tcW w:w="2800" w:type="dxa"/>
            <w:shd w:val="clear" w:color="auto" w:fill="1F3864"/>
          </w:tcPr>
          <w:p w:rsidR="006F2F2A" w:rsidRDefault="00851FBE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200" w:type="dxa"/>
            <w:shd w:val="clear" w:color="auto" w:fill="1F3864"/>
          </w:tcPr>
          <w:p w:rsidR="006F2F2A" w:rsidRDefault="00851FBE">
            <w:r>
              <w:rPr>
                <w:b/>
                <w:bCs/>
                <w:color w:val="FFFFFF"/>
              </w:rPr>
              <w:t>Rows</w:t>
            </w:r>
          </w:p>
        </w:tc>
        <w:tc>
          <w:tcPr>
            <w:tcW w:w="2800" w:type="dxa"/>
            <w:shd w:val="clear" w:color="auto" w:fill="1F3864"/>
          </w:tcPr>
          <w:p w:rsidR="006F2F2A" w:rsidRDefault="00851FBE">
            <w:r>
              <w:rPr>
                <w:b/>
                <w:bCs/>
                <w:color w:val="FFFFFF"/>
              </w:rPr>
              <w:t>Source</w:t>
            </w:r>
          </w:p>
        </w:tc>
      </w:tr>
      <w:tr w:rsidR="006F2F2A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01_fund_master.csv</w:t>
            </w:r>
          </w:p>
        </w:tc>
        <w:tc>
          <w:tcPr>
            <w:tcW w:w="28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40 MF schemes master list</w:t>
            </w:r>
          </w:p>
        </w:tc>
        <w:tc>
          <w:tcPr>
            <w:tcW w:w="12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40</w:t>
            </w:r>
          </w:p>
        </w:tc>
        <w:tc>
          <w:tcPr>
            <w:tcW w:w="28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AMFI India</w:t>
            </w:r>
          </w:p>
        </w:tc>
      </w:tr>
      <w:tr w:rsidR="006F2F2A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>02_nav_history.csv</w:t>
            </w:r>
          </w:p>
        </w:tc>
        <w:tc>
          <w:tcPr>
            <w:tcW w:w="28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>Daily NAV 2022–2026</w:t>
            </w:r>
          </w:p>
        </w:tc>
        <w:tc>
          <w:tcPr>
            <w:tcW w:w="12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>46,000</w:t>
            </w:r>
          </w:p>
        </w:tc>
        <w:tc>
          <w:tcPr>
            <w:tcW w:w="28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>mfapi.in</w:t>
            </w:r>
          </w:p>
        </w:tc>
      </w:tr>
      <w:tr w:rsidR="006F2F2A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03_aum_by_fund_house.csv</w:t>
            </w:r>
          </w:p>
        </w:tc>
        <w:tc>
          <w:tcPr>
            <w:tcW w:w="28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Quarterly AUM — 10 AMCs</w:t>
            </w:r>
          </w:p>
        </w:tc>
        <w:tc>
          <w:tcPr>
            <w:tcW w:w="12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90</w:t>
            </w:r>
          </w:p>
        </w:tc>
        <w:tc>
          <w:tcPr>
            <w:tcW w:w="28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AMFI Quarterly</w:t>
            </w:r>
          </w:p>
        </w:tc>
      </w:tr>
      <w:tr w:rsidR="006F2F2A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>04_monthly_sip_inflows.csv</w:t>
            </w:r>
          </w:p>
        </w:tc>
        <w:tc>
          <w:tcPr>
            <w:tcW w:w="28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>Monthly SIP data</w:t>
            </w:r>
          </w:p>
        </w:tc>
        <w:tc>
          <w:tcPr>
            <w:tcW w:w="12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>36</w:t>
            </w:r>
          </w:p>
        </w:tc>
        <w:tc>
          <w:tcPr>
            <w:tcW w:w="28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>AMFI Monthly Note</w:t>
            </w:r>
          </w:p>
        </w:tc>
      </w:tr>
      <w:tr w:rsidR="006F2F2A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05_category_inflows.csv</w:t>
            </w:r>
          </w:p>
        </w:tc>
        <w:tc>
          <w:tcPr>
            <w:tcW w:w="28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Net inflows by category</w:t>
            </w:r>
          </w:p>
        </w:tc>
        <w:tc>
          <w:tcPr>
            <w:tcW w:w="12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144</w:t>
            </w:r>
          </w:p>
        </w:tc>
        <w:tc>
          <w:tcPr>
            <w:tcW w:w="28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AMFI</w:t>
            </w:r>
          </w:p>
        </w:tc>
      </w:tr>
      <w:tr w:rsidR="006F2F2A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>06_industry_folio_count.csv</w:t>
            </w:r>
          </w:p>
        </w:tc>
        <w:tc>
          <w:tcPr>
            <w:tcW w:w="28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>Folio growth data</w:t>
            </w:r>
          </w:p>
        </w:tc>
        <w:tc>
          <w:tcPr>
            <w:tcW w:w="12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>21</w:t>
            </w:r>
          </w:p>
        </w:tc>
        <w:tc>
          <w:tcPr>
            <w:tcW w:w="28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>AMFI</w:t>
            </w:r>
          </w:p>
        </w:tc>
      </w:tr>
      <w:tr w:rsidR="006F2F2A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07_scheme_performance.csv</w:t>
            </w:r>
          </w:p>
        </w:tc>
        <w:tc>
          <w:tcPr>
            <w:tcW w:w="28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Risk-return metrics</w:t>
            </w:r>
          </w:p>
        </w:tc>
        <w:tc>
          <w:tcPr>
            <w:tcW w:w="12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40</w:t>
            </w:r>
          </w:p>
        </w:tc>
        <w:tc>
          <w:tcPr>
            <w:tcW w:w="28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Computed</w:t>
            </w:r>
          </w:p>
        </w:tc>
      </w:tr>
      <w:tr w:rsidR="006F2F2A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>08_investor_transactions.csv</w:t>
            </w:r>
          </w:p>
        </w:tc>
        <w:tc>
          <w:tcPr>
            <w:tcW w:w="28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>SIP/</w:t>
            </w:r>
            <w:proofErr w:type="spellStart"/>
            <w:r>
              <w:rPr>
                <w:sz w:val="18"/>
                <w:szCs w:val="18"/>
              </w:rPr>
              <w:t>Lumpsum</w:t>
            </w:r>
            <w:proofErr w:type="spellEnd"/>
            <w:r>
              <w:rPr>
                <w:sz w:val="18"/>
                <w:szCs w:val="18"/>
              </w:rPr>
              <w:t>/Redemption</w:t>
            </w:r>
          </w:p>
        </w:tc>
        <w:tc>
          <w:tcPr>
            <w:tcW w:w="12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>32,778</w:t>
            </w:r>
          </w:p>
        </w:tc>
        <w:tc>
          <w:tcPr>
            <w:tcW w:w="28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>Simulated</w:t>
            </w:r>
          </w:p>
        </w:tc>
      </w:tr>
      <w:tr w:rsidR="006F2F2A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09_portfolio_holdings.csv</w:t>
            </w:r>
          </w:p>
        </w:tc>
        <w:tc>
          <w:tcPr>
            <w:tcW w:w="28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Top equity holdings</w:t>
            </w:r>
          </w:p>
        </w:tc>
        <w:tc>
          <w:tcPr>
            <w:tcW w:w="12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322</w:t>
            </w:r>
          </w:p>
        </w:tc>
        <w:tc>
          <w:tcPr>
            <w:tcW w:w="28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AMFI</w:t>
            </w:r>
          </w:p>
        </w:tc>
      </w:tr>
      <w:tr w:rsidR="006F2F2A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>10_benchmark_indices.csv</w:t>
            </w:r>
          </w:p>
        </w:tc>
        <w:tc>
          <w:tcPr>
            <w:tcW w:w="28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>Nifty/BSE index data</w:t>
            </w:r>
          </w:p>
        </w:tc>
        <w:tc>
          <w:tcPr>
            <w:tcW w:w="12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>8,050</w:t>
            </w:r>
          </w:p>
        </w:tc>
        <w:tc>
          <w:tcPr>
            <w:tcW w:w="28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>NSE/BSE</w:t>
            </w:r>
          </w:p>
        </w:tc>
      </w:tr>
    </w:tbl>
    <w:p w:rsidR="006F2F2A" w:rsidRDefault="00851FBE">
      <w:r>
        <w:br w:type="page"/>
      </w:r>
    </w:p>
    <w:p w:rsidR="006F2F2A" w:rsidRDefault="00851FBE">
      <w:pPr>
        <w:pStyle w:val="Heading1"/>
        <w:spacing w:before="400" w:after="200"/>
      </w:pPr>
      <w:r>
        <w:lastRenderedPageBreak/>
        <w:t>4. ETL Pipeline &amp; System Architecture</w:t>
      </w:r>
    </w:p>
    <w:p w:rsidR="006F2F2A" w:rsidRDefault="00851FBE">
      <w:pPr>
        <w:spacing w:after="150"/>
      </w:pPr>
      <w:r>
        <w:rPr>
          <w:sz w:val="22"/>
          <w:szCs w:val="22"/>
        </w:rPr>
        <w:t xml:space="preserve">The project follows a classic 5-layer data engineering architecture mirroring real-world </w:t>
      </w:r>
      <w:proofErr w:type="spellStart"/>
      <w:r>
        <w:rPr>
          <w:sz w:val="22"/>
          <w:szCs w:val="22"/>
        </w:rPr>
        <w:t>fintech</w:t>
      </w:r>
      <w:proofErr w:type="spellEnd"/>
      <w:r>
        <w:rPr>
          <w:sz w:val="22"/>
          <w:szCs w:val="22"/>
        </w:rPr>
        <w:t xml:space="preserve"> pipelines used at companies like </w:t>
      </w:r>
      <w:proofErr w:type="spellStart"/>
      <w:r>
        <w:rPr>
          <w:sz w:val="22"/>
          <w:szCs w:val="22"/>
        </w:rPr>
        <w:t>Zerodha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Groww</w:t>
      </w:r>
      <w:proofErr w:type="spellEnd"/>
      <w:r>
        <w:rPr>
          <w:sz w:val="22"/>
          <w:szCs w:val="22"/>
        </w:rPr>
        <w:t xml:space="preserve"> and </w:t>
      </w:r>
      <w:proofErr w:type="spellStart"/>
      <w:r>
        <w:rPr>
          <w:sz w:val="22"/>
          <w:szCs w:val="22"/>
        </w:rPr>
        <w:t>Paytm</w:t>
      </w:r>
      <w:proofErr w:type="spellEnd"/>
      <w:r>
        <w:rPr>
          <w:sz w:val="22"/>
          <w:szCs w:val="22"/>
        </w:rPr>
        <w:t xml:space="preserve"> Money:</w:t>
      </w:r>
    </w:p>
    <w:p w:rsidR="006F2F2A" w:rsidRDefault="00851FBE">
      <w:pPr>
        <w:spacing w:after="100"/>
      </w:pPr>
      <w:r>
        <w:rPr>
          <w:sz w:val="22"/>
          <w:szCs w:val="22"/>
        </w:rPr>
        <w:t>• Layer 1 — Extract: Loaded 10 pre-provided CSVs + fetched live NAV from mfapi.in REST API for 6 schemes using Python Requests library</w:t>
      </w:r>
    </w:p>
    <w:p w:rsidR="006F2F2A" w:rsidRDefault="00851FBE">
      <w:pPr>
        <w:spacing w:after="100"/>
      </w:pPr>
      <w:r>
        <w:rPr>
          <w:sz w:val="22"/>
          <w:szCs w:val="22"/>
        </w:rPr>
        <w:t xml:space="preserve">• Layer 2 — Transform: Cleaned all 10 datasets — parsed dates to </w:t>
      </w:r>
      <w:proofErr w:type="spellStart"/>
      <w:r>
        <w:rPr>
          <w:sz w:val="22"/>
          <w:szCs w:val="22"/>
        </w:rPr>
        <w:t>datetime</w:t>
      </w:r>
      <w:proofErr w:type="spellEnd"/>
      <w:r>
        <w:rPr>
          <w:sz w:val="22"/>
          <w:szCs w:val="22"/>
        </w:rPr>
        <w:t>, forward-filled weekend/holiday NAV gaps, remov</w:t>
      </w:r>
      <w:r>
        <w:rPr>
          <w:sz w:val="22"/>
          <w:szCs w:val="22"/>
        </w:rPr>
        <w:t>ed duplicates, converted data types, validated AMFI codes against master list</w:t>
      </w:r>
    </w:p>
    <w:p w:rsidR="006F2F2A" w:rsidRDefault="00851FBE">
      <w:pPr>
        <w:spacing w:after="100"/>
      </w:pPr>
      <w:r>
        <w:rPr>
          <w:sz w:val="22"/>
          <w:szCs w:val="22"/>
        </w:rPr>
        <w:t xml:space="preserve">• Layer 3 — Load: Designed 8-table SQLite star schema and loaded all cleaned data using </w:t>
      </w:r>
      <w:proofErr w:type="spellStart"/>
      <w:r>
        <w:rPr>
          <w:sz w:val="22"/>
          <w:szCs w:val="22"/>
        </w:rPr>
        <w:t>SQLAlchemy</w:t>
      </w:r>
      <w:proofErr w:type="spellEnd"/>
      <w:r>
        <w:rPr>
          <w:sz w:val="22"/>
          <w:szCs w:val="22"/>
        </w:rPr>
        <w:t xml:space="preserve"> ORM</w:t>
      </w:r>
    </w:p>
    <w:p w:rsidR="006F2F2A" w:rsidRDefault="00851FBE">
      <w:pPr>
        <w:spacing w:after="100"/>
      </w:pPr>
      <w:r>
        <w:rPr>
          <w:sz w:val="22"/>
          <w:szCs w:val="22"/>
        </w:rPr>
        <w:t xml:space="preserve">• Layer 4 — </w:t>
      </w:r>
      <w:proofErr w:type="gramStart"/>
      <w:r>
        <w:rPr>
          <w:sz w:val="22"/>
          <w:szCs w:val="22"/>
        </w:rPr>
        <w:t>Analyse</w:t>
      </w:r>
      <w:proofErr w:type="gramEnd"/>
      <w:r>
        <w:rPr>
          <w:sz w:val="22"/>
          <w:szCs w:val="22"/>
        </w:rPr>
        <w:t xml:space="preserve">: Computed CAGR, Sharpe, </w:t>
      </w:r>
      <w:proofErr w:type="spellStart"/>
      <w:r>
        <w:rPr>
          <w:sz w:val="22"/>
          <w:szCs w:val="22"/>
        </w:rPr>
        <w:t>Sortino</w:t>
      </w:r>
      <w:proofErr w:type="spellEnd"/>
      <w:r>
        <w:rPr>
          <w:sz w:val="22"/>
          <w:szCs w:val="22"/>
        </w:rPr>
        <w:t xml:space="preserve">, Alpha, Beta, </w:t>
      </w:r>
      <w:proofErr w:type="spellStart"/>
      <w:r>
        <w:rPr>
          <w:sz w:val="22"/>
          <w:szCs w:val="22"/>
        </w:rPr>
        <w:t>VaR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CVaR</w:t>
      </w:r>
      <w:proofErr w:type="spellEnd"/>
      <w:r>
        <w:rPr>
          <w:sz w:val="22"/>
          <w:szCs w:val="22"/>
        </w:rPr>
        <w:t xml:space="preserve">, Max Drawdown across 40 schemes in </w:t>
      </w:r>
      <w:proofErr w:type="spellStart"/>
      <w:r>
        <w:rPr>
          <w:sz w:val="22"/>
          <w:szCs w:val="22"/>
        </w:rPr>
        <w:t>Jupyter</w:t>
      </w:r>
      <w:proofErr w:type="spellEnd"/>
      <w:r>
        <w:rPr>
          <w:sz w:val="22"/>
          <w:szCs w:val="22"/>
        </w:rPr>
        <w:t xml:space="preserve"> notebooks</w:t>
      </w:r>
    </w:p>
    <w:p w:rsidR="006F2F2A" w:rsidRDefault="00851FBE">
      <w:pPr>
        <w:spacing w:after="100"/>
      </w:pPr>
      <w:r>
        <w:rPr>
          <w:sz w:val="22"/>
          <w:szCs w:val="22"/>
        </w:rPr>
        <w:t xml:space="preserve">• Layer 5 — </w:t>
      </w:r>
      <w:proofErr w:type="gramStart"/>
      <w:r>
        <w:rPr>
          <w:sz w:val="22"/>
          <w:szCs w:val="22"/>
        </w:rPr>
        <w:t>Visualise</w:t>
      </w:r>
      <w:proofErr w:type="gramEnd"/>
      <w:r>
        <w:rPr>
          <w:sz w:val="22"/>
          <w:szCs w:val="22"/>
        </w:rPr>
        <w:t>: Built 4-page interactive Power BI dashboard with slicers, KPI cards and drill-down capability</w:t>
      </w:r>
    </w:p>
    <w:p w:rsidR="006F2F2A" w:rsidRDefault="00851FBE">
      <w:pPr>
        <w:pStyle w:val="Heading2"/>
        <w:spacing w:before="300" w:after="150"/>
      </w:pPr>
      <w:r>
        <w:t>4.1 Database Schema (Star Schema)</w:t>
      </w:r>
    </w:p>
    <w:p w:rsidR="006F2F2A" w:rsidRDefault="006F2F2A">
      <w:pPr>
        <w:spacing w:after="15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1200"/>
        <w:gridCol w:w="4200"/>
      </w:tblGrid>
      <w:tr w:rsidR="006F2F2A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3864"/>
          </w:tcPr>
          <w:p w:rsidR="006F2F2A" w:rsidRDefault="00851FBE">
            <w:r>
              <w:rPr>
                <w:b/>
                <w:bCs/>
                <w:color w:val="FFFFFF"/>
              </w:rPr>
              <w:t>Table</w:t>
            </w:r>
          </w:p>
        </w:tc>
        <w:tc>
          <w:tcPr>
            <w:tcW w:w="1400" w:type="dxa"/>
            <w:shd w:val="clear" w:color="auto" w:fill="1F3864"/>
          </w:tcPr>
          <w:p w:rsidR="006F2F2A" w:rsidRDefault="00851FBE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1200" w:type="dxa"/>
            <w:shd w:val="clear" w:color="auto" w:fill="1F3864"/>
          </w:tcPr>
          <w:p w:rsidR="006F2F2A" w:rsidRDefault="00851FBE">
            <w:r>
              <w:rPr>
                <w:b/>
                <w:bCs/>
                <w:color w:val="FFFFFF"/>
              </w:rPr>
              <w:t>Rows</w:t>
            </w:r>
          </w:p>
        </w:tc>
        <w:tc>
          <w:tcPr>
            <w:tcW w:w="4200" w:type="dxa"/>
            <w:shd w:val="clear" w:color="auto" w:fill="1F3864"/>
          </w:tcPr>
          <w:p w:rsidR="006F2F2A" w:rsidRDefault="00851FBE">
            <w:r>
              <w:rPr>
                <w:b/>
                <w:bCs/>
                <w:color w:val="FFFFFF"/>
              </w:rPr>
              <w:t>Key Columns</w:t>
            </w:r>
          </w:p>
        </w:tc>
      </w:tr>
      <w:tr w:rsidR="006F2F2A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BF3FB"/>
          </w:tcPr>
          <w:p w:rsidR="006F2F2A" w:rsidRDefault="00851FBE">
            <w:proofErr w:type="spellStart"/>
            <w:r>
              <w:rPr>
                <w:sz w:val="18"/>
                <w:szCs w:val="18"/>
              </w:rPr>
              <w:t>dim_fund</w:t>
            </w:r>
            <w:proofErr w:type="spellEnd"/>
          </w:p>
        </w:tc>
        <w:tc>
          <w:tcPr>
            <w:tcW w:w="14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Dimension</w:t>
            </w:r>
          </w:p>
        </w:tc>
        <w:tc>
          <w:tcPr>
            <w:tcW w:w="12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40</w:t>
            </w:r>
          </w:p>
        </w:tc>
        <w:tc>
          <w:tcPr>
            <w:tcW w:w="4200" w:type="dxa"/>
            <w:shd w:val="clear" w:color="auto" w:fill="EBF3FB"/>
          </w:tcPr>
          <w:p w:rsidR="006F2F2A" w:rsidRDefault="00851FBE">
            <w:proofErr w:type="spellStart"/>
            <w:r>
              <w:rPr>
                <w:sz w:val="18"/>
                <w:szCs w:val="18"/>
              </w:rPr>
              <w:t>amfi_code</w:t>
            </w:r>
            <w:proofErr w:type="spellEnd"/>
            <w:r>
              <w:rPr>
                <w:sz w:val="18"/>
                <w:szCs w:val="18"/>
              </w:rPr>
              <w:t xml:space="preserve"> (PK), </w:t>
            </w:r>
            <w:proofErr w:type="spellStart"/>
            <w:r>
              <w:rPr>
                <w:sz w:val="18"/>
                <w:szCs w:val="18"/>
              </w:rPr>
              <w:t>fund_house</w:t>
            </w:r>
            <w:proofErr w:type="spellEnd"/>
            <w:r>
              <w:rPr>
                <w:sz w:val="18"/>
                <w:szCs w:val="18"/>
              </w:rPr>
              <w:t xml:space="preserve">, category, </w:t>
            </w:r>
            <w:proofErr w:type="spellStart"/>
            <w:r>
              <w:rPr>
                <w:sz w:val="18"/>
                <w:szCs w:val="18"/>
              </w:rPr>
              <w:t>expense_ratio</w:t>
            </w:r>
            <w:proofErr w:type="spellEnd"/>
          </w:p>
        </w:tc>
      </w:tr>
      <w:tr w:rsidR="006F2F2A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:rsidR="006F2F2A" w:rsidRDefault="00851FBE">
            <w:proofErr w:type="spellStart"/>
            <w:r>
              <w:rPr>
                <w:sz w:val="18"/>
                <w:szCs w:val="18"/>
              </w:rPr>
              <w:t>dim_date</w:t>
            </w:r>
            <w:proofErr w:type="spellEnd"/>
          </w:p>
        </w:tc>
        <w:tc>
          <w:tcPr>
            <w:tcW w:w="14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>Dimension</w:t>
            </w:r>
          </w:p>
        </w:tc>
        <w:tc>
          <w:tcPr>
            <w:tcW w:w="12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>1,612</w:t>
            </w:r>
          </w:p>
        </w:tc>
        <w:tc>
          <w:tcPr>
            <w:tcW w:w="4200" w:type="dxa"/>
            <w:shd w:val="clear" w:color="auto" w:fill="FFFFFF"/>
          </w:tcPr>
          <w:p w:rsidR="006F2F2A" w:rsidRDefault="00851FBE">
            <w:proofErr w:type="spellStart"/>
            <w:r>
              <w:rPr>
                <w:sz w:val="18"/>
                <w:szCs w:val="18"/>
              </w:rPr>
              <w:t>date_id</w:t>
            </w:r>
            <w:proofErr w:type="spellEnd"/>
            <w:r>
              <w:rPr>
                <w:sz w:val="18"/>
                <w:szCs w:val="18"/>
              </w:rPr>
              <w:t xml:space="preserve"> (PK), date, year, month, quarter, </w:t>
            </w:r>
            <w:proofErr w:type="spellStart"/>
            <w:r>
              <w:rPr>
                <w:sz w:val="18"/>
                <w:szCs w:val="18"/>
              </w:rPr>
              <w:t>is_weekday</w:t>
            </w:r>
            <w:proofErr w:type="spellEnd"/>
          </w:p>
        </w:tc>
      </w:tr>
      <w:tr w:rsidR="006F2F2A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BF3FB"/>
          </w:tcPr>
          <w:p w:rsidR="006F2F2A" w:rsidRDefault="00851FBE">
            <w:proofErr w:type="spellStart"/>
            <w:r>
              <w:rPr>
                <w:sz w:val="18"/>
                <w:szCs w:val="18"/>
              </w:rPr>
              <w:t>fact_nav</w:t>
            </w:r>
            <w:proofErr w:type="spellEnd"/>
          </w:p>
        </w:tc>
        <w:tc>
          <w:tcPr>
            <w:tcW w:w="14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Fact</w:t>
            </w:r>
          </w:p>
        </w:tc>
        <w:tc>
          <w:tcPr>
            <w:tcW w:w="12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46,000</w:t>
            </w:r>
          </w:p>
        </w:tc>
        <w:tc>
          <w:tcPr>
            <w:tcW w:w="4200" w:type="dxa"/>
            <w:shd w:val="clear" w:color="auto" w:fill="EBF3FB"/>
          </w:tcPr>
          <w:p w:rsidR="006F2F2A" w:rsidRDefault="00851FBE">
            <w:proofErr w:type="spellStart"/>
            <w:r>
              <w:rPr>
                <w:sz w:val="18"/>
                <w:szCs w:val="18"/>
              </w:rPr>
              <w:t>amfi_code</w:t>
            </w:r>
            <w:proofErr w:type="spellEnd"/>
            <w:r>
              <w:rPr>
                <w:sz w:val="18"/>
                <w:szCs w:val="18"/>
              </w:rPr>
              <w:t xml:space="preserve"> (FK), date, </w:t>
            </w:r>
            <w:proofErr w:type="spellStart"/>
            <w:r>
              <w:rPr>
                <w:sz w:val="18"/>
                <w:szCs w:val="18"/>
              </w:rPr>
              <w:t>nav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daily_return_pct</w:t>
            </w:r>
            <w:proofErr w:type="spellEnd"/>
          </w:p>
        </w:tc>
      </w:tr>
      <w:tr w:rsidR="006F2F2A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:rsidR="006F2F2A" w:rsidRDefault="00851FBE">
            <w:proofErr w:type="spellStart"/>
            <w:r>
              <w:rPr>
                <w:sz w:val="18"/>
                <w:szCs w:val="18"/>
              </w:rPr>
              <w:t>fact_transactions</w:t>
            </w:r>
            <w:proofErr w:type="spellEnd"/>
          </w:p>
        </w:tc>
        <w:tc>
          <w:tcPr>
            <w:tcW w:w="14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>Fact</w:t>
            </w:r>
          </w:p>
        </w:tc>
        <w:tc>
          <w:tcPr>
            <w:tcW w:w="12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>32,778</w:t>
            </w:r>
          </w:p>
        </w:tc>
        <w:tc>
          <w:tcPr>
            <w:tcW w:w="4200" w:type="dxa"/>
            <w:shd w:val="clear" w:color="auto" w:fill="FFFFFF"/>
          </w:tcPr>
          <w:p w:rsidR="006F2F2A" w:rsidRDefault="00851FBE">
            <w:proofErr w:type="spellStart"/>
            <w:r>
              <w:rPr>
                <w:sz w:val="18"/>
                <w:szCs w:val="18"/>
              </w:rPr>
              <w:t>tx_id</w:t>
            </w:r>
            <w:proofErr w:type="spellEnd"/>
            <w:r>
              <w:rPr>
                <w:sz w:val="18"/>
                <w:szCs w:val="18"/>
              </w:rPr>
              <w:t xml:space="preserve"> (PK), </w:t>
            </w:r>
            <w:proofErr w:type="spellStart"/>
            <w:r>
              <w:rPr>
                <w:sz w:val="18"/>
                <w:szCs w:val="18"/>
              </w:rPr>
              <w:t>investor_id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amfi_code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amount_inr</w:t>
            </w:r>
            <w:proofErr w:type="spellEnd"/>
          </w:p>
        </w:tc>
      </w:tr>
      <w:tr w:rsidR="006F2F2A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BF3FB"/>
          </w:tcPr>
          <w:p w:rsidR="006F2F2A" w:rsidRDefault="00851FBE">
            <w:proofErr w:type="spellStart"/>
            <w:r>
              <w:rPr>
                <w:sz w:val="18"/>
                <w:szCs w:val="18"/>
              </w:rPr>
              <w:t>fact_performance</w:t>
            </w:r>
            <w:proofErr w:type="spellEnd"/>
          </w:p>
        </w:tc>
        <w:tc>
          <w:tcPr>
            <w:tcW w:w="14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Fact</w:t>
            </w:r>
          </w:p>
        </w:tc>
        <w:tc>
          <w:tcPr>
            <w:tcW w:w="12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40</w:t>
            </w:r>
          </w:p>
        </w:tc>
        <w:tc>
          <w:tcPr>
            <w:tcW w:w="4200" w:type="dxa"/>
            <w:shd w:val="clear" w:color="auto" w:fill="EBF3FB"/>
          </w:tcPr>
          <w:p w:rsidR="006F2F2A" w:rsidRDefault="00851FBE">
            <w:proofErr w:type="spellStart"/>
            <w:r>
              <w:rPr>
                <w:sz w:val="18"/>
                <w:szCs w:val="18"/>
              </w:rPr>
              <w:t>amfi_code</w:t>
            </w:r>
            <w:proofErr w:type="spellEnd"/>
            <w:r>
              <w:rPr>
                <w:sz w:val="18"/>
                <w:szCs w:val="18"/>
              </w:rPr>
              <w:t xml:space="preserve"> (FK), </w:t>
            </w:r>
            <w:proofErr w:type="spellStart"/>
            <w:r>
              <w:rPr>
                <w:sz w:val="18"/>
                <w:szCs w:val="18"/>
              </w:rPr>
              <w:t>sharpe</w:t>
            </w:r>
            <w:proofErr w:type="spellEnd"/>
            <w:r>
              <w:rPr>
                <w:sz w:val="18"/>
                <w:szCs w:val="18"/>
              </w:rPr>
              <w:t xml:space="preserve">, alpha, beta, </w:t>
            </w:r>
            <w:proofErr w:type="spellStart"/>
            <w:r>
              <w:rPr>
                <w:sz w:val="18"/>
                <w:szCs w:val="18"/>
              </w:rPr>
              <w:t>max_drawdown</w:t>
            </w:r>
            <w:proofErr w:type="spellEnd"/>
          </w:p>
        </w:tc>
      </w:tr>
      <w:tr w:rsidR="006F2F2A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:rsidR="006F2F2A" w:rsidRDefault="00851FBE">
            <w:proofErr w:type="spellStart"/>
            <w:r>
              <w:rPr>
                <w:sz w:val="18"/>
                <w:szCs w:val="18"/>
              </w:rPr>
              <w:t>fact_aum</w:t>
            </w:r>
            <w:proofErr w:type="spellEnd"/>
          </w:p>
        </w:tc>
        <w:tc>
          <w:tcPr>
            <w:tcW w:w="14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>Fact</w:t>
            </w:r>
          </w:p>
        </w:tc>
        <w:tc>
          <w:tcPr>
            <w:tcW w:w="12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>90</w:t>
            </w:r>
          </w:p>
        </w:tc>
        <w:tc>
          <w:tcPr>
            <w:tcW w:w="4200" w:type="dxa"/>
            <w:shd w:val="clear" w:color="auto" w:fill="FFFFFF"/>
          </w:tcPr>
          <w:p w:rsidR="006F2F2A" w:rsidRDefault="00851FBE">
            <w:proofErr w:type="spellStart"/>
            <w:r>
              <w:rPr>
                <w:sz w:val="18"/>
                <w:szCs w:val="18"/>
              </w:rPr>
              <w:t>fund_house</w:t>
            </w:r>
            <w:proofErr w:type="spellEnd"/>
            <w:r>
              <w:rPr>
                <w:sz w:val="18"/>
                <w:szCs w:val="18"/>
              </w:rPr>
              <w:t xml:space="preserve">, date, </w:t>
            </w:r>
            <w:proofErr w:type="spellStart"/>
            <w:r>
              <w:rPr>
                <w:sz w:val="18"/>
                <w:szCs w:val="18"/>
              </w:rPr>
              <w:t>aum_lakh_crore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aum_crore</w:t>
            </w:r>
            <w:proofErr w:type="spellEnd"/>
          </w:p>
        </w:tc>
      </w:tr>
      <w:tr w:rsidR="006F2F2A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BF3FB"/>
          </w:tcPr>
          <w:p w:rsidR="006F2F2A" w:rsidRDefault="00851FBE">
            <w:proofErr w:type="spellStart"/>
            <w:r>
              <w:rPr>
                <w:sz w:val="18"/>
                <w:szCs w:val="18"/>
              </w:rPr>
              <w:t>fact_sip_industry</w:t>
            </w:r>
            <w:proofErr w:type="spellEnd"/>
          </w:p>
        </w:tc>
        <w:tc>
          <w:tcPr>
            <w:tcW w:w="14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Fact</w:t>
            </w:r>
          </w:p>
        </w:tc>
        <w:tc>
          <w:tcPr>
            <w:tcW w:w="12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36</w:t>
            </w:r>
          </w:p>
        </w:tc>
        <w:tc>
          <w:tcPr>
            <w:tcW w:w="42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 xml:space="preserve">month, </w:t>
            </w:r>
            <w:proofErr w:type="spellStart"/>
            <w:r>
              <w:rPr>
                <w:sz w:val="18"/>
                <w:szCs w:val="18"/>
              </w:rPr>
              <w:t>sip_inflow_crore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active_sip_accounts_crore</w:t>
            </w:r>
            <w:proofErr w:type="spellEnd"/>
          </w:p>
        </w:tc>
      </w:tr>
      <w:tr w:rsidR="006F2F2A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:rsidR="006F2F2A" w:rsidRDefault="00851FBE">
            <w:proofErr w:type="spellStart"/>
            <w:r>
              <w:rPr>
                <w:sz w:val="18"/>
                <w:szCs w:val="18"/>
              </w:rPr>
              <w:t>fact_portfolio</w:t>
            </w:r>
            <w:proofErr w:type="spellEnd"/>
          </w:p>
        </w:tc>
        <w:tc>
          <w:tcPr>
            <w:tcW w:w="14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>Fact</w:t>
            </w:r>
          </w:p>
        </w:tc>
        <w:tc>
          <w:tcPr>
            <w:tcW w:w="12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>322</w:t>
            </w:r>
          </w:p>
        </w:tc>
        <w:tc>
          <w:tcPr>
            <w:tcW w:w="4200" w:type="dxa"/>
            <w:shd w:val="clear" w:color="auto" w:fill="FFFFFF"/>
          </w:tcPr>
          <w:p w:rsidR="006F2F2A" w:rsidRDefault="00851FBE">
            <w:proofErr w:type="spellStart"/>
            <w:r>
              <w:rPr>
                <w:sz w:val="18"/>
                <w:szCs w:val="18"/>
              </w:rPr>
              <w:t>amfi_code</w:t>
            </w:r>
            <w:proofErr w:type="spellEnd"/>
            <w:r>
              <w:rPr>
                <w:sz w:val="18"/>
                <w:szCs w:val="18"/>
              </w:rPr>
              <w:t xml:space="preserve"> (FK), </w:t>
            </w:r>
            <w:proofErr w:type="spellStart"/>
            <w:r>
              <w:rPr>
                <w:sz w:val="18"/>
                <w:szCs w:val="18"/>
              </w:rPr>
              <w:t>stock_symbol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weight_pct</w:t>
            </w:r>
            <w:proofErr w:type="spellEnd"/>
            <w:r>
              <w:rPr>
                <w:sz w:val="18"/>
                <w:szCs w:val="18"/>
              </w:rPr>
              <w:t>, sector</w:t>
            </w:r>
          </w:p>
        </w:tc>
      </w:tr>
    </w:tbl>
    <w:p w:rsidR="006F2F2A" w:rsidRDefault="00851FBE">
      <w:r>
        <w:br w:type="page"/>
      </w:r>
    </w:p>
    <w:p w:rsidR="006F2F2A" w:rsidRDefault="00851FBE">
      <w:pPr>
        <w:pStyle w:val="Heading1"/>
        <w:spacing w:before="400" w:after="200"/>
      </w:pPr>
      <w:r>
        <w:lastRenderedPageBreak/>
        <w:t>5. Exploratory Data Analysis (EDA)</w:t>
      </w:r>
    </w:p>
    <w:p w:rsidR="006F2F2A" w:rsidRDefault="00851FBE">
      <w:pPr>
        <w:spacing w:after="150"/>
      </w:pPr>
      <w:r>
        <w:rPr>
          <w:sz w:val="22"/>
          <w:szCs w:val="22"/>
        </w:rPr>
        <w:t xml:space="preserve">15 publication-quality charts were created covering NAV trends, AUM growth, SIP inflows, investor demographics, geographic distribution, </w:t>
      </w:r>
      <w:proofErr w:type="gramStart"/>
      <w:r>
        <w:rPr>
          <w:sz w:val="22"/>
          <w:szCs w:val="22"/>
        </w:rPr>
        <w:t>sect</w:t>
      </w:r>
      <w:bookmarkStart w:id="0" w:name="_GoBack"/>
      <w:bookmarkEnd w:id="0"/>
      <w:r>
        <w:rPr>
          <w:sz w:val="22"/>
          <w:szCs w:val="22"/>
        </w:rPr>
        <w:t>or</w:t>
      </w:r>
      <w:proofErr w:type="gramEnd"/>
      <w:r>
        <w:rPr>
          <w:sz w:val="22"/>
          <w:szCs w:val="22"/>
        </w:rPr>
        <w:t xml:space="preserve"> allocation and correlation analysis.</w:t>
      </w:r>
    </w:p>
    <w:p w:rsidR="006F2F2A" w:rsidRDefault="00851FBE">
      <w:pPr>
        <w:pStyle w:val="Heading2"/>
        <w:spacing w:before="300" w:after="150"/>
      </w:pPr>
      <w:r>
        <w:t>5.1 NAV Trends — All 40 Schemes (2022–2026)</w:t>
      </w:r>
    </w:p>
    <w:p w:rsidR="006F2F2A" w:rsidRDefault="00DD59F7">
      <w:pPr>
        <w:spacing w:before="200" w:after="100"/>
        <w:jc w:val="center"/>
      </w:pPr>
      <w:r>
        <w:rPr>
          <w:noProof/>
        </w:rPr>
        <w:drawing>
          <wp:inline distT="0" distB="0" distL="0" distR="0">
            <wp:extent cx="5731510" cy="286575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v_trend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F2A" w:rsidRDefault="00851FBE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1: Daily NAV trends for all 40 schemes from Jan 2022 to May 2026. </w:t>
      </w:r>
      <w:proofErr w:type="gramStart"/>
      <w:r>
        <w:rPr>
          <w:i/>
          <w:iCs/>
          <w:color w:val="595959"/>
          <w:sz w:val="18"/>
          <w:szCs w:val="18"/>
        </w:rPr>
        <w:t>Consistent upward trend with no major crashes.</w:t>
      </w:r>
      <w:proofErr w:type="gramEnd"/>
    </w:p>
    <w:p w:rsidR="006F2F2A" w:rsidRDefault="00851FBE">
      <w:pPr>
        <w:pStyle w:val="Heading2"/>
        <w:spacing w:before="300" w:after="150"/>
      </w:pPr>
      <w:r>
        <w:t>5.2 AUM Growth by Fund House (2022–2025)</w:t>
      </w:r>
    </w:p>
    <w:p w:rsidR="006F2F2A" w:rsidRDefault="00DD59F7">
      <w:pPr>
        <w:spacing w:before="200" w:after="100"/>
        <w:jc w:val="center"/>
      </w:pPr>
      <w:r>
        <w:rPr>
          <w:noProof/>
        </w:rPr>
        <w:drawing>
          <wp:inline distT="0" distB="0" distL="0" distR="0">
            <wp:extent cx="5731510" cy="286575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m_growth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F2A" w:rsidRDefault="00851FBE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2: AUM growth by fund house for each year. </w:t>
      </w:r>
      <w:r>
        <w:rPr>
          <w:i/>
          <w:iCs/>
          <w:color w:val="595959"/>
          <w:sz w:val="18"/>
          <w:szCs w:val="18"/>
        </w:rPr>
        <w:t>SBI M</w:t>
      </w:r>
      <w:r w:rsidR="007F4893">
        <w:rPr>
          <w:i/>
          <w:iCs/>
          <w:color w:val="595959"/>
          <w:sz w:val="18"/>
          <w:szCs w:val="18"/>
        </w:rPr>
        <w:t>utual Fund dominates</w:t>
      </w:r>
      <w:proofErr w:type="gramStart"/>
      <w:r w:rsidR="007F4893">
        <w:rPr>
          <w:i/>
          <w:iCs/>
          <w:color w:val="595959"/>
          <w:sz w:val="18"/>
          <w:szCs w:val="18"/>
        </w:rPr>
        <w:t>.</w:t>
      </w:r>
      <w:r>
        <w:rPr>
          <w:i/>
          <w:iCs/>
          <w:color w:val="595959"/>
          <w:sz w:val="18"/>
          <w:szCs w:val="18"/>
        </w:rPr>
        <w:t>.</w:t>
      </w:r>
      <w:proofErr w:type="gramEnd"/>
    </w:p>
    <w:p w:rsidR="006F2F2A" w:rsidRDefault="00851FBE">
      <w:pPr>
        <w:pStyle w:val="Heading2"/>
        <w:spacing w:before="300" w:after="150"/>
      </w:pPr>
      <w:r>
        <w:t>5.3 Monthly SIP Inflows (2022–2025)</w:t>
      </w:r>
    </w:p>
    <w:p w:rsidR="006F2F2A" w:rsidRDefault="00DD59F7">
      <w:pPr>
        <w:spacing w:before="200" w:after="100"/>
        <w:jc w:val="center"/>
      </w:pPr>
      <w:r>
        <w:rPr>
          <w:noProof/>
        </w:rPr>
        <w:lastRenderedPageBreak/>
        <w:drawing>
          <wp:inline distT="0" distB="0" distL="0" distR="0">
            <wp:extent cx="5731510" cy="2456180"/>
            <wp:effectExtent l="0" t="0" r="254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p_inflow_trend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F2A" w:rsidRDefault="00851FBE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3: Monthly SIP inflows showing consistent growth to Rs.31</w:t>
      </w:r>
      <w:proofErr w:type="gramStart"/>
      <w:r>
        <w:rPr>
          <w:i/>
          <w:iCs/>
          <w:color w:val="595959"/>
          <w:sz w:val="18"/>
          <w:szCs w:val="18"/>
        </w:rPr>
        <w:t>,002</w:t>
      </w:r>
      <w:proofErr w:type="gramEnd"/>
      <w:r>
        <w:rPr>
          <w:i/>
          <w:iCs/>
          <w:color w:val="595959"/>
          <w:sz w:val="18"/>
          <w:szCs w:val="18"/>
        </w:rPr>
        <w:t xml:space="preserve"> Cr all-time high in Dec 2025.</w:t>
      </w:r>
    </w:p>
    <w:p w:rsidR="006F2F2A" w:rsidRDefault="00851FBE">
      <w:pPr>
        <w:pStyle w:val="Heading2"/>
        <w:spacing w:before="300" w:after="150"/>
      </w:pPr>
      <w:r>
        <w:t>5.4 Sector Allocation — All Equity Fund Portfolios</w:t>
      </w:r>
    </w:p>
    <w:p w:rsidR="006F2F2A" w:rsidRDefault="00DD59F7">
      <w:pPr>
        <w:spacing w:before="200" w:after="100"/>
        <w:jc w:val="center"/>
      </w:pPr>
      <w:r>
        <w:rPr>
          <w:noProof/>
        </w:rPr>
        <w:drawing>
          <wp:inline distT="0" distB="0" distL="0" distR="0">
            <wp:extent cx="5731510" cy="3821430"/>
            <wp:effectExtent l="0" t="0" r="254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ctor_allocation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F2A" w:rsidRDefault="00851FBE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4: Sector allocation donut chart. Banking (19.2%) and IT (13.4%) dominate equity fund portfolios.</w:t>
      </w:r>
    </w:p>
    <w:p w:rsidR="006F2F2A" w:rsidRDefault="00851FBE">
      <w:pPr>
        <w:pStyle w:val="Heading2"/>
        <w:spacing w:before="300" w:after="150"/>
      </w:pPr>
      <w:r>
        <w:t xml:space="preserve">5.5 </w:t>
      </w:r>
      <w:r>
        <w:t>Key EDA Findings</w:t>
      </w:r>
    </w:p>
    <w:p w:rsidR="006F2F2A" w:rsidRDefault="00851FBE">
      <w:pPr>
        <w:spacing w:after="100"/>
      </w:pPr>
      <w:r>
        <w:rPr>
          <w:sz w:val="22"/>
          <w:szCs w:val="22"/>
        </w:rPr>
        <w:t>• All 40 fund NAVs show consistent upward trend from 2022–2026 with no major crashes</w:t>
      </w:r>
    </w:p>
    <w:p w:rsidR="006F2F2A" w:rsidRDefault="00851FBE">
      <w:pPr>
        <w:spacing w:after="10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SBI Mutual Fund dominates AUM at Rs.12.50 l</w:t>
      </w:r>
      <w:r>
        <w:rPr>
          <w:sz w:val="22"/>
          <w:szCs w:val="22"/>
        </w:rPr>
        <w:t xml:space="preserve">akh </w:t>
      </w:r>
      <w:proofErr w:type="spellStart"/>
      <w:r>
        <w:rPr>
          <w:sz w:val="22"/>
          <w:szCs w:val="22"/>
        </w:rPr>
        <w:t>crore</w:t>
      </w:r>
      <w:proofErr w:type="spellEnd"/>
      <w:r>
        <w:rPr>
          <w:sz w:val="22"/>
          <w:szCs w:val="22"/>
        </w:rPr>
        <w:t xml:space="preserve">, followed by ICICI </w:t>
      </w:r>
      <w:proofErr w:type="spellStart"/>
      <w:r>
        <w:rPr>
          <w:sz w:val="22"/>
          <w:szCs w:val="22"/>
        </w:rPr>
        <w:t>Pru</w:t>
      </w:r>
      <w:proofErr w:type="spellEnd"/>
      <w:r>
        <w:rPr>
          <w:sz w:val="22"/>
          <w:szCs w:val="22"/>
        </w:rPr>
        <w:t xml:space="preserve"> (Rs.10.74L Cr) and HDFC (Rs.9.30L Cr)</w:t>
      </w:r>
    </w:p>
    <w:p w:rsidR="006F2F2A" w:rsidRDefault="00851FBE">
      <w:pPr>
        <w:spacing w:after="100"/>
      </w:pPr>
      <w:r>
        <w:rPr>
          <w:sz w:val="22"/>
          <w:szCs w:val="22"/>
        </w:rPr>
        <w:t>• SIP inflows more than doubled — from Rs.14</w:t>
      </w:r>
      <w:proofErr w:type="gramStart"/>
      <w:r>
        <w:rPr>
          <w:sz w:val="22"/>
          <w:szCs w:val="22"/>
        </w:rPr>
        <w:t>,000</w:t>
      </w:r>
      <w:proofErr w:type="gramEnd"/>
      <w:r>
        <w:rPr>
          <w:sz w:val="22"/>
          <w:szCs w:val="22"/>
        </w:rPr>
        <w:t xml:space="preserve"> Cr (early 2023) to Rs.31,002 Cr (Dec 2025 all-time high)</w:t>
      </w:r>
    </w:p>
    <w:p w:rsidR="006F2F2A" w:rsidRDefault="00851FBE">
      <w:pPr>
        <w:spacing w:after="100"/>
        <w:rPr>
          <w:sz w:val="22"/>
          <w:szCs w:val="22"/>
        </w:rPr>
      </w:pPr>
      <w:r>
        <w:rPr>
          <w:sz w:val="22"/>
          <w:szCs w:val="22"/>
        </w:rPr>
        <w:t>• Liquid funds dominate category inflows by a massive margin — most popular cat</w:t>
      </w:r>
      <w:r>
        <w:rPr>
          <w:sz w:val="22"/>
          <w:szCs w:val="22"/>
        </w:rPr>
        <w:t>egory</w:t>
      </w:r>
    </w:p>
    <w:p w:rsidR="007829F2" w:rsidRDefault="007829F2">
      <w:pPr>
        <w:spacing w:after="100"/>
      </w:pPr>
      <w:r>
        <w:rPr>
          <w:noProof/>
        </w:rPr>
        <w:lastRenderedPageBreak/>
        <w:drawing>
          <wp:inline distT="0" distB="0" distL="0" distR="0">
            <wp:extent cx="5731510" cy="2547620"/>
            <wp:effectExtent l="0" t="0" r="254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tegory_heatmap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F2A" w:rsidRDefault="00851FBE">
      <w:pPr>
        <w:spacing w:after="100"/>
        <w:rPr>
          <w:sz w:val="22"/>
          <w:szCs w:val="22"/>
        </w:rPr>
      </w:pPr>
      <w:r>
        <w:rPr>
          <w:sz w:val="22"/>
          <w:szCs w:val="22"/>
        </w:rPr>
        <w:t xml:space="preserve">• 26-35 age group drives 41.1% of all MF investments — </w:t>
      </w:r>
      <w:proofErr w:type="spellStart"/>
      <w:r>
        <w:rPr>
          <w:sz w:val="22"/>
          <w:szCs w:val="22"/>
        </w:rPr>
        <w:t>millennials</w:t>
      </w:r>
      <w:proofErr w:type="spellEnd"/>
      <w:r>
        <w:rPr>
          <w:sz w:val="22"/>
          <w:szCs w:val="22"/>
        </w:rPr>
        <w:t xml:space="preserve"> are the primary demographic</w:t>
      </w:r>
    </w:p>
    <w:p w:rsidR="00B74C16" w:rsidRDefault="00B74C16">
      <w:pPr>
        <w:spacing w:after="100"/>
      </w:pPr>
      <w:r>
        <w:rPr>
          <w:noProof/>
        </w:rPr>
        <w:drawing>
          <wp:inline distT="0" distB="0" distL="0" distR="0">
            <wp:extent cx="5731510" cy="2149475"/>
            <wp:effectExtent l="0" t="0" r="254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vestor_demographics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F2A" w:rsidRDefault="00851FBE">
      <w:pPr>
        <w:spacing w:after="100"/>
        <w:rPr>
          <w:sz w:val="22"/>
          <w:szCs w:val="22"/>
        </w:rPr>
      </w:pPr>
      <w:r>
        <w:rPr>
          <w:sz w:val="22"/>
          <w:szCs w:val="22"/>
        </w:rPr>
        <w:t>• Madhya Pradesh and Punjab lead SIP investments by state — surprising finding</w:t>
      </w:r>
    </w:p>
    <w:p w:rsidR="007829F2" w:rsidRDefault="007829F2">
      <w:pPr>
        <w:spacing w:after="100"/>
        <w:rPr>
          <w:sz w:val="22"/>
          <w:szCs w:val="22"/>
        </w:rPr>
      </w:pPr>
      <w:r>
        <w:rPr>
          <w:sz w:val="22"/>
          <w:szCs w:val="22"/>
        </w:rPr>
        <w:t>•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66.3% transactions from T30 cities, 33.7% from B30 showing growing MF penetration</w:t>
      </w:r>
    </w:p>
    <w:p w:rsidR="007829F2" w:rsidRDefault="007829F2">
      <w:pPr>
        <w:spacing w:after="100"/>
      </w:pPr>
      <w:r>
        <w:rPr>
          <w:noProof/>
        </w:rPr>
        <w:drawing>
          <wp:inline distT="0" distB="0" distL="0" distR="0">
            <wp:extent cx="5731510" cy="2149475"/>
            <wp:effectExtent l="0" t="0" r="254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o_distribution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F2A" w:rsidRDefault="00851FBE">
      <w:pPr>
        <w:spacing w:after="100"/>
        <w:rPr>
          <w:sz w:val="22"/>
          <w:szCs w:val="22"/>
        </w:rPr>
      </w:pPr>
      <w:r>
        <w:rPr>
          <w:sz w:val="22"/>
          <w:szCs w:val="22"/>
        </w:rPr>
        <w:t>• Total MF folios doubled from 13.26 Cr to 26.12 Cr in just 4 years</w:t>
      </w:r>
    </w:p>
    <w:p w:rsidR="007829F2" w:rsidRDefault="007829F2">
      <w:pPr>
        <w:spacing w:after="100"/>
      </w:pPr>
      <w:r>
        <w:rPr>
          <w:noProof/>
        </w:rPr>
        <w:lastRenderedPageBreak/>
        <w:drawing>
          <wp:inline distT="0" distB="0" distL="0" distR="0">
            <wp:extent cx="5731510" cy="2456180"/>
            <wp:effectExtent l="0" t="0" r="2540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lio_growth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F2A" w:rsidRDefault="00851FBE">
      <w:pPr>
        <w:spacing w:after="100"/>
      </w:pPr>
      <w:r>
        <w:rPr>
          <w:sz w:val="22"/>
          <w:szCs w:val="22"/>
        </w:rPr>
        <w:t>• Low cross-fund correlations (-0.09 to 0.05) — strong diversification potential</w:t>
      </w:r>
    </w:p>
    <w:p w:rsidR="006F2F2A" w:rsidRDefault="00851FBE">
      <w:r>
        <w:br w:type="page"/>
      </w:r>
    </w:p>
    <w:p w:rsidR="006F2F2A" w:rsidRDefault="00851FBE">
      <w:pPr>
        <w:pStyle w:val="Heading1"/>
        <w:spacing w:before="400" w:after="200"/>
      </w:pPr>
      <w:r>
        <w:lastRenderedPageBreak/>
        <w:t>6. Fund P</w:t>
      </w:r>
      <w:r>
        <w:t>erformance Analytics</w:t>
      </w:r>
    </w:p>
    <w:p w:rsidR="006F2F2A" w:rsidRDefault="00851FBE">
      <w:pPr>
        <w:spacing w:after="150"/>
      </w:pPr>
      <w:r>
        <w:rPr>
          <w:sz w:val="22"/>
          <w:szCs w:val="22"/>
        </w:rPr>
        <w:t>Comprehensive risk-adjusted performance metrics computed from 46,000 daily NAV records for all 40 schemes. Risk-free rate set at 6.5% (RBI repo rate proxy).</w:t>
      </w:r>
    </w:p>
    <w:p w:rsidR="006F2F2A" w:rsidRDefault="00851FBE">
      <w:pPr>
        <w:pStyle w:val="Heading2"/>
        <w:spacing w:before="300" w:after="150"/>
      </w:pPr>
      <w:r>
        <w:t>6.1 Top 10 Funds — Composite Scorecard</w:t>
      </w:r>
    </w:p>
    <w:p w:rsidR="006F2F2A" w:rsidRDefault="00851FBE">
      <w:pPr>
        <w:spacing w:after="150"/>
      </w:pPr>
      <w:r>
        <w:rPr>
          <w:i/>
          <w:iCs/>
          <w:sz w:val="22"/>
          <w:szCs w:val="22"/>
        </w:rPr>
        <w:t>Composite Score = 30% × 3yr Return Rank</w:t>
      </w:r>
      <w:r>
        <w:rPr>
          <w:i/>
          <w:iCs/>
          <w:sz w:val="22"/>
          <w:szCs w:val="22"/>
        </w:rPr>
        <w:t xml:space="preserve"> + 25% × Sharpe Rank + 20% × Alpha Rank + 15% × Expense Ratio Rank (inverse) + 10% × Max Drawdown Rank (inverse)</w:t>
      </w:r>
    </w:p>
    <w:p w:rsidR="006F2F2A" w:rsidRDefault="006F2F2A">
      <w:pPr>
        <w:spacing w:after="150"/>
      </w:pP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200"/>
        <w:gridCol w:w="1200"/>
        <w:gridCol w:w="1400"/>
        <w:gridCol w:w="1200"/>
      </w:tblGrid>
      <w:tr w:rsidR="006F2F2A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F3864"/>
          </w:tcPr>
          <w:p w:rsidR="006F2F2A" w:rsidRDefault="00851FBE">
            <w:r>
              <w:rPr>
                <w:b/>
                <w:bCs/>
                <w:color w:val="FFFFFF"/>
              </w:rPr>
              <w:t>Fund Name</w:t>
            </w:r>
          </w:p>
        </w:tc>
        <w:tc>
          <w:tcPr>
            <w:tcW w:w="1200" w:type="dxa"/>
            <w:shd w:val="clear" w:color="auto" w:fill="1F3864"/>
          </w:tcPr>
          <w:p w:rsidR="006F2F2A" w:rsidRDefault="00851FBE">
            <w:r>
              <w:rPr>
                <w:b/>
                <w:bCs/>
                <w:color w:val="FFFFFF"/>
              </w:rPr>
              <w:t>Score</w:t>
            </w:r>
          </w:p>
        </w:tc>
        <w:tc>
          <w:tcPr>
            <w:tcW w:w="1200" w:type="dxa"/>
            <w:shd w:val="clear" w:color="auto" w:fill="1F3864"/>
          </w:tcPr>
          <w:p w:rsidR="006F2F2A" w:rsidRDefault="00851FBE">
            <w:r>
              <w:rPr>
                <w:b/>
                <w:bCs/>
                <w:color w:val="FFFFFF"/>
              </w:rPr>
              <w:t>Sharpe</w:t>
            </w:r>
          </w:p>
        </w:tc>
        <w:tc>
          <w:tcPr>
            <w:tcW w:w="1400" w:type="dxa"/>
            <w:shd w:val="clear" w:color="auto" w:fill="1F3864"/>
          </w:tcPr>
          <w:p w:rsidR="006F2F2A" w:rsidRDefault="00851FBE">
            <w:r>
              <w:rPr>
                <w:b/>
                <w:bCs/>
                <w:color w:val="FFFFFF"/>
              </w:rPr>
              <w:t>3yr CAGR</w:t>
            </w:r>
          </w:p>
        </w:tc>
        <w:tc>
          <w:tcPr>
            <w:tcW w:w="1200" w:type="dxa"/>
            <w:shd w:val="clear" w:color="auto" w:fill="1F3864"/>
          </w:tcPr>
          <w:p w:rsidR="006F2F2A" w:rsidRDefault="00851FBE">
            <w:r>
              <w:rPr>
                <w:b/>
                <w:bCs/>
                <w:color w:val="FFFFFF"/>
              </w:rPr>
              <w:t>Alpha</w:t>
            </w:r>
          </w:p>
        </w:tc>
      </w:tr>
      <w:tr w:rsidR="006F2F2A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 xml:space="preserve">ICICI </w:t>
            </w:r>
            <w:proofErr w:type="spellStart"/>
            <w:r>
              <w:rPr>
                <w:sz w:val="18"/>
                <w:szCs w:val="18"/>
              </w:rPr>
              <w:t>Pru</w:t>
            </w:r>
            <w:proofErr w:type="spellEnd"/>
            <w:r>
              <w:rPr>
                <w:sz w:val="18"/>
                <w:szCs w:val="18"/>
              </w:rPr>
              <w:t xml:space="preserve"> Midcap Fund - Regular</w:t>
            </w:r>
          </w:p>
        </w:tc>
        <w:tc>
          <w:tcPr>
            <w:tcW w:w="12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100.00</w:t>
            </w:r>
          </w:p>
        </w:tc>
        <w:tc>
          <w:tcPr>
            <w:tcW w:w="12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1.18</w:t>
            </w:r>
          </w:p>
        </w:tc>
        <w:tc>
          <w:tcPr>
            <w:tcW w:w="14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31.78%</w:t>
            </w:r>
          </w:p>
        </w:tc>
        <w:tc>
          <w:tcPr>
            <w:tcW w:w="12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0.29</w:t>
            </w:r>
          </w:p>
        </w:tc>
      </w:tr>
      <w:tr w:rsidR="006F2F2A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>Axis Midcap Fund - Regular</w:t>
            </w:r>
          </w:p>
        </w:tc>
        <w:tc>
          <w:tcPr>
            <w:tcW w:w="12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>95.56</w:t>
            </w:r>
          </w:p>
        </w:tc>
        <w:tc>
          <w:tcPr>
            <w:tcW w:w="12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>1.00</w:t>
            </w:r>
          </w:p>
        </w:tc>
        <w:tc>
          <w:tcPr>
            <w:tcW w:w="14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>35.11%</w:t>
            </w:r>
          </w:p>
        </w:tc>
        <w:tc>
          <w:tcPr>
            <w:tcW w:w="12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>0.26</w:t>
            </w:r>
          </w:p>
        </w:tc>
      </w:tr>
      <w:tr w:rsidR="006F2F2A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HDFC Mid-Cap Opportunities Fund</w:t>
            </w:r>
          </w:p>
        </w:tc>
        <w:tc>
          <w:tcPr>
            <w:tcW w:w="12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95.27</w:t>
            </w:r>
          </w:p>
        </w:tc>
        <w:tc>
          <w:tcPr>
            <w:tcW w:w="12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1.09</w:t>
            </w:r>
          </w:p>
        </w:tc>
        <w:tc>
          <w:tcPr>
            <w:tcW w:w="14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32.44%</w:t>
            </w:r>
          </w:p>
        </w:tc>
        <w:tc>
          <w:tcPr>
            <w:tcW w:w="12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0.27</w:t>
            </w:r>
          </w:p>
        </w:tc>
      </w:tr>
      <w:tr w:rsidR="006F2F2A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</w:tcPr>
          <w:p w:rsidR="006F2F2A" w:rsidRDefault="00851FBE">
            <w:proofErr w:type="spellStart"/>
            <w:r>
              <w:rPr>
                <w:sz w:val="18"/>
                <w:szCs w:val="18"/>
              </w:rPr>
              <w:t>Mirae</w:t>
            </w:r>
            <w:proofErr w:type="spellEnd"/>
            <w:r>
              <w:rPr>
                <w:sz w:val="18"/>
                <w:szCs w:val="18"/>
              </w:rPr>
              <w:t xml:space="preserve"> Asset Large Cap Fund</w:t>
            </w:r>
          </w:p>
        </w:tc>
        <w:tc>
          <w:tcPr>
            <w:tcW w:w="12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>94.67</w:t>
            </w:r>
          </w:p>
        </w:tc>
        <w:tc>
          <w:tcPr>
            <w:tcW w:w="12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>1.45</w:t>
            </w:r>
          </w:p>
        </w:tc>
        <w:tc>
          <w:tcPr>
            <w:tcW w:w="14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>34.00%</w:t>
            </w:r>
          </w:p>
        </w:tc>
        <w:tc>
          <w:tcPr>
            <w:tcW w:w="12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>0.27</w:t>
            </w:r>
          </w:p>
        </w:tc>
      </w:tr>
      <w:tr w:rsidR="006F2F2A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BF3FB"/>
          </w:tcPr>
          <w:p w:rsidR="006F2F2A" w:rsidRDefault="00851FBE">
            <w:proofErr w:type="spellStart"/>
            <w:r>
              <w:rPr>
                <w:sz w:val="18"/>
                <w:szCs w:val="18"/>
              </w:rPr>
              <w:t>Kotak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Flexicap</w:t>
            </w:r>
            <w:proofErr w:type="spellEnd"/>
            <w:r>
              <w:rPr>
                <w:sz w:val="18"/>
                <w:szCs w:val="18"/>
              </w:rPr>
              <w:t xml:space="preserve"> Fund - Regular</w:t>
            </w:r>
          </w:p>
        </w:tc>
        <w:tc>
          <w:tcPr>
            <w:tcW w:w="12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92.60</w:t>
            </w:r>
          </w:p>
        </w:tc>
        <w:tc>
          <w:tcPr>
            <w:tcW w:w="12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1.31</w:t>
            </w:r>
          </w:p>
        </w:tc>
        <w:tc>
          <w:tcPr>
            <w:tcW w:w="14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29.58%</w:t>
            </w:r>
          </w:p>
        </w:tc>
        <w:tc>
          <w:tcPr>
            <w:tcW w:w="12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0.27</w:t>
            </w:r>
          </w:p>
        </w:tc>
      </w:tr>
      <w:tr w:rsidR="006F2F2A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 xml:space="preserve">ICICI </w:t>
            </w:r>
            <w:proofErr w:type="spellStart"/>
            <w:r>
              <w:rPr>
                <w:sz w:val="18"/>
                <w:szCs w:val="18"/>
              </w:rPr>
              <w:t>Pru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Bluechip</w:t>
            </w:r>
            <w:proofErr w:type="spellEnd"/>
            <w:r>
              <w:rPr>
                <w:sz w:val="18"/>
                <w:szCs w:val="18"/>
              </w:rPr>
              <w:t xml:space="preserve"> Fund - Direct</w:t>
            </w:r>
          </w:p>
        </w:tc>
        <w:tc>
          <w:tcPr>
            <w:tcW w:w="12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>89.64</w:t>
            </w:r>
          </w:p>
        </w:tc>
        <w:tc>
          <w:tcPr>
            <w:tcW w:w="12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>1.03</w:t>
            </w:r>
          </w:p>
        </w:tc>
        <w:tc>
          <w:tcPr>
            <w:tcW w:w="14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>32.49%</w:t>
            </w:r>
          </w:p>
        </w:tc>
        <w:tc>
          <w:tcPr>
            <w:tcW w:w="12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>0.25</w:t>
            </w:r>
          </w:p>
        </w:tc>
      </w:tr>
      <w:tr w:rsidR="006F2F2A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SBI Small Cap Fund - Regular</w:t>
            </w:r>
          </w:p>
        </w:tc>
        <w:tc>
          <w:tcPr>
            <w:tcW w:w="12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88.91</w:t>
            </w:r>
          </w:p>
        </w:tc>
        <w:tc>
          <w:tcPr>
            <w:tcW w:w="12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0.95</w:t>
            </w:r>
          </w:p>
        </w:tc>
        <w:tc>
          <w:tcPr>
            <w:tcW w:w="14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26.67%</w:t>
            </w:r>
          </w:p>
        </w:tc>
        <w:tc>
          <w:tcPr>
            <w:tcW w:w="12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0.23</w:t>
            </w:r>
          </w:p>
        </w:tc>
      </w:tr>
      <w:tr w:rsidR="006F2F2A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>DSP Small Cap Fund - Regular</w:t>
            </w:r>
          </w:p>
        </w:tc>
        <w:tc>
          <w:tcPr>
            <w:tcW w:w="12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>88.68</w:t>
            </w:r>
          </w:p>
        </w:tc>
        <w:tc>
          <w:tcPr>
            <w:tcW w:w="12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>0.95</w:t>
            </w:r>
          </w:p>
        </w:tc>
        <w:tc>
          <w:tcPr>
            <w:tcW w:w="14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>27.00%</w:t>
            </w:r>
          </w:p>
        </w:tc>
        <w:tc>
          <w:tcPr>
            <w:tcW w:w="12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>0.30</w:t>
            </w:r>
          </w:p>
        </w:tc>
      </w:tr>
      <w:tr w:rsidR="006F2F2A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BF3FB"/>
          </w:tcPr>
          <w:p w:rsidR="006F2F2A" w:rsidRDefault="00851FBE">
            <w:proofErr w:type="spellStart"/>
            <w:r>
              <w:rPr>
                <w:sz w:val="18"/>
                <w:szCs w:val="18"/>
              </w:rPr>
              <w:t>Mirae</w:t>
            </w:r>
            <w:proofErr w:type="spellEnd"/>
            <w:r>
              <w:rPr>
                <w:sz w:val="18"/>
                <w:szCs w:val="18"/>
              </w:rPr>
              <w:t xml:space="preserve"> Asset Tax Saver Fund</w:t>
            </w:r>
          </w:p>
        </w:tc>
        <w:tc>
          <w:tcPr>
            <w:tcW w:w="12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87.50</w:t>
            </w:r>
          </w:p>
        </w:tc>
        <w:tc>
          <w:tcPr>
            <w:tcW w:w="12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1.23</w:t>
            </w:r>
          </w:p>
        </w:tc>
        <w:tc>
          <w:tcPr>
            <w:tcW w:w="14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29.18%</w:t>
            </w:r>
          </w:p>
        </w:tc>
        <w:tc>
          <w:tcPr>
            <w:tcW w:w="12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0.28</w:t>
            </w:r>
          </w:p>
        </w:tc>
      </w:tr>
      <w:tr w:rsidR="006F2F2A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 xml:space="preserve">SBI </w:t>
            </w:r>
            <w:proofErr w:type="spellStart"/>
            <w:r>
              <w:rPr>
                <w:sz w:val="18"/>
                <w:szCs w:val="18"/>
              </w:rPr>
              <w:t>Bluechip</w:t>
            </w:r>
            <w:proofErr w:type="spellEnd"/>
            <w:r>
              <w:rPr>
                <w:sz w:val="18"/>
                <w:szCs w:val="18"/>
              </w:rPr>
              <w:t xml:space="preserve"> Fund - Regular</w:t>
            </w:r>
          </w:p>
        </w:tc>
        <w:tc>
          <w:tcPr>
            <w:tcW w:w="12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>86.46</w:t>
            </w:r>
          </w:p>
        </w:tc>
        <w:tc>
          <w:tcPr>
            <w:tcW w:w="12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>1.21</w:t>
            </w:r>
          </w:p>
        </w:tc>
        <w:tc>
          <w:tcPr>
            <w:tcW w:w="14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>30.46%</w:t>
            </w:r>
          </w:p>
        </w:tc>
        <w:tc>
          <w:tcPr>
            <w:tcW w:w="12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>0.23</w:t>
            </w:r>
          </w:p>
        </w:tc>
      </w:tr>
    </w:tbl>
    <w:p w:rsidR="006F2F2A" w:rsidRDefault="00851FBE">
      <w:pPr>
        <w:pStyle w:val="Heading2"/>
        <w:spacing w:before="300" w:after="150"/>
      </w:pPr>
      <w:r>
        <w:t xml:space="preserve">6.2 Benchmark Comparison — Top 5 Funds </w:t>
      </w:r>
      <w:proofErr w:type="spellStart"/>
      <w:r>
        <w:t>vs</w:t>
      </w:r>
      <w:proofErr w:type="spellEnd"/>
      <w:r>
        <w:t xml:space="preserve"> Nifty 50 &amp; Nifty 100</w:t>
      </w:r>
    </w:p>
    <w:p w:rsidR="006F2F2A" w:rsidRDefault="00DD59F7">
      <w:pPr>
        <w:spacing w:before="200" w:after="100"/>
        <w:jc w:val="center"/>
      </w:pPr>
      <w:r>
        <w:rPr>
          <w:noProof/>
        </w:rPr>
        <w:drawing>
          <wp:inline distT="0" distB="0" distL="0" distR="0">
            <wp:extent cx="5731510" cy="286575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nchmark_chart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F2A" w:rsidRDefault="00851FBE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5: Top 5 funds </w:t>
      </w:r>
      <w:proofErr w:type="spellStart"/>
      <w:r>
        <w:rPr>
          <w:i/>
          <w:iCs/>
          <w:color w:val="595959"/>
          <w:sz w:val="18"/>
          <w:szCs w:val="18"/>
        </w:rPr>
        <w:t>vs</w:t>
      </w:r>
      <w:proofErr w:type="spellEnd"/>
      <w:r>
        <w:rPr>
          <w:i/>
          <w:iCs/>
          <w:color w:val="595959"/>
          <w:sz w:val="18"/>
          <w:szCs w:val="18"/>
        </w:rPr>
        <w:t xml:space="preserve"> Nifty 50 &amp; Nifty 100 normalised to 100. All funds achieved 3x+ returns </w:t>
      </w:r>
      <w:proofErr w:type="spellStart"/>
      <w:r>
        <w:rPr>
          <w:i/>
          <w:iCs/>
          <w:color w:val="595959"/>
          <w:sz w:val="18"/>
          <w:szCs w:val="18"/>
        </w:rPr>
        <w:t>vs</w:t>
      </w:r>
      <w:proofErr w:type="spellEnd"/>
      <w:r>
        <w:rPr>
          <w:i/>
          <w:iCs/>
          <w:color w:val="595959"/>
          <w:sz w:val="18"/>
          <w:szCs w:val="18"/>
        </w:rPr>
        <w:t xml:space="preserve"> benchmark indices over 2022–2026.</w:t>
      </w:r>
    </w:p>
    <w:p w:rsidR="006F2F2A" w:rsidRDefault="00851FBE">
      <w:pPr>
        <w:pStyle w:val="Heading2"/>
        <w:spacing w:before="300" w:after="150"/>
      </w:pPr>
      <w:r>
        <w:t>6.3 Risk Metrics Summary</w:t>
      </w:r>
    </w:p>
    <w:p w:rsidR="006F2F2A" w:rsidRDefault="00851FBE">
      <w:pPr>
        <w:spacing w:after="100"/>
      </w:pPr>
      <w:r>
        <w:rPr>
          <w:sz w:val="22"/>
          <w:szCs w:val="22"/>
        </w:rPr>
        <w:t xml:space="preserve">• Best Sharpe Ratio: </w:t>
      </w:r>
      <w:proofErr w:type="spellStart"/>
      <w:r>
        <w:rPr>
          <w:sz w:val="22"/>
          <w:szCs w:val="22"/>
        </w:rPr>
        <w:t>Mirae</w:t>
      </w:r>
      <w:proofErr w:type="spellEnd"/>
      <w:r>
        <w:rPr>
          <w:sz w:val="22"/>
          <w:szCs w:val="22"/>
        </w:rPr>
        <w:t xml:space="preserve"> Asset Large Cap Fund — 1.45 (best risk-adjusted return)</w:t>
      </w:r>
    </w:p>
    <w:p w:rsidR="006F2F2A" w:rsidRDefault="00851FBE">
      <w:pPr>
        <w:spacing w:after="100"/>
      </w:pPr>
      <w:r>
        <w:rPr>
          <w:sz w:val="22"/>
          <w:szCs w:val="22"/>
        </w:rPr>
        <w:t xml:space="preserve">• Best </w:t>
      </w:r>
      <w:proofErr w:type="spellStart"/>
      <w:r>
        <w:rPr>
          <w:sz w:val="22"/>
          <w:szCs w:val="22"/>
        </w:rPr>
        <w:t>Sortino</w:t>
      </w:r>
      <w:proofErr w:type="spellEnd"/>
      <w:r>
        <w:rPr>
          <w:sz w:val="22"/>
          <w:szCs w:val="22"/>
        </w:rPr>
        <w:t xml:space="preserve"> Ratio: </w:t>
      </w:r>
      <w:proofErr w:type="spellStart"/>
      <w:r>
        <w:rPr>
          <w:sz w:val="22"/>
          <w:szCs w:val="22"/>
        </w:rPr>
        <w:t>Mirae</w:t>
      </w:r>
      <w:proofErr w:type="spellEnd"/>
      <w:r>
        <w:rPr>
          <w:sz w:val="22"/>
          <w:szCs w:val="22"/>
        </w:rPr>
        <w:t xml:space="preserve"> Asset Large Cap Fund — 2.39 (lowest downside risk)</w:t>
      </w:r>
    </w:p>
    <w:p w:rsidR="006F2F2A" w:rsidRDefault="00851FBE">
      <w:pPr>
        <w:spacing w:after="100"/>
      </w:pPr>
      <w:r>
        <w:rPr>
          <w:sz w:val="22"/>
          <w:szCs w:val="22"/>
        </w:rPr>
        <w:t>• Highest Alpha: SBI Small Cap Regular — 0.30 (best excess return over Nifty 100)</w:t>
      </w:r>
    </w:p>
    <w:p w:rsidR="006F2F2A" w:rsidRDefault="00851FBE">
      <w:pPr>
        <w:spacing w:after="100"/>
      </w:pPr>
      <w:r>
        <w:rPr>
          <w:sz w:val="22"/>
          <w:szCs w:val="22"/>
        </w:rPr>
        <w:t>• Worst Max Drawdown: SBI Small Cap Direct — -52.57% (highest peak-to-trough decline)</w:t>
      </w:r>
    </w:p>
    <w:p w:rsidR="006F2F2A" w:rsidRDefault="00851FBE">
      <w:pPr>
        <w:spacing w:after="100"/>
      </w:pPr>
      <w:r>
        <w:rPr>
          <w:sz w:val="22"/>
          <w:szCs w:val="22"/>
        </w:rPr>
        <w:t>• All top</w:t>
      </w:r>
      <w:r>
        <w:rPr>
          <w:sz w:val="22"/>
          <w:szCs w:val="22"/>
        </w:rPr>
        <w:t xml:space="preserve"> 5 funds outperformed Nifty 50 and Nifty 100 by 3x over 2022–2026</w:t>
      </w:r>
    </w:p>
    <w:p w:rsidR="006F2F2A" w:rsidRDefault="00851FBE">
      <w:r>
        <w:br w:type="page"/>
      </w:r>
    </w:p>
    <w:p w:rsidR="006F2F2A" w:rsidRDefault="00851FBE">
      <w:pPr>
        <w:pStyle w:val="Heading1"/>
        <w:spacing w:before="400" w:after="200"/>
      </w:pPr>
      <w:r>
        <w:lastRenderedPageBreak/>
        <w:t>7. Interactive Power BI Dashboard</w:t>
      </w:r>
    </w:p>
    <w:p w:rsidR="006F2F2A" w:rsidRDefault="00851FBE">
      <w:pPr>
        <w:spacing w:after="150"/>
      </w:pPr>
      <w:r>
        <w:rPr>
          <w:sz w:val="22"/>
          <w:szCs w:val="22"/>
        </w:rPr>
        <w:t xml:space="preserve">A 4-page interactive Power BI dashboard was built with slicers, drill-downs, KPI cards and the Bluestock </w:t>
      </w:r>
      <w:proofErr w:type="spellStart"/>
      <w:r>
        <w:rPr>
          <w:sz w:val="22"/>
          <w:szCs w:val="22"/>
        </w:rPr>
        <w:t>Fintech</w:t>
      </w:r>
      <w:proofErr w:type="spellEnd"/>
      <w:r>
        <w:rPr>
          <w:sz w:val="22"/>
          <w:szCs w:val="22"/>
        </w:rPr>
        <w:t xml:space="preserve"> logo. Each page has at least 2 interactive slicers for filtering.</w:t>
      </w:r>
    </w:p>
    <w:p w:rsidR="006F2F2A" w:rsidRDefault="00851FBE">
      <w:pPr>
        <w:pStyle w:val="Heading2"/>
        <w:spacing w:before="300" w:after="150"/>
      </w:pPr>
      <w:r>
        <w:t>Page 1 — Industry Overview</w:t>
      </w:r>
    </w:p>
    <w:p w:rsidR="006F2F2A" w:rsidRDefault="00706FBE">
      <w:pPr>
        <w:spacing w:before="200" w:after="100"/>
        <w:jc w:val="center"/>
      </w:pPr>
      <w:r w:rsidRPr="00706FBE">
        <w:rPr>
          <w:noProof/>
        </w:rPr>
        <w:drawing>
          <wp:inline distT="0" distB="0" distL="0" distR="0" wp14:anchorId="07E35782" wp14:editId="2D4A3CDE">
            <wp:extent cx="5731510" cy="3289495"/>
            <wp:effectExtent l="0" t="0" r="254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F2A" w:rsidRDefault="00851FBE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6: Industry Overview — KPI cards showing </w:t>
      </w:r>
      <w:r>
        <w:rPr>
          <w:i/>
          <w:iCs/>
          <w:color w:val="595959"/>
          <w:sz w:val="18"/>
          <w:szCs w:val="18"/>
        </w:rPr>
        <w:t xml:space="preserve">AUM Rs.62.74L Cr, SIP Inflow Rs.31K Cr, Folios 26.12 Cr and 40 Schemes. </w:t>
      </w:r>
      <w:proofErr w:type="gramStart"/>
      <w:r>
        <w:rPr>
          <w:i/>
          <w:iCs/>
          <w:color w:val="595959"/>
          <w:sz w:val="18"/>
          <w:szCs w:val="18"/>
        </w:rPr>
        <w:t>AUM growth line chart and AUM by Fund House bar chart.</w:t>
      </w:r>
      <w:proofErr w:type="gramEnd"/>
    </w:p>
    <w:p w:rsidR="006F2F2A" w:rsidRDefault="00851FBE">
      <w:pPr>
        <w:pStyle w:val="Heading2"/>
        <w:spacing w:before="300" w:after="150"/>
      </w:pPr>
      <w:r>
        <w:t>Page 2 — Fund Performance Analytics</w:t>
      </w:r>
    </w:p>
    <w:p w:rsidR="006F2F2A" w:rsidRDefault="00DD59F7">
      <w:pPr>
        <w:spacing w:before="200" w:after="100"/>
        <w:jc w:val="center"/>
      </w:pPr>
      <w:r w:rsidRPr="00DD59F7">
        <w:rPr>
          <w:noProof/>
        </w:rPr>
        <w:drawing>
          <wp:inline distT="0" distB="0" distL="0" distR="0" wp14:anchorId="758CBEDE" wp14:editId="4ECA1FB8">
            <wp:extent cx="5731510" cy="3310314"/>
            <wp:effectExtent l="0" t="0" r="254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0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F2A" w:rsidRDefault="00851FBE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lastRenderedPageBreak/>
        <w:t xml:space="preserve">Figure 7: Fund Performance Analytics — Sortable fund scorecard table, Risk </w:t>
      </w:r>
      <w:proofErr w:type="spellStart"/>
      <w:r>
        <w:rPr>
          <w:i/>
          <w:iCs/>
          <w:color w:val="595959"/>
          <w:sz w:val="18"/>
          <w:szCs w:val="18"/>
        </w:rPr>
        <w:t>vs</w:t>
      </w:r>
      <w:proofErr w:type="spellEnd"/>
      <w:r>
        <w:rPr>
          <w:i/>
          <w:iCs/>
          <w:color w:val="595959"/>
          <w:sz w:val="18"/>
          <w:szCs w:val="18"/>
        </w:rPr>
        <w:t xml:space="preserve"> Return scatte</w:t>
      </w:r>
      <w:r>
        <w:rPr>
          <w:i/>
          <w:iCs/>
          <w:color w:val="595959"/>
          <w:sz w:val="18"/>
          <w:szCs w:val="18"/>
        </w:rPr>
        <w:t>r plot and Monthly NAV trend. Slicers: Fund House and Category.</w:t>
      </w:r>
    </w:p>
    <w:p w:rsidR="006F2F2A" w:rsidRDefault="00851FBE">
      <w:pPr>
        <w:pStyle w:val="Heading2"/>
        <w:spacing w:before="300" w:after="150"/>
      </w:pPr>
      <w:r>
        <w:t>Page 3 — Investor Analytics</w:t>
      </w:r>
    </w:p>
    <w:p w:rsidR="006F2F2A" w:rsidRDefault="00DD59F7">
      <w:pPr>
        <w:spacing w:before="200" w:after="100"/>
        <w:jc w:val="center"/>
      </w:pPr>
      <w:r w:rsidRPr="00DD59F7">
        <w:rPr>
          <w:noProof/>
        </w:rPr>
        <w:drawing>
          <wp:inline distT="0" distB="0" distL="0" distR="0" wp14:anchorId="602D0B98" wp14:editId="3AD06C35">
            <wp:extent cx="5731510" cy="3307865"/>
            <wp:effectExtent l="0" t="0" r="254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F2A" w:rsidRDefault="00851FBE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8: Investor Analytics — Transaction Amount by State, SIP </w:t>
      </w:r>
      <w:proofErr w:type="spellStart"/>
      <w:r>
        <w:rPr>
          <w:i/>
          <w:iCs/>
          <w:color w:val="595959"/>
          <w:sz w:val="18"/>
          <w:szCs w:val="18"/>
        </w:rPr>
        <w:t>vs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Lumpsum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vs</w:t>
      </w:r>
      <w:proofErr w:type="spellEnd"/>
      <w:r>
        <w:rPr>
          <w:i/>
          <w:iCs/>
          <w:color w:val="595959"/>
          <w:sz w:val="18"/>
          <w:szCs w:val="18"/>
        </w:rPr>
        <w:t xml:space="preserve"> Redemption donut </w:t>
      </w:r>
      <w:proofErr w:type="gramStart"/>
      <w:r>
        <w:rPr>
          <w:i/>
          <w:iCs/>
          <w:color w:val="595959"/>
          <w:sz w:val="18"/>
          <w:szCs w:val="18"/>
        </w:rPr>
        <w:t>chart</w:t>
      </w:r>
      <w:proofErr w:type="gramEnd"/>
      <w:r>
        <w:rPr>
          <w:i/>
          <w:iCs/>
          <w:color w:val="595959"/>
          <w:sz w:val="18"/>
          <w:szCs w:val="18"/>
        </w:rPr>
        <w:t xml:space="preserve"> and Age Group </w:t>
      </w:r>
      <w:proofErr w:type="spellStart"/>
      <w:r>
        <w:rPr>
          <w:i/>
          <w:iCs/>
          <w:color w:val="595959"/>
          <w:sz w:val="18"/>
          <w:szCs w:val="18"/>
        </w:rPr>
        <w:t>vs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Avg</w:t>
      </w:r>
      <w:proofErr w:type="spellEnd"/>
      <w:r>
        <w:rPr>
          <w:i/>
          <w:iCs/>
          <w:color w:val="595959"/>
          <w:sz w:val="18"/>
          <w:szCs w:val="18"/>
        </w:rPr>
        <w:t xml:space="preserve"> SIP. Slicers: State, Age Group, City Tie</w:t>
      </w:r>
      <w:r>
        <w:rPr>
          <w:i/>
          <w:iCs/>
          <w:color w:val="595959"/>
          <w:sz w:val="18"/>
          <w:szCs w:val="18"/>
        </w:rPr>
        <w:t>r.</w:t>
      </w:r>
    </w:p>
    <w:p w:rsidR="006F2F2A" w:rsidRDefault="00851FBE">
      <w:pPr>
        <w:pStyle w:val="Heading2"/>
        <w:spacing w:before="300" w:after="150"/>
      </w:pPr>
      <w:r>
        <w:t>Page 4 — SIP &amp; Market Trends</w:t>
      </w:r>
    </w:p>
    <w:p w:rsidR="006F2F2A" w:rsidRDefault="00706FBE">
      <w:pPr>
        <w:spacing w:before="200" w:after="100"/>
        <w:jc w:val="center"/>
      </w:pPr>
      <w:r w:rsidRPr="00706FBE">
        <w:rPr>
          <w:noProof/>
        </w:rPr>
        <w:drawing>
          <wp:inline distT="0" distB="0" distL="0" distR="0" wp14:anchorId="798DE41A" wp14:editId="41A9741E">
            <wp:extent cx="5731510" cy="3311539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F2A" w:rsidRDefault="00851FBE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9: SIP &amp; Market Trends — Top Categories by Net Inflow, Monthly SIP Inflows line chart and Category inflow matrix </w:t>
      </w:r>
      <w:proofErr w:type="spellStart"/>
      <w:r>
        <w:rPr>
          <w:i/>
          <w:iCs/>
          <w:color w:val="595959"/>
          <w:sz w:val="18"/>
          <w:szCs w:val="18"/>
        </w:rPr>
        <w:t>heatmap</w:t>
      </w:r>
      <w:proofErr w:type="spellEnd"/>
      <w:r>
        <w:rPr>
          <w:i/>
          <w:iCs/>
          <w:color w:val="595959"/>
          <w:sz w:val="18"/>
          <w:szCs w:val="18"/>
        </w:rPr>
        <w:t>. Slicers: Month and Category.</w:t>
      </w:r>
    </w:p>
    <w:p w:rsidR="006F2F2A" w:rsidRDefault="00851FBE">
      <w:r>
        <w:br w:type="page"/>
      </w:r>
    </w:p>
    <w:p w:rsidR="006F2F2A" w:rsidRDefault="00851FBE">
      <w:pPr>
        <w:pStyle w:val="Heading1"/>
        <w:spacing w:before="400" w:after="200"/>
      </w:pPr>
      <w:r>
        <w:lastRenderedPageBreak/>
        <w:t>8. Advanced Analytics</w:t>
      </w:r>
    </w:p>
    <w:p w:rsidR="006F2F2A" w:rsidRDefault="00851FBE">
      <w:pPr>
        <w:pStyle w:val="Heading2"/>
        <w:spacing w:before="300" w:after="150"/>
      </w:pPr>
      <w:r>
        <w:t>8.1 Value at Risk (</w:t>
      </w:r>
      <w:proofErr w:type="spellStart"/>
      <w:r>
        <w:t>VaR</w:t>
      </w:r>
      <w:proofErr w:type="spellEnd"/>
      <w:r>
        <w:t xml:space="preserve">) &amp; Conditional </w:t>
      </w:r>
      <w:proofErr w:type="spellStart"/>
      <w:r>
        <w:t>Va</w:t>
      </w:r>
      <w:r>
        <w:t>R</w:t>
      </w:r>
      <w:proofErr w:type="spellEnd"/>
      <w:r>
        <w:t xml:space="preserve"> (</w:t>
      </w:r>
      <w:proofErr w:type="spellStart"/>
      <w:r>
        <w:t>CVaR</w:t>
      </w:r>
      <w:proofErr w:type="spellEnd"/>
      <w:r>
        <w:t>)</w:t>
      </w:r>
    </w:p>
    <w:p w:rsidR="006F2F2A" w:rsidRDefault="00851FBE">
      <w:pPr>
        <w:spacing w:after="150"/>
      </w:pPr>
      <w:r>
        <w:rPr>
          <w:sz w:val="22"/>
          <w:szCs w:val="22"/>
        </w:rPr>
        <w:t xml:space="preserve">Historical </w:t>
      </w:r>
      <w:proofErr w:type="spellStart"/>
      <w:r>
        <w:rPr>
          <w:sz w:val="22"/>
          <w:szCs w:val="22"/>
        </w:rPr>
        <w:t>VaR</w:t>
      </w:r>
      <w:proofErr w:type="spellEnd"/>
      <w:r>
        <w:rPr>
          <w:sz w:val="22"/>
          <w:szCs w:val="22"/>
        </w:rPr>
        <w:t xml:space="preserve"> computed at 95% confidence level for all 40 schemes using daily return distributions:</w:t>
      </w:r>
    </w:p>
    <w:p w:rsidR="006F2F2A" w:rsidRDefault="00851FBE">
      <w:pPr>
        <w:spacing w:after="100"/>
      </w:pPr>
      <w:r>
        <w:rPr>
          <w:sz w:val="22"/>
          <w:szCs w:val="22"/>
        </w:rPr>
        <w:t xml:space="preserve">• Highest Risk: SBI Small Cap Direct — </w:t>
      </w:r>
      <w:proofErr w:type="spellStart"/>
      <w:r>
        <w:rPr>
          <w:sz w:val="22"/>
          <w:szCs w:val="22"/>
        </w:rPr>
        <w:t>VaR</w:t>
      </w:r>
      <w:proofErr w:type="spellEnd"/>
      <w:r>
        <w:rPr>
          <w:sz w:val="22"/>
          <w:szCs w:val="22"/>
        </w:rPr>
        <w:t xml:space="preserve"> -2.69%, </w:t>
      </w:r>
      <w:proofErr w:type="spellStart"/>
      <w:r>
        <w:rPr>
          <w:sz w:val="22"/>
          <w:szCs w:val="22"/>
        </w:rPr>
        <w:t>CVaR</w:t>
      </w:r>
      <w:proofErr w:type="spellEnd"/>
      <w:r>
        <w:rPr>
          <w:sz w:val="22"/>
          <w:szCs w:val="22"/>
        </w:rPr>
        <w:t xml:space="preserve"> -3.24%</w:t>
      </w:r>
    </w:p>
    <w:p w:rsidR="006F2F2A" w:rsidRDefault="00851FBE">
      <w:pPr>
        <w:spacing w:after="100"/>
      </w:pPr>
      <w:r>
        <w:rPr>
          <w:sz w:val="22"/>
          <w:szCs w:val="22"/>
        </w:rPr>
        <w:t xml:space="preserve">• Second Highest: Axis Small Cap Regular — </w:t>
      </w:r>
      <w:proofErr w:type="spellStart"/>
      <w:r>
        <w:rPr>
          <w:sz w:val="22"/>
          <w:szCs w:val="22"/>
        </w:rPr>
        <w:t>VaR</w:t>
      </w:r>
      <w:proofErr w:type="spellEnd"/>
      <w:r>
        <w:rPr>
          <w:sz w:val="22"/>
          <w:szCs w:val="22"/>
        </w:rPr>
        <w:t xml:space="preserve"> -2.62%, </w:t>
      </w:r>
      <w:proofErr w:type="spellStart"/>
      <w:r>
        <w:rPr>
          <w:sz w:val="22"/>
          <w:szCs w:val="22"/>
        </w:rPr>
        <w:t>CVaR</w:t>
      </w:r>
      <w:proofErr w:type="spellEnd"/>
      <w:r>
        <w:rPr>
          <w:sz w:val="22"/>
          <w:szCs w:val="22"/>
        </w:rPr>
        <w:t xml:space="preserve"> -3.17%</w:t>
      </w:r>
    </w:p>
    <w:p w:rsidR="006F2F2A" w:rsidRDefault="00851FBE">
      <w:pPr>
        <w:spacing w:after="100"/>
      </w:pPr>
      <w:r>
        <w:rPr>
          <w:sz w:val="22"/>
          <w:szCs w:val="22"/>
        </w:rPr>
        <w:t>• Small Cap fund</w:t>
      </w:r>
      <w:r>
        <w:rPr>
          <w:sz w:val="22"/>
          <w:szCs w:val="22"/>
        </w:rPr>
        <w:t xml:space="preserve">s consistently show highest </w:t>
      </w:r>
      <w:proofErr w:type="spellStart"/>
      <w:r>
        <w:rPr>
          <w:sz w:val="22"/>
          <w:szCs w:val="22"/>
        </w:rPr>
        <w:t>VaR</w:t>
      </w:r>
      <w:proofErr w:type="spellEnd"/>
      <w:r>
        <w:rPr>
          <w:sz w:val="22"/>
          <w:szCs w:val="22"/>
        </w:rPr>
        <w:t xml:space="preserve"> — confirming their high-risk nature</w:t>
      </w:r>
    </w:p>
    <w:p w:rsidR="006F2F2A" w:rsidRDefault="00851FBE">
      <w:pPr>
        <w:spacing w:after="100"/>
      </w:pPr>
      <w:r>
        <w:rPr>
          <w:sz w:val="22"/>
          <w:szCs w:val="22"/>
        </w:rPr>
        <w:t xml:space="preserve">• Liquid funds show near-zero </w:t>
      </w:r>
      <w:proofErr w:type="spellStart"/>
      <w:r>
        <w:rPr>
          <w:sz w:val="22"/>
          <w:szCs w:val="22"/>
        </w:rPr>
        <w:t>VaR</w:t>
      </w:r>
      <w:proofErr w:type="spellEnd"/>
      <w:r>
        <w:rPr>
          <w:sz w:val="22"/>
          <w:szCs w:val="22"/>
        </w:rPr>
        <w:t xml:space="preserve"> — safest category confirmed quantitatively</w:t>
      </w:r>
    </w:p>
    <w:p w:rsidR="006F2F2A" w:rsidRDefault="00851FBE">
      <w:pPr>
        <w:pStyle w:val="Heading2"/>
        <w:spacing w:before="300" w:after="150"/>
      </w:pPr>
      <w:r>
        <w:t>8.2 Rolling 90-Day Sharpe Ratio</w:t>
      </w:r>
    </w:p>
    <w:p w:rsidR="006F2F2A" w:rsidRDefault="00DD59F7">
      <w:pPr>
        <w:spacing w:before="200" w:after="100"/>
        <w:jc w:val="center"/>
      </w:pPr>
      <w:r>
        <w:rPr>
          <w:noProof/>
        </w:rPr>
        <w:drawing>
          <wp:inline distT="0" distB="0" distL="0" distR="0">
            <wp:extent cx="5731510" cy="286575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lling_sharpe_chart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F2A" w:rsidRDefault="00851FBE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10: Rolling 90-Day Sharpe Ratio for top 5 funds. All funds show positi</w:t>
      </w:r>
      <w:r>
        <w:rPr>
          <w:i/>
          <w:iCs/>
          <w:color w:val="595959"/>
          <w:sz w:val="18"/>
          <w:szCs w:val="18"/>
        </w:rPr>
        <w:t xml:space="preserve">ve Sharpe for majority of 2022–2026 with peak performance in </w:t>
      </w:r>
      <w:proofErr w:type="spellStart"/>
      <w:r>
        <w:rPr>
          <w:i/>
          <w:iCs/>
          <w:color w:val="595959"/>
          <w:sz w:val="18"/>
          <w:szCs w:val="18"/>
        </w:rPr>
        <w:t>mid 2024</w:t>
      </w:r>
      <w:proofErr w:type="spellEnd"/>
      <w:r>
        <w:rPr>
          <w:i/>
          <w:iCs/>
          <w:color w:val="595959"/>
          <w:sz w:val="18"/>
          <w:szCs w:val="18"/>
        </w:rPr>
        <w:t>–2025.</w:t>
      </w:r>
    </w:p>
    <w:p w:rsidR="006F2F2A" w:rsidRDefault="00851FBE">
      <w:pPr>
        <w:pStyle w:val="Heading2"/>
        <w:spacing w:before="300" w:after="150"/>
      </w:pPr>
      <w:r>
        <w:t>8.3 Investor Cohort Analysis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2000"/>
        <w:gridCol w:w="2000"/>
        <w:gridCol w:w="2000"/>
      </w:tblGrid>
      <w:tr w:rsidR="006F2F2A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1F3864"/>
          </w:tcPr>
          <w:p w:rsidR="006F2F2A" w:rsidRDefault="00851FBE">
            <w:r>
              <w:rPr>
                <w:b/>
                <w:bCs/>
                <w:color w:val="FFFFFF"/>
              </w:rPr>
              <w:t>Cohort Year</w:t>
            </w:r>
          </w:p>
        </w:tc>
        <w:tc>
          <w:tcPr>
            <w:tcW w:w="1500" w:type="dxa"/>
            <w:shd w:val="clear" w:color="auto" w:fill="1F3864"/>
          </w:tcPr>
          <w:p w:rsidR="006F2F2A" w:rsidRDefault="00851FBE">
            <w:r>
              <w:rPr>
                <w:b/>
                <w:bCs/>
                <w:color w:val="FFFFFF"/>
              </w:rPr>
              <w:t>Investors</w:t>
            </w:r>
          </w:p>
        </w:tc>
        <w:tc>
          <w:tcPr>
            <w:tcW w:w="2000" w:type="dxa"/>
            <w:shd w:val="clear" w:color="auto" w:fill="1F3864"/>
          </w:tcPr>
          <w:p w:rsidR="006F2F2A" w:rsidRDefault="00851FBE">
            <w:proofErr w:type="spellStart"/>
            <w:r>
              <w:rPr>
                <w:b/>
                <w:bCs/>
                <w:color w:val="FFFFFF"/>
              </w:rPr>
              <w:t>Avg</w:t>
            </w:r>
            <w:proofErr w:type="spellEnd"/>
            <w:r>
              <w:rPr>
                <w:b/>
                <w:bCs/>
                <w:color w:val="FFFFFF"/>
              </w:rPr>
              <w:t xml:space="preserve"> SIP Amount</w:t>
            </w:r>
          </w:p>
        </w:tc>
        <w:tc>
          <w:tcPr>
            <w:tcW w:w="2000" w:type="dxa"/>
            <w:shd w:val="clear" w:color="auto" w:fill="1F3864"/>
          </w:tcPr>
          <w:p w:rsidR="006F2F2A" w:rsidRDefault="00851FBE">
            <w:r>
              <w:rPr>
                <w:b/>
                <w:bCs/>
                <w:color w:val="FFFFFF"/>
              </w:rPr>
              <w:t>Total Invested</w:t>
            </w:r>
          </w:p>
        </w:tc>
        <w:tc>
          <w:tcPr>
            <w:tcW w:w="2000" w:type="dxa"/>
            <w:shd w:val="clear" w:color="auto" w:fill="1F3864"/>
          </w:tcPr>
          <w:p w:rsidR="006F2F2A" w:rsidRDefault="00851FBE">
            <w:r>
              <w:rPr>
                <w:b/>
                <w:bCs/>
                <w:color w:val="FFFFFF"/>
              </w:rPr>
              <w:t>Transactions</w:t>
            </w:r>
          </w:p>
        </w:tc>
      </w:tr>
      <w:tr w:rsidR="006F2F2A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2024</w:t>
            </w:r>
          </w:p>
        </w:tc>
        <w:tc>
          <w:tcPr>
            <w:tcW w:w="15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4,803</w:t>
            </w:r>
          </w:p>
        </w:tc>
        <w:tc>
          <w:tcPr>
            <w:tcW w:w="20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Rs.1,07,422</w:t>
            </w:r>
          </w:p>
        </w:tc>
        <w:tc>
          <w:tcPr>
            <w:tcW w:w="20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 xml:space="preserve">Rs.3,491 </w:t>
            </w:r>
            <w:proofErr w:type="spellStart"/>
            <w:r>
              <w:rPr>
                <w:sz w:val="18"/>
                <w:szCs w:val="18"/>
              </w:rPr>
              <w:t>Crore</w:t>
            </w:r>
            <w:proofErr w:type="spellEnd"/>
          </w:p>
        </w:tc>
        <w:tc>
          <w:tcPr>
            <w:tcW w:w="20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32,499</w:t>
            </w:r>
          </w:p>
        </w:tc>
      </w:tr>
      <w:tr w:rsidR="006F2F2A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>2025</w:t>
            </w:r>
          </w:p>
        </w:tc>
        <w:tc>
          <w:tcPr>
            <w:tcW w:w="15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>197</w:t>
            </w:r>
          </w:p>
        </w:tc>
        <w:tc>
          <w:tcPr>
            <w:tcW w:w="20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>Rs.1,09,158</w:t>
            </w:r>
          </w:p>
        </w:tc>
        <w:tc>
          <w:tcPr>
            <w:tcW w:w="20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 xml:space="preserve">Rs.30.45 </w:t>
            </w:r>
            <w:proofErr w:type="spellStart"/>
            <w:r>
              <w:rPr>
                <w:sz w:val="18"/>
                <w:szCs w:val="18"/>
              </w:rPr>
              <w:t>Crore</w:t>
            </w:r>
            <w:proofErr w:type="spellEnd"/>
          </w:p>
        </w:tc>
        <w:tc>
          <w:tcPr>
            <w:tcW w:w="20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>279</w:t>
            </w:r>
          </w:p>
        </w:tc>
      </w:tr>
    </w:tbl>
    <w:p w:rsidR="006F2F2A" w:rsidRDefault="006F2F2A">
      <w:pPr>
        <w:spacing w:after="150"/>
      </w:pPr>
    </w:p>
    <w:p w:rsidR="006F2F2A" w:rsidRDefault="00851FBE">
      <w:pPr>
        <w:spacing w:after="100"/>
      </w:pPr>
      <w:r>
        <w:rPr>
          <w:sz w:val="22"/>
          <w:szCs w:val="22"/>
        </w:rPr>
        <w:t xml:space="preserve">• 2025 cohort investors have higher </w:t>
      </w:r>
      <w:proofErr w:type="spellStart"/>
      <w:r>
        <w:rPr>
          <w:sz w:val="22"/>
          <w:szCs w:val="22"/>
        </w:rPr>
        <w:t>avg</w:t>
      </w:r>
      <w:proofErr w:type="spellEnd"/>
      <w:r>
        <w:rPr>
          <w:sz w:val="22"/>
          <w:szCs w:val="22"/>
        </w:rPr>
        <w:t xml:space="preserve"> SIP — newer investors investing more per transaction</w:t>
      </w:r>
    </w:p>
    <w:p w:rsidR="006F2F2A" w:rsidRDefault="00851FBE">
      <w:pPr>
        <w:spacing w:after="100"/>
      </w:pPr>
      <w:r>
        <w:rPr>
          <w:sz w:val="22"/>
          <w:szCs w:val="22"/>
        </w:rPr>
        <w:t xml:space="preserve">• 2024 cohort dominates total transactions with 32,499 </w:t>
      </w:r>
      <w:proofErr w:type="spellStart"/>
      <w:r>
        <w:rPr>
          <w:sz w:val="22"/>
          <w:szCs w:val="22"/>
        </w:rPr>
        <w:t>vs</w:t>
      </w:r>
      <w:proofErr w:type="spellEnd"/>
      <w:r>
        <w:rPr>
          <w:sz w:val="22"/>
          <w:szCs w:val="22"/>
        </w:rPr>
        <w:t xml:space="preserve"> only 279 in 2025 (partial year)</w:t>
      </w:r>
    </w:p>
    <w:p w:rsidR="006F2F2A" w:rsidRDefault="00851FBE">
      <w:pPr>
        <w:pStyle w:val="Heading2"/>
        <w:spacing w:before="300" w:after="150"/>
      </w:pPr>
      <w:r>
        <w:t>8.4 SIP Continuation Analysis</w:t>
      </w:r>
    </w:p>
    <w:p w:rsidR="006F2F2A" w:rsidRDefault="00851FBE">
      <w:pPr>
        <w:spacing w:after="100"/>
      </w:pPr>
      <w:r>
        <w:rPr>
          <w:sz w:val="22"/>
          <w:szCs w:val="22"/>
        </w:rPr>
        <w:t>• 1,362 active investors with 6+ SIP transactions analysed</w:t>
      </w:r>
    </w:p>
    <w:p w:rsidR="006F2F2A" w:rsidRDefault="00851FBE">
      <w:pPr>
        <w:spacing w:after="100"/>
      </w:pPr>
      <w:r>
        <w:rPr>
          <w:sz w:val="22"/>
          <w:szCs w:val="22"/>
        </w:rPr>
        <w:t>• 1,332 At-Risk investors (97.8%) — gaps exceeding 35 days between transactions</w:t>
      </w:r>
    </w:p>
    <w:p w:rsidR="006F2F2A" w:rsidRDefault="00851FBE">
      <w:pPr>
        <w:spacing w:after="100"/>
      </w:pPr>
      <w:r>
        <w:rPr>
          <w:sz w:val="22"/>
          <w:szCs w:val="22"/>
        </w:rPr>
        <w:t>• Only 30 Regular investors (2.2%) — major SIP retention challenge for AMCs</w:t>
      </w:r>
    </w:p>
    <w:p w:rsidR="006F2F2A" w:rsidRDefault="00851FBE">
      <w:pPr>
        <w:spacing w:after="100"/>
      </w:pPr>
      <w:r>
        <w:rPr>
          <w:sz w:val="22"/>
          <w:szCs w:val="22"/>
        </w:rPr>
        <w:t>• Recommendation: Implement auto-debit ma</w:t>
      </w:r>
      <w:r>
        <w:rPr>
          <w:sz w:val="22"/>
          <w:szCs w:val="22"/>
        </w:rPr>
        <w:t>ndates and SIP reminder campaigns</w:t>
      </w:r>
    </w:p>
    <w:p w:rsidR="006F2F2A" w:rsidRDefault="00851FBE">
      <w:pPr>
        <w:pStyle w:val="Heading2"/>
        <w:spacing w:before="300" w:after="150"/>
      </w:pPr>
      <w:r>
        <w:t>8.5 Fund Recommendation Engine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00"/>
        <w:gridCol w:w="1800"/>
        <w:gridCol w:w="2600"/>
      </w:tblGrid>
      <w:tr w:rsidR="006F2F2A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1F3864"/>
          </w:tcPr>
          <w:p w:rsidR="006F2F2A" w:rsidRDefault="00851FBE">
            <w:r>
              <w:rPr>
                <w:b/>
                <w:bCs/>
                <w:color w:val="FFFFFF"/>
              </w:rPr>
              <w:lastRenderedPageBreak/>
              <w:t>Risk Appetite</w:t>
            </w:r>
          </w:p>
        </w:tc>
        <w:tc>
          <w:tcPr>
            <w:tcW w:w="2800" w:type="dxa"/>
            <w:shd w:val="clear" w:color="auto" w:fill="1F3864"/>
          </w:tcPr>
          <w:p w:rsidR="006F2F2A" w:rsidRDefault="00851FBE">
            <w:r>
              <w:rPr>
                <w:b/>
                <w:bCs/>
                <w:color w:val="FFFFFF"/>
              </w:rPr>
              <w:t>Top Recommended Fund</w:t>
            </w:r>
          </w:p>
        </w:tc>
        <w:tc>
          <w:tcPr>
            <w:tcW w:w="1800" w:type="dxa"/>
            <w:shd w:val="clear" w:color="auto" w:fill="1F3864"/>
          </w:tcPr>
          <w:p w:rsidR="006F2F2A" w:rsidRDefault="00851FBE">
            <w:r>
              <w:rPr>
                <w:b/>
                <w:bCs/>
                <w:color w:val="FFFFFF"/>
              </w:rPr>
              <w:t>Sharpe Ratio</w:t>
            </w:r>
          </w:p>
        </w:tc>
        <w:tc>
          <w:tcPr>
            <w:tcW w:w="2600" w:type="dxa"/>
            <w:shd w:val="clear" w:color="auto" w:fill="1F3864"/>
          </w:tcPr>
          <w:p w:rsidR="006F2F2A" w:rsidRDefault="00851FBE">
            <w:r>
              <w:rPr>
                <w:b/>
                <w:bCs/>
                <w:color w:val="FFFFFF"/>
              </w:rPr>
              <w:t>3yr Return</w:t>
            </w:r>
          </w:p>
        </w:tc>
      </w:tr>
      <w:tr w:rsidR="006F2F2A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Low</w:t>
            </w:r>
          </w:p>
        </w:tc>
        <w:tc>
          <w:tcPr>
            <w:tcW w:w="28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 xml:space="preserve">ICICI </w:t>
            </w:r>
            <w:proofErr w:type="spellStart"/>
            <w:r>
              <w:rPr>
                <w:sz w:val="18"/>
                <w:szCs w:val="18"/>
              </w:rPr>
              <w:t>Pru</w:t>
            </w:r>
            <w:proofErr w:type="spellEnd"/>
            <w:r>
              <w:rPr>
                <w:sz w:val="18"/>
                <w:szCs w:val="18"/>
              </w:rPr>
              <w:t xml:space="preserve"> Liquid Fund - Regular</w:t>
            </w:r>
          </w:p>
        </w:tc>
        <w:tc>
          <w:tcPr>
            <w:tcW w:w="18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7.68</w:t>
            </w:r>
          </w:p>
        </w:tc>
        <w:tc>
          <w:tcPr>
            <w:tcW w:w="26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7.68%</w:t>
            </w:r>
          </w:p>
        </w:tc>
      </w:tr>
      <w:tr w:rsidR="006F2F2A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>Low</w:t>
            </w:r>
          </w:p>
        </w:tc>
        <w:tc>
          <w:tcPr>
            <w:tcW w:w="2800" w:type="dxa"/>
            <w:shd w:val="clear" w:color="auto" w:fill="FFFFFF"/>
          </w:tcPr>
          <w:p w:rsidR="006F2F2A" w:rsidRDefault="00851FBE">
            <w:proofErr w:type="spellStart"/>
            <w:r>
              <w:rPr>
                <w:sz w:val="18"/>
                <w:szCs w:val="18"/>
              </w:rPr>
              <w:t>Kotak</w:t>
            </w:r>
            <w:proofErr w:type="spellEnd"/>
            <w:r>
              <w:rPr>
                <w:sz w:val="18"/>
                <w:szCs w:val="18"/>
              </w:rPr>
              <w:t xml:space="preserve"> Liquid Fund - Regular</w:t>
            </w:r>
          </w:p>
        </w:tc>
        <w:tc>
          <w:tcPr>
            <w:tcW w:w="18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>6.18</w:t>
            </w:r>
          </w:p>
        </w:tc>
        <w:tc>
          <w:tcPr>
            <w:tcW w:w="26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>6.18%</w:t>
            </w:r>
          </w:p>
        </w:tc>
      </w:tr>
      <w:tr w:rsidR="006F2F2A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Moderate</w:t>
            </w:r>
          </w:p>
        </w:tc>
        <w:tc>
          <w:tcPr>
            <w:tcW w:w="28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HDFC Top 100 Fund - Regular</w:t>
            </w:r>
          </w:p>
        </w:tc>
        <w:tc>
          <w:tcPr>
            <w:tcW w:w="18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1.06</w:t>
            </w:r>
          </w:p>
        </w:tc>
        <w:tc>
          <w:tcPr>
            <w:tcW w:w="26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14.84%</w:t>
            </w:r>
          </w:p>
        </w:tc>
      </w:tr>
      <w:tr w:rsidR="006F2F2A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>Moderate</w:t>
            </w:r>
          </w:p>
        </w:tc>
        <w:tc>
          <w:tcPr>
            <w:tcW w:w="2800" w:type="dxa"/>
            <w:shd w:val="clear" w:color="auto" w:fill="FFFFFF"/>
          </w:tcPr>
          <w:p w:rsidR="006F2F2A" w:rsidRDefault="00851FBE">
            <w:proofErr w:type="spellStart"/>
            <w:r>
              <w:rPr>
                <w:sz w:val="18"/>
                <w:szCs w:val="18"/>
              </w:rPr>
              <w:t>Mirae</w:t>
            </w:r>
            <w:proofErr w:type="spellEnd"/>
            <w:r>
              <w:rPr>
                <w:sz w:val="18"/>
                <w:szCs w:val="18"/>
              </w:rPr>
              <w:t xml:space="preserve"> Asset Large Cap - Regular</w:t>
            </w:r>
          </w:p>
        </w:tc>
        <w:tc>
          <w:tcPr>
            <w:tcW w:w="18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>1.06</w:t>
            </w:r>
          </w:p>
        </w:tc>
        <w:tc>
          <w:tcPr>
            <w:tcW w:w="26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>14.81%</w:t>
            </w:r>
          </w:p>
        </w:tc>
      </w:tr>
      <w:tr w:rsidR="006F2F2A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High</w:t>
            </w:r>
          </w:p>
        </w:tc>
        <w:tc>
          <w:tcPr>
            <w:tcW w:w="2800" w:type="dxa"/>
            <w:shd w:val="clear" w:color="auto" w:fill="EBF3FB"/>
          </w:tcPr>
          <w:p w:rsidR="006F2F2A" w:rsidRDefault="00851FBE">
            <w:proofErr w:type="spellStart"/>
            <w:r>
              <w:rPr>
                <w:sz w:val="18"/>
                <w:szCs w:val="18"/>
              </w:rPr>
              <w:t>Kotak</w:t>
            </w:r>
            <w:proofErr w:type="spellEnd"/>
            <w:r>
              <w:rPr>
                <w:sz w:val="18"/>
                <w:szCs w:val="18"/>
              </w:rPr>
              <w:t xml:space="preserve"> Emerging Equity - Regular</w:t>
            </w:r>
          </w:p>
        </w:tc>
        <w:tc>
          <w:tcPr>
            <w:tcW w:w="18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0.96</w:t>
            </w:r>
          </w:p>
        </w:tc>
        <w:tc>
          <w:tcPr>
            <w:tcW w:w="26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18.23%</w:t>
            </w:r>
          </w:p>
        </w:tc>
      </w:tr>
      <w:tr w:rsidR="006F2F2A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>High</w:t>
            </w:r>
          </w:p>
        </w:tc>
        <w:tc>
          <w:tcPr>
            <w:tcW w:w="28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 xml:space="preserve">ICICI </w:t>
            </w:r>
            <w:proofErr w:type="spellStart"/>
            <w:r>
              <w:rPr>
                <w:sz w:val="18"/>
                <w:szCs w:val="18"/>
              </w:rPr>
              <w:t>Pru</w:t>
            </w:r>
            <w:proofErr w:type="spellEnd"/>
            <w:r>
              <w:rPr>
                <w:sz w:val="18"/>
                <w:szCs w:val="18"/>
              </w:rPr>
              <w:t xml:space="preserve"> Midcap - Regular</w:t>
            </w:r>
          </w:p>
        </w:tc>
        <w:tc>
          <w:tcPr>
            <w:tcW w:w="18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>0.95</w:t>
            </w:r>
          </w:p>
        </w:tc>
        <w:tc>
          <w:tcPr>
            <w:tcW w:w="26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>18.08%</w:t>
            </w:r>
          </w:p>
        </w:tc>
      </w:tr>
    </w:tbl>
    <w:p w:rsidR="006F2F2A" w:rsidRDefault="00851FBE">
      <w:pPr>
        <w:pStyle w:val="Heading2"/>
        <w:spacing w:before="300" w:after="150"/>
      </w:pPr>
      <w:r>
        <w:t>8.6 Sector Concentration (HHI)</w:t>
      </w:r>
    </w:p>
    <w:p w:rsidR="006F2F2A" w:rsidRDefault="00851FBE">
      <w:pPr>
        <w:spacing w:after="100"/>
      </w:pPr>
      <w:r>
        <w:rPr>
          <w:sz w:val="22"/>
          <w:szCs w:val="22"/>
        </w:rPr>
        <w:t xml:space="preserve">• Most Concentrated: Axis </w:t>
      </w:r>
      <w:proofErr w:type="spellStart"/>
      <w:r>
        <w:rPr>
          <w:sz w:val="22"/>
          <w:szCs w:val="22"/>
        </w:rPr>
        <w:t>Bluechip</w:t>
      </w:r>
      <w:proofErr w:type="spellEnd"/>
      <w:r>
        <w:rPr>
          <w:sz w:val="22"/>
          <w:szCs w:val="22"/>
        </w:rPr>
        <w:t xml:space="preserve"> Regular (HHI 2967) — heavily weighted in few sectors</w:t>
      </w:r>
    </w:p>
    <w:p w:rsidR="006F2F2A" w:rsidRDefault="00851FBE">
      <w:pPr>
        <w:spacing w:after="100"/>
      </w:pPr>
      <w:r>
        <w:rPr>
          <w:sz w:val="22"/>
          <w:szCs w:val="22"/>
        </w:rPr>
        <w:t xml:space="preserve">• </w:t>
      </w:r>
      <w:proofErr w:type="spellStart"/>
      <w:r>
        <w:rPr>
          <w:sz w:val="22"/>
          <w:szCs w:val="22"/>
        </w:rPr>
        <w:t>Mirae</w:t>
      </w:r>
      <w:proofErr w:type="spellEnd"/>
      <w:r>
        <w:rPr>
          <w:sz w:val="22"/>
          <w:szCs w:val="22"/>
        </w:rPr>
        <w:t xml:space="preserve"> Asset Tax Saver (HHI 2549) and HDFC Mid-Cap Direct (HHI 2531) also highly concentrated</w:t>
      </w:r>
    </w:p>
    <w:p w:rsidR="006F2F2A" w:rsidRDefault="00851FBE">
      <w:pPr>
        <w:spacing w:after="100"/>
      </w:pPr>
      <w:r>
        <w:rPr>
          <w:sz w:val="22"/>
          <w:szCs w:val="22"/>
        </w:rPr>
        <w:t>• High HHI = concentrated portfolio, higher sector risk for investors</w:t>
      </w:r>
    </w:p>
    <w:p w:rsidR="006F2F2A" w:rsidRDefault="00851FBE">
      <w:r>
        <w:br w:type="page"/>
      </w:r>
    </w:p>
    <w:p w:rsidR="006F2F2A" w:rsidRDefault="00851FBE">
      <w:pPr>
        <w:pStyle w:val="Heading1"/>
        <w:spacing w:before="400" w:after="200"/>
      </w:pPr>
      <w:r>
        <w:lastRenderedPageBreak/>
        <w:t>9. Recommendations</w:t>
      </w:r>
    </w:p>
    <w:p w:rsidR="006F2F2A" w:rsidRDefault="00851FBE">
      <w:pPr>
        <w:spacing w:after="100"/>
      </w:pPr>
      <w:r>
        <w:rPr>
          <w:sz w:val="22"/>
          <w:szCs w:val="22"/>
        </w:rPr>
        <w:t xml:space="preserve">• Fund Selection: ICICI </w:t>
      </w:r>
      <w:proofErr w:type="spellStart"/>
      <w:r>
        <w:rPr>
          <w:sz w:val="22"/>
          <w:szCs w:val="22"/>
        </w:rPr>
        <w:t>Pru</w:t>
      </w:r>
      <w:proofErr w:type="spellEnd"/>
      <w:r>
        <w:rPr>
          <w:sz w:val="22"/>
          <w:szCs w:val="22"/>
        </w:rPr>
        <w:t xml:space="preserve"> Midcap (Score 100) and </w:t>
      </w:r>
      <w:proofErr w:type="spellStart"/>
      <w:r>
        <w:rPr>
          <w:sz w:val="22"/>
          <w:szCs w:val="22"/>
        </w:rPr>
        <w:t>Mirae</w:t>
      </w:r>
      <w:proofErr w:type="spellEnd"/>
      <w:r>
        <w:rPr>
          <w:sz w:val="22"/>
          <w:szCs w:val="22"/>
        </w:rPr>
        <w:t xml:space="preserve"> Asset Large Cap (Sharpe 1.45) are top picks for risk-adjusted returns based on the composite scorecard</w:t>
      </w:r>
    </w:p>
    <w:p w:rsidR="006F2F2A" w:rsidRDefault="00851FBE">
      <w:pPr>
        <w:spacing w:after="100"/>
      </w:pPr>
      <w:r>
        <w:rPr>
          <w:sz w:val="22"/>
          <w:szCs w:val="22"/>
        </w:rPr>
        <w:t xml:space="preserve">• SIP Retention: 97.8% at-risk investors need targeted retention campaigns — </w:t>
      </w:r>
      <w:r>
        <w:rPr>
          <w:sz w:val="22"/>
          <w:szCs w:val="22"/>
        </w:rPr>
        <w:t>AMCs should implement mandatory auto-debit and SIP reminder notifications</w:t>
      </w:r>
    </w:p>
    <w:p w:rsidR="006F2F2A" w:rsidRDefault="00851FBE">
      <w:pPr>
        <w:spacing w:after="100"/>
      </w:pPr>
      <w:r>
        <w:rPr>
          <w:sz w:val="22"/>
          <w:szCs w:val="22"/>
        </w:rPr>
        <w:t>• B30 Penetration: 33.7% transactions from B30 cities shows growth opportunity — increase digital financial literacy outreach in smaller cities</w:t>
      </w:r>
    </w:p>
    <w:p w:rsidR="006F2F2A" w:rsidRDefault="00851FBE">
      <w:pPr>
        <w:spacing w:after="100"/>
      </w:pPr>
      <w:r>
        <w:rPr>
          <w:sz w:val="22"/>
          <w:szCs w:val="22"/>
        </w:rPr>
        <w:t xml:space="preserve">• Risk Awareness: Small Cap investors </w:t>
      </w:r>
      <w:r>
        <w:rPr>
          <w:sz w:val="22"/>
          <w:szCs w:val="22"/>
        </w:rPr>
        <w:t>should be informed of -52.57% max drawdown risk before investing — improve suitability assessment</w:t>
      </w:r>
    </w:p>
    <w:p w:rsidR="006F2F2A" w:rsidRDefault="00851FBE">
      <w:pPr>
        <w:spacing w:after="100"/>
      </w:pPr>
      <w:r>
        <w:rPr>
          <w:sz w:val="22"/>
          <w:szCs w:val="22"/>
        </w:rPr>
        <w:t>• Gender Gap: Only 33.5% female investors — targeted financial literacy programs and women-focused SIP products needed</w:t>
      </w:r>
    </w:p>
    <w:p w:rsidR="006F2F2A" w:rsidRDefault="00851FBE">
      <w:pPr>
        <w:spacing w:after="100"/>
      </w:pPr>
      <w:r>
        <w:rPr>
          <w:sz w:val="22"/>
          <w:szCs w:val="22"/>
        </w:rPr>
        <w:t>• Portfolio Diversification: Funds with</w:t>
      </w:r>
      <w:r>
        <w:rPr>
          <w:sz w:val="22"/>
          <w:szCs w:val="22"/>
        </w:rPr>
        <w:t xml:space="preserve"> high HHI (&gt;2500) should consider sector diversification to reduce concentration risk</w:t>
      </w:r>
    </w:p>
    <w:p w:rsidR="006F2F2A" w:rsidRDefault="00851FBE">
      <w:r>
        <w:br w:type="page"/>
      </w:r>
    </w:p>
    <w:p w:rsidR="006F2F2A" w:rsidRDefault="00851FBE">
      <w:pPr>
        <w:pStyle w:val="Heading1"/>
        <w:spacing w:before="400" w:after="200"/>
      </w:pPr>
      <w:r>
        <w:lastRenderedPageBreak/>
        <w:t>10. Limitations</w:t>
      </w:r>
    </w:p>
    <w:p w:rsidR="006F2F2A" w:rsidRDefault="00851FBE">
      <w:pPr>
        <w:spacing w:after="100"/>
      </w:pPr>
      <w:r>
        <w:rPr>
          <w:sz w:val="22"/>
          <w:szCs w:val="22"/>
        </w:rPr>
        <w:t>• Investor transaction data is synthetically generated — real behavioural patterns may differ from analysis</w:t>
      </w:r>
    </w:p>
    <w:p w:rsidR="006F2F2A" w:rsidRDefault="00851FBE">
      <w:pPr>
        <w:spacing w:after="100"/>
      </w:pPr>
      <w:r>
        <w:rPr>
          <w:sz w:val="22"/>
          <w:szCs w:val="22"/>
        </w:rPr>
        <w:t>• Only 40 of 1,908 industry schemes covered — not fully representative of the complete market</w:t>
      </w:r>
    </w:p>
    <w:p w:rsidR="006F2F2A" w:rsidRDefault="00851FBE">
      <w:pPr>
        <w:spacing w:after="100"/>
      </w:pPr>
      <w:r>
        <w:rPr>
          <w:sz w:val="22"/>
          <w:szCs w:val="22"/>
        </w:rPr>
        <w:t xml:space="preserve">• SQLite used for development — production deployment would require </w:t>
      </w:r>
      <w:proofErr w:type="spellStart"/>
      <w:r>
        <w:rPr>
          <w:sz w:val="22"/>
          <w:szCs w:val="22"/>
        </w:rPr>
        <w:t>PostgreSQL</w:t>
      </w:r>
      <w:proofErr w:type="spellEnd"/>
      <w:r>
        <w:rPr>
          <w:sz w:val="22"/>
          <w:szCs w:val="22"/>
        </w:rPr>
        <w:t xml:space="preserve"> or a cloud data warehouse (Snowflake/</w:t>
      </w:r>
      <w:proofErr w:type="spellStart"/>
      <w:r>
        <w:rPr>
          <w:sz w:val="22"/>
          <w:szCs w:val="22"/>
        </w:rPr>
        <w:t>BigQuery</w:t>
      </w:r>
      <w:proofErr w:type="spellEnd"/>
      <w:r>
        <w:rPr>
          <w:sz w:val="22"/>
          <w:szCs w:val="22"/>
        </w:rPr>
        <w:t>)</w:t>
      </w:r>
    </w:p>
    <w:p w:rsidR="006F2F2A" w:rsidRDefault="00851FBE">
      <w:pPr>
        <w:spacing w:after="100"/>
      </w:pPr>
      <w:r>
        <w:rPr>
          <w:sz w:val="22"/>
          <w:szCs w:val="22"/>
        </w:rPr>
        <w:t>• No pipeline orchestration (Airflow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cron</w:t>
      </w:r>
      <w:proofErr w:type="spellEnd"/>
      <w:r>
        <w:rPr>
          <w:sz w:val="22"/>
          <w:szCs w:val="22"/>
        </w:rPr>
        <w:t>) — ETL runs manually; real-world deployment needs scheduling</w:t>
      </w:r>
    </w:p>
    <w:p w:rsidR="006F2F2A" w:rsidRDefault="00851FBE">
      <w:pPr>
        <w:spacing w:after="100"/>
      </w:pPr>
      <w:r>
        <w:rPr>
          <w:sz w:val="22"/>
          <w:szCs w:val="22"/>
        </w:rPr>
        <w:t>• Dashboard not deployed to cloud — Power BI Service or Tableau Public deployment pending</w:t>
      </w:r>
    </w:p>
    <w:p w:rsidR="006F2F2A" w:rsidRDefault="00851FBE">
      <w:pPr>
        <w:spacing w:after="100"/>
      </w:pPr>
      <w:r>
        <w:rPr>
          <w:sz w:val="22"/>
          <w:szCs w:val="22"/>
        </w:rPr>
        <w:t>• Beta values are near zero — suggesting low correlation with Nifty 100 benchmark which may indicat</w:t>
      </w:r>
      <w:r>
        <w:rPr>
          <w:sz w:val="22"/>
          <w:szCs w:val="22"/>
        </w:rPr>
        <w:t>e data alignment issues</w:t>
      </w:r>
    </w:p>
    <w:p w:rsidR="006F2F2A" w:rsidRDefault="00851FBE">
      <w:r>
        <w:br w:type="page"/>
      </w:r>
    </w:p>
    <w:p w:rsidR="006F2F2A" w:rsidRDefault="00851FBE">
      <w:pPr>
        <w:pStyle w:val="Heading1"/>
        <w:spacing w:before="400" w:after="200"/>
      </w:pPr>
      <w:r>
        <w:lastRenderedPageBreak/>
        <w:t>11. Technical Stack</w:t>
      </w:r>
    </w:p>
    <w:p w:rsidR="006F2F2A" w:rsidRDefault="006F2F2A">
      <w:pPr>
        <w:spacing w:after="15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4200"/>
      </w:tblGrid>
      <w:tr w:rsidR="006F2F2A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F3864"/>
          </w:tcPr>
          <w:p w:rsidR="006F2F2A" w:rsidRDefault="00851FBE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2800" w:type="dxa"/>
            <w:shd w:val="clear" w:color="auto" w:fill="1F3864"/>
          </w:tcPr>
          <w:p w:rsidR="006F2F2A" w:rsidRDefault="00851FBE">
            <w:r>
              <w:rPr>
                <w:b/>
                <w:bCs/>
                <w:color w:val="FFFFFF"/>
              </w:rPr>
              <w:t>Tool / Library</w:t>
            </w:r>
          </w:p>
        </w:tc>
        <w:tc>
          <w:tcPr>
            <w:tcW w:w="4200" w:type="dxa"/>
            <w:shd w:val="clear" w:color="auto" w:fill="1F3864"/>
          </w:tcPr>
          <w:p w:rsidR="006F2F2A" w:rsidRDefault="00851FBE">
            <w:r>
              <w:rPr>
                <w:b/>
                <w:bCs/>
                <w:color w:val="FFFFFF"/>
              </w:rPr>
              <w:t>Purpose</w:t>
            </w:r>
          </w:p>
        </w:tc>
      </w:tr>
      <w:tr w:rsidR="006F2F2A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28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Python 3.10+</w:t>
            </w:r>
          </w:p>
        </w:tc>
        <w:tc>
          <w:tcPr>
            <w:tcW w:w="42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All data processing, ETL and analytics</w:t>
            </w:r>
          </w:p>
        </w:tc>
      </w:tr>
      <w:tr w:rsidR="006F2F2A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>Data Processing</w:t>
            </w:r>
          </w:p>
        </w:tc>
        <w:tc>
          <w:tcPr>
            <w:tcW w:w="28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>Pandas 2.0+</w:t>
            </w:r>
          </w:p>
        </w:tc>
        <w:tc>
          <w:tcPr>
            <w:tcW w:w="4200" w:type="dxa"/>
            <w:shd w:val="clear" w:color="auto" w:fill="FFFFFF"/>
          </w:tcPr>
          <w:p w:rsidR="006F2F2A" w:rsidRDefault="00851FBE">
            <w:proofErr w:type="spellStart"/>
            <w:r>
              <w:rPr>
                <w:sz w:val="18"/>
                <w:szCs w:val="18"/>
              </w:rPr>
              <w:t>DataFrames</w:t>
            </w:r>
            <w:proofErr w:type="spellEnd"/>
            <w:r>
              <w:rPr>
                <w:sz w:val="18"/>
                <w:szCs w:val="18"/>
              </w:rPr>
              <w:t>, cleaning and aggregation</w:t>
            </w:r>
          </w:p>
        </w:tc>
      </w:tr>
      <w:tr w:rsidR="006F2F2A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Numerical</w:t>
            </w:r>
          </w:p>
        </w:tc>
        <w:tc>
          <w:tcPr>
            <w:tcW w:w="2800" w:type="dxa"/>
            <w:shd w:val="clear" w:color="auto" w:fill="EBF3FB"/>
          </w:tcPr>
          <w:p w:rsidR="006F2F2A" w:rsidRDefault="00851FBE">
            <w:proofErr w:type="spellStart"/>
            <w:r>
              <w:rPr>
                <w:sz w:val="18"/>
                <w:szCs w:val="18"/>
              </w:rPr>
              <w:t>NumPy</w:t>
            </w:r>
            <w:proofErr w:type="spellEnd"/>
            <w:r>
              <w:rPr>
                <w:sz w:val="18"/>
                <w:szCs w:val="18"/>
              </w:rPr>
              <w:t xml:space="preserve"> 1.24+</w:t>
            </w:r>
          </w:p>
        </w:tc>
        <w:tc>
          <w:tcPr>
            <w:tcW w:w="42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Risk metrics and statistical functions</w:t>
            </w:r>
          </w:p>
        </w:tc>
      </w:tr>
      <w:tr w:rsidR="006F2F2A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>Statistics</w:t>
            </w:r>
          </w:p>
        </w:tc>
        <w:tc>
          <w:tcPr>
            <w:tcW w:w="2800" w:type="dxa"/>
            <w:shd w:val="clear" w:color="auto" w:fill="FFFFFF"/>
          </w:tcPr>
          <w:p w:rsidR="006F2F2A" w:rsidRDefault="00851FBE">
            <w:proofErr w:type="spellStart"/>
            <w:r>
              <w:rPr>
                <w:sz w:val="18"/>
                <w:szCs w:val="18"/>
              </w:rPr>
              <w:t>SciPy</w:t>
            </w:r>
            <w:proofErr w:type="spellEnd"/>
            <w:r>
              <w:rPr>
                <w:sz w:val="18"/>
                <w:szCs w:val="18"/>
              </w:rPr>
              <w:t xml:space="preserve"> 1.10+</w:t>
            </w:r>
          </w:p>
        </w:tc>
        <w:tc>
          <w:tcPr>
            <w:tcW w:w="42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>OLS regression for Beta/Alpha computation</w:t>
            </w:r>
          </w:p>
        </w:tc>
      </w:tr>
      <w:tr w:rsidR="006F2F2A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Visualisation</w:t>
            </w:r>
          </w:p>
        </w:tc>
        <w:tc>
          <w:tcPr>
            <w:tcW w:w="2800" w:type="dxa"/>
            <w:shd w:val="clear" w:color="auto" w:fill="EBF3FB"/>
          </w:tcPr>
          <w:p w:rsidR="006F2F2A" w:rsidRDefault="00851FBE">
            <w:proofErr w:type="spellStart"/>
            <w:r>
              <w:rPr>
                <w:sz w:val="18"/>
                <w:szCs w:val="18"/>
              </w:rPr>
              <w:t>Matplotlib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Seaborn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Plotly</w:t>
            </w:r>
            <w:proofErr w:type="spellEnd"/>
          </w:p>
        </w:tc>
        <w:tc>
          <w:tcPr>
            <w:tcW w:w="42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Static and interactive EDA charts</w:t>
            </w:r>
          </w:p>
        </w:tc>
      </w:tr>
      <w:tr w:rsidR="006F2F2A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>Database</w:t>
            </w:r>
          </w:p>
        </w:tc>
        <w:tc>
          <w:tcPr>
            <w:tcW w:w="28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>SQLite3 (built-in)</w:t>
            </w:r>
          </w:p>
        </w:tc>
        <w:tc>
          <w:tcPr>
            <w:tcW w:w="42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>Local relational star schema database</w:t>
            </w:r>
          </w:p>
        </w:tc>
      </w:tr>
      <w:tr w:rsidR="006F2F2A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ORM</w:t>
            </w:r>
          </w:p>
        </w:tc>
        <w:tc>
          <w:tcPr>
            <w:tcW w:w="2800" w:type="dxa"/>
            <w:shd w:val="clear" w:color="auto" w:fill="EBF3FB"/>
          </w:tcPr>
          <w:p w:rsidR="006F2F2A" w:rsidRDefault="00851FBE">
            <w:proofErr w:type="spellStart"/>
            <w:r>
              <w:rPr>
                <w:sz w:val="18"/>
                <w:szCs w:val="18"/>
              </w:rPr>
              <w:t>SQLAlchemy</w:t>
            </w:r>
            <w:proofErr w:type="spellEnd"/>
            <w:r>
              <w:rPr>
                <w:sz w:val="18"/>
                <w:szCs w:val="18"/>
              </w:rPr>
              <w:t xml:space="preserve"> 2.0</w:t>
            </w:r>
          </w:p>
        </w:tc>
        <w:tc>
          <w:tcPr>
            <w:tcW w:w="42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Python-to-SQLite interface</w:t>
            </w:r>
          </w:p>
        </w:tc>
      </w:tr>
      <w:tr w:rsidR="006F2F2A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>Dashboard</w:t>
            </w:r>
          </w:p>
        </w:tc>
        <w:tc>
          <w:tcPr>
            <w:tcW w:w="28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>Power BI Desktop</w:t>
            </w:r>
          </w:p>
        </w:tc>
        <w:tc>
          <w:tcPr>
            <w:tcW w:w="42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>Interactive 4-page BI dashboard</w:t>
            </w:r>
          </w:p>
        </w:tc>
      </w:tr>
      <w:tr w:rsidR="006F2F2A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API Client</w:t>
            </w:r>
          </w:p>
        </w:tc>
        <w:tc>
          <w:tcPr>
            <w:tcW w:w="28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Requests 2.30+</w:t>
            </w:r>
          </w:p>
        </w:tc>
        <w:tc>
          <w:tcPr>
            <w:tcW w:w="42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mfapi.in live NAV data fetching</w:t>
            </w:r>
          </w:p>
        </w:tc>
      </w:tr>
      <w:tr w:rsidR="006F2F2A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>Notebooks</w:t>
            </w:r>
          </w:p>
        </w:tc>
        <w:tc>
          <w:tcPr>
            <w:tcW w:w="2800" w:type="dxa"/>
            <w:shd w:val="clear" w:color="auto" w:fill="FFFFFF"/>
          </w:tcPr>
          <w:p w:rsidR="006F2F2A" w:rsidRDefault="00851FBE">
            <w:proofErr w:type="spellStart"/>
            <w:r>
              <w:rPr>
                <w:sz w:val="18"/>
                <w:szCs w:val="18"/>
              </w:rPr>
              <w:t>Jupyter</w:t>
            </w:r>
            <w:proofErr w:type="spellEnd"/>
            <w:r>
              <w:rPr>
                <w:sz w:val="18"/>
                <w:szCs w:val="18"/>
              </w:rPr>
              <w:t xml:space="preserve"> Lab 4.x</w:t>
            </w:r>
          </w:p>
        </w:tc>
        <w:tc>
          <w:tcPr>
            <w:tcW w:w="4200" w:type="dxa"/>
            <w:shd w:val="clear" w:color="auto" w:fill="FFFFFF"/>
          </w:tcPr>
          <w:p w:rsidR="006F2F2A" w:rsidRDefault="00851FBE">
            <w:r>
              <w:rPr>
                <w:sz w:val="18"/>
                <w:szCs w:val="18"/>
              </w:rPr>
              <w:t>EDA and analytics notebooks</w:t>
            </w:r>
          </w:p>
        </w:tc>
      </w:tr>
      <w:tr w:rsidR="006F2F2A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Version Control</w:t>
            </w:r>
          </w:p>
        </w:tc>
        <w:tc>
          <w:tcPr>
            <w:tcW w:w="28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 xml:space="preserve">Git + </w:t>
            </w:r>
            <w:proofErr w:type="spellStart"/>
            <w:r>
              <w:rPr>
                <w:sz w:val="18"/>
                <w:szCs w:val="18"/>
              </w:rPr>
              <w:t>GitHub</w:t>
            </w:r>
            <w:proofErr w:type="spellEnd"/>
          </w:p>
        </w:tc>
        <w:tc>
          <w:tcPr>
            <w:tcW w:w="4200" w:type="dxa"/>
            <w:shd w:val="clear" w:color="auto" w:fill="EBF3FB"/>
          </w:tcPr>
          <w:p w:rsidR="006F2F2A" w:rsidRDefault="00851FBE">
            <w:r>
              <w:rPr>
                <w:sz w:val="18"/>
                <w:szCs w:val="18"/>
              </w:rPr>
              <w:t>Code versioning and submission</w:t>
            </w:r>
          </w:p>
        </w:tc>
      </w:tr>
    </w:tbl>
    <w:p w:rsidR="006F2F2A" w:rsidRDefault="00851FBE">
      <w:r>
        <w:br w:type="page"/>
      </w:r>
    </w:p>
    <w:p w:rsidR="006F2F2A" w:rsidRDefault="00851FBE">
      <w:pPr>
        <w:pStyle w:val="Heading1"/>
        <w:spacing w:before="400" w:after="200"/>
      </w:pPr>
      <w:r>
        <w:lastRenderedPageBreak/>
        <w:t>Disclaimer</w:t>
      </w:r>
    </w:p>
    <w:p w:rsidR="006F2F2A" w:rsidRDefault="00851FBE">
      <w:pPr>
        <w:spacing w:after="150"/>
      </w:pPr>
      <w:r>
        <w:rPr>
          <w:i/>
          <w:iCs/>
          <w:sz w:val="22"/>
          <w:szCs w:val="22"/>
        </w:rPr>
        <w:t xml:space="preserve">All data in this project is sourced from publicly available information published by </w:t>
      </w:r>
      <w:smartTag w:uri="urn:schemas-microsoft-com:office:smarttags" w:element="stockticker">
        <w:r>
          <w:rPr>
            <w:i/>
            <w:iCs/>
            <w:sz w:val="22"/>
            <w:szCs w:val="22"/>
          </w:rPr>
          <w:t>AMFI</w:t>
        </w:r>
      </w:smartTag>
      <w:r>
        <w:rPr>
          <w:i/>
          <w:iCs/>
          <w:sz w:val="22"/>
          <w:szCs w:val="22"/>
        </w:rPr>
        <w:t xml:space="preserve"> India, NSE, BSE and open APIs (mfapi.in). </w:t>
      </w:r>
      <w:smartTag w:uri="urn:schemas-microsoft-com:office:smarttags" w:element="stockticker">
        <w:r>
          <w:rPr>
            <w:i/>
            <w:iCs/>
            <w:sz w:val="22"/>
            <w:szCs w:val="22"/>
          </w:rPr>
          <w:t>NAV</w:t>
        </w:r>
      </w:smartTag>
      <w:r>
        <w:rPr>
          <w:i/>
          <w:iCs/>
          <w:sz w:val="22"/>
          <w:szCs w:val="22"/>
        </w:rPr>
        <w:t xml:space="preserve"> values are anchored to real historical values from mfapi.in. Investor transaction data is synthetically generated but us</w:t>
      </w:r>
      <w:r>
        <w:rPr>
          <w:i/>
          <w:iCs/>
          <w:sz w:val="22"/>
          <w:szCs w:val="22"/>
        </w:rPr>
        <w:t>es real geographic, demographic and behavioural distributions observed in the Indian MF market. This project is intended for educational purposes an</w:t>
      </w:r>
      <w:r w:rsidR="00B74C16">
        <w:rPr>
          <w:i/>
          <w:iCs/>
          <w:sz w:val="22"/>
          <w:szCs w:val="22"/>
        </w:rPr>
        <w:t>d skill development at Bluestock</w:t>
      </w:r>
      <w:r>
        <w:rPr>
          <w:i/>
          <w:iCs/>
          <w:sz w:val="22"/>
          <w:szCs w:val="22"/>
        </w:rPr>
        <w:t>. It does not constitute financial advice. Mutual Fund investments a</w:t>
      </w:r>
      <w:r>
        <w:rPr>
          <w:i/>
          <w:iCs/>
          <w:sz w:val="22"/>
          <w:szCs w:val="22"/>
        </w:rPr>
        <w:t>re subject to market risks. Please read all scheme related documents carefully before investing.</w:t>
      </w:r>
    </w:p>
    <w:sectPr w:rsidR="006F2F2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573167"/>
    <w:multiLevelType w:val="hybridMultilevel"/>
    <w:tmpl w:val="F63AD18E"/>
    <w:lvl w:ilvl="0" w:tplc="ADA051EA">
      <w:start w:val="1"/>
      <w:numFmt w:val="bullet"/>
      <w:lvlText w:val="●"/>
      <w:lvlJc w:val="left"/>
      <w:pPr>
        <w:ind w:left="720" w:hanging="360"/>
      </w:pPr>
    </w:lvl>
    <w:lvl w:ilvl="1" w:tplc="D2C6A9A8">
      <w:start w:val="1"/>
      <w:numFmt w:val="bullet"/>
      <w:lvlText w:val="○"/>
      <w:lvlJc w:val="left"/>
      <w:pPr>
        <w:ind w:left="1440" w:hanging="360"/>
      </w:pPr>
    </w:lvl>
    <w:lvl w:ilvl="2" w:tplc="0212C39C">
      <w:start w:val="1"/>
      <w:numFmt w:val="bullet"/>
      <w:lvlText w:val="■"/>
      <w:lvlJc w:val="left"/>
      <w:pPr>
        <w:ind w:left="2160" w:hanging="360"/>
      </w:pPr>
    </w:lvl>
    <w:lvl w:ilvl="3" w:tplc="C5386A62">
      <w:start w:val="1"/>
      <w:numFmt w:val="bullet"/>
      <w:lvlText w:val="●"/>
      <w:lvlJc w:val="left"/>
      <w:pPr>
        <w:ind w:left="2880" w:hanging="360"/>
      </w:pPr>
    </w:lvl>
    <w:lvl w:ilvl="4" w:tplc="C1EE6DF0">
      <w:start w:val="1"/>
      <w:numFmt w:val="bullet"/>
      <w:lvlText w:val="○"/>
      <w:lvlJc w:val="left"/>
      <w:pPr>
        <w:ind w:left="3600" w:hanging="360"/>
      </w:pPr>
    </w:lvl>
    <w:lvl w:ilvl="5" w:tplc="FB3612C0">
      <w:start w:val="1"/>
      <w:numFmt w:val="bullet"/>
      <w:lvlText w:val="■"/>
      <w:lvlJc w:val="left"/>
      <w:pPr>
        <w:ind w:left="4320" w:hanging="360"/>
      </w:pPr>
    </w:lvl>
    <w:lvl w:ilvl="6" w:tplc="96C470C8">
      <w:start w:val="1"/>
      <w:numFmt w:val="bullet"/>
      <w:lvlText w:val="●"/>
      <w:lvlJc w:val="left"/>
      <w:pPr>
        <w:ind w:left="5040" w:hanging="360"/>
      </w:pPr>
    </w:lvl>
    <w:lvl w:ilvl="7" w:tplc="3D207DA8">
      <w:start w:val="1"/>
      <w:numFmt w:val="bullet"/>
      <w:lvlText w:val="●"/>
      <w:lvlJc w:val="left"/>
      <w:pPr>
        <w:ind w:left="5760" w:hanging="360"/>
      </w:pPr>
    </w:lvl>
    <w:lvl w:ilvl="8" w:tplc="01D24BD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6F2F2A"/>
    <w:rsid w:val="006F2F2A"/>
    <w:rsid w:val="00706FBE"/>
    <w:rsid w:val="007829F2"/>
    <w:rsid w:val="007F4893"/>
    <w:rsid w:val="00851FBE"/>
    <w:rsid w:val="00B74C16"/>
    <w:rsid w:val="00DD5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59F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59F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59F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59F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18</Pages>
  <Words>2057</Words>
  <Characters>11730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ASUS</cp:lastModifiedBy>
  <cp:revision>4</cp:revision>
  <dcterms:created xsi:type="dcterms:W3CDTF">2026-08-11T07:56:00Z</dcterms:created>
  <dcterms:modified xsi:type="dcterms:W3CDTF">2026-08-11T11:27:00Z</dcterms:modified>
</cp:coreProperties>
</file>