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pStyle w:val="Title"/>
        <w:jc w:val="center"/>
      </w:pPr>
      <w:r>
        <w:t>10. modul – Metasploit parancspuska</w:t>
      </w:r>
    </w:p>
    <w:p>
      <w:pPr>
        <w:jc w:val="center"/>
      </w:pPr>
      <w:r>
        <w:rPr>
          <w:b/>
          <w:color w:val="0E63B6"/>
          <w:sz w:val="26"/>
        </w:rPr>
        <w:t>Csak az engedélyezett zárt laborhoz</w:t>
      </w:r>
    </w:p>
    <w:p>
      <w:pPr>
        <w:jc w:val="center"/>
      </w:pPr>
      <w:r>
        <w:rPr>
          <w:color w:val="5B6573"/>
          <w:sz w:val="18"/>
        </w:rPr>
        <w:t>13. évfolyam • Informatikai rendszer- és alkalmazás-üzemeltető technikus • zárt oktatási labor</w:t>
      </w:r>
    </w:p>
    <w:p>
      <w:r>
        <w:br w:type="page"/>
      </w:r>
    </w:p>
    <w:p>
      <w:pPr>
        <w:pStyle w:val="Heading1"/>
      </w:pPr>
      <w:r>
        <w:t>Indítás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sudo msfdb init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msfconsole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db_status</w:t>
            </w:r>
          </w:p>
        </w:tc>
      </w:tr>
    </w:tbl>
    <w:p>
      <w:pPr>
        <w:pStyle w:val="Heading1"/>
      </w:pPr>
      <w:r>
        <w:t>Workspace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workspace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workspace -a modul10_pod1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workspace modul10_pod1</w:t>
            </w:r>
          </w:p>
        </w:tc>
      </w:tr>
    </w:tbl>
    <w:p>
      <w:pPr>
        <w:pStyle w:val="Heading1"/>
      </w:pPr>
      <w:r>
        <w:t>Adatok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db_nmap -sV 10.20.1.10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hosts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services</w:t>
            </w:r>
          </w:p>
        </w:tc>
      </w:tr>
    </w:tbl>
    <w:p>
      <w:pPr>
        <w:pStyle w:val="Heading1"/>
      </w:pPr>
      <w:r>
        <w:t>Keresés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search type:auxiliary name:ftp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type:exploit platform:linux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search cve:2011-2523</w:t>
            </w:r>
          </w:p>
        </w:tc>
      </w:tr>
    </w:tbl>
    <w:p>
      <w:pPr>
        <w:pStyle w:val="Heading1"/>
      </w:pPr>
      <w:r>
        <w:t>Modul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use &lt;útvonal&gt;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info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options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missing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show targets</w:t>
            </w:r>
          </w:p>
        </w:tc>
      </w:tr>
    </w:tbl>
    <w:p>
      <w:pPr>
        <w:pStyle w:val="Heading1"/>
      </w:pPr>
      <w:r>
        <w:t>Beállítás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set RHOSTS 10.20.1.10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set RPORT 21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setg LHOST 10.10.1.10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unset &lt;opció&gt;</w:t>
            </w:r>
          </w:p>
        </w:tc>
      </w:tr>
    </w:tbl>
    <w:p>
      <w:pPr>
        <w:pStyle w:val="Heading1"/>
      </w:pPr>
      <w:r>
        <w:t>Végrehajtás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check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run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exploit -j</w:t>
            </w:r>
          </w:p>
        </w:tc>
      </w:tr>
    </w:tbl>
    <w:p>
      <w:pPr>
        <w:pStyle w:val="Heading1"/>
      </w:pPr>
      <w:r>
        <w:t>Session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sessions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-i 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background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-k 1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sessions -K</w:t>
            </w:r>
          </w:p>
        </w:tc>
      </w:tr>
    </w:tbl>
    <w:p>
      <w:pPr>
        <w:pStyle w:val="Heading1"/>
      </w:pPr>
      <w:r>
        <w:t>Naplózás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spool /home/kali/mod10.log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spool off</w:t>
            </w:r>
          </w:p>
        </w:tc>
      </w:tr>
    </w:tbl>
    <w:p>
      <w:pPr>
        <w:pStyle w:val="Heading1"/>
      </w:pPr>
      <w:r>
        <w:t>Kilépés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1182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DejaVu Sans Mono" w:hAnsi="DejaVu Sans Mono"/>
                <w:color w:val="DCFFE6"/>
                <w:sz w:val="17"/>
              </w:rPr>
              <w:t>back</w:t>
              <w:br/>
            </w:r>
            <w:r>
              <w:rPr>
                <w:rFonts w:ascii="DejaVu Sans Mono" w:hAnsi="DejaVu Sans Mono"/>
                <w:color w:val="DCFFE6"/>
                <w:sz w:val="17"/>
              </w:rPr>
              <w:t>exit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Oldal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ETIKUS HACKELÉS TANANYAG • 10.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63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D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