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Tanári segédanyag</w:t>
      </w:r>
    </w:p>
    <w:p>
      <w:pPr>
        <w:jc w:val="left"/>
      </w:pPr>
      <w:r>
        <w:rPr>
          <w:b/>
          <w:color w:val="506478"/>
          <w:sz w:val="24"/>
        </w:rPr>
        <w:t>Bizonyítékgyűjtés, logelemzés, idővonal-rekonstrukció és kontrollált incident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CEEFF"/>
            <w:vAlign w:val="center"/>
          </w:tcPr>
          <w:p>
            <w:r>
              <w:rPr>
                <w:b/>
                <w:color w:val="09466E"/>
                <w:sz w:val="23"/>
              </w:rPr>
              <w:t>Oktatási fókusz</w:t>
              <w:br/>
            </w:r>
            <w:r>
              <w:rPr>
                <w:sz w:val="20"/>
              </w:rPr>
              <w:t>Ez a modul már nem „eszközbemutató”. A diákoknak bizonyítékból kell következtetést építeniük. A legfontosabb pedagógiai elv: minden állításhoz kérj konkrét evidence reference-t (időpont, hash, log sor, Event ID vagy frame szám).</w:t>
            </w:r>
          </w:p>
        </w:tc>
      </w:tr>
    </w:tbl>
    <w:p/>
    <w:p>
      <w:pPr>
        <w:pStyle w:val="Heading1"/>
      </w:pPr>
      <w:r>
        <w:t>Ajánlott időkeret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Blokk</w:t>
            </w:r>
          </w:p>
        </w:tc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45 perces órák</w:t>
            </w:r>
          </w:p>
        </w:tc>
        <w:tc>
          <w:tcPr>
            <w:tcW w:type="dxa" w:w="3331"/>
            <w:shd w:fill="143A5A"/>
          </w:tcPr>
          <w:p>
            <w:r>
              <w:rPr>
                <w:b/>
                <w:color w:val="FFFFFF"/>
                <w:sz w:val="18"/>
              </w:rPr>
              <w:t>Javaslat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Elméleti alapok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DFIR, bizonyíték, hash, IR életciklus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Vezetett laborok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LAB 1–7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Komplex nyomozás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LAB 8 BLUE LANTERN</w:t>
            </w:r>
          </w:p>
        </w:tc>
      </w:tr>
      <w:tr>
        <w:tc>
          <w:tcPr>
            <w:tcW w:type="dxa" w:w="3331"/>
            <w:vAlign w:val="top"/>
          </w:tcPr>
          <w:p>
            <w:r>
              <w:rPr>
                <w:sz w:val="17"/>
              </w:rPr>
              <w:t>Mini CTF + értékelés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1–2</w:t>
            </w:r>
          </w:p>
        </w:tc>
        <w:tc>
          <w:tcPr>
            <w:tcW w:type="dxa" w:w="3331"/>
            <w:vAlign w:val="top"/>
          </w:tcPr>
          <w:p>
            <w:r>
              <w:rPr>
                <w:sz w:val="17"/>
              </w:rPr>
              <w:t>LAB 9 + debrief</w:t>
            </w:r>
          </w:p>
        </w:tc>
      </w:tr>
    </w:tbl>
    <w:p/>
    <w:p>
      <w:pPr>
        <w:pStyle w:val="Heading1"/>
      </w:pPr>
      <w:r>
        <w:t>Terem és eszközpark kihasználása</w:t>
      </w:r>
    </w:p>
    <w:p>
      <w:r>
        <w:t>A 6 Cisco routert és 6 Cisco switchet 3 párhuzamos podra bontjuk. Egy pod 2 routert + 2 switchet használ, és 5 PC-vel ideálisan működik. Így 15 diákgép használható, a 16. gép tanári/tartalék állomás.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43A5A"/>
          </w:tcPr>
          <w:p>
            <w:r>
              <w:rPr>
                <w:b/>
                <w:color w:val="FFFFFF"/>
                <w:sz w:val="18"/>
              </w:rPr>
              <w:t>Pod</w:t>
            </w:r>
          </w:p>
        </w:tc>
        <w:tc>
          <w:tcPr>
            <w:tcW w:type="dxa" w:w="2498"/>
            <w:shd w:fill="143A5A"/>
          </w:tcPr>
          <w:p>
            <w:r>
              <w:rPr>
                <w:b/>
                <w:color w:val="FFFFFF"/>
                <w:sz w:val="18"/>
              </w:rPr>
              <w:t>User zone</w:t>
            </w:r>
          </w:p>
        </w:tc>
        <w:tc>
          <w:tcPr>
            <w:tcW w:type="dxa" w:w="2498"/>
            <w:shd w:fill="143A5A"/>
          </w:tcPr>
          <w:p>
            <w:r>
              <w:rPr>
                <w:b/>
                <w:color w:val="FFFFFF"/>
                <w:sz w:val="18"/>
              </w:rPr>
              <w:t>Server/IR zone</w:t>
            </w:r>
          </w:p>
        </w:tc>
        <w:tc>
          <w:tcPr>
            <w:tcW w:type="dxa" w:w="2498"/>
            <w:shd w:fill="143A5A"/>
          </w:tcPr>
          <w:p>
            <w:r>
              <w:rPr>
                <w:b/>
                <w:color w:val="FFFFFF"/>
                <w:sz w:val="18"/>
              </w:rPr>
              <w:t>PC-k</w:t>
            </w:r>
          </w:p>
        </w:tc>
      </w:tr>
      <w:tr>
        <w:tc>
          <w:tcPr>
            <w:tcW w:type="dxa" w:w="2498"/>
            <w:vAlign w:val="top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R1/SW1 – 10.13.11.0/24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R2/SW2 – 10.13.12.0/24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Windows kliens, Kali, Debian Apache, Debian Syslog, DFIR Windows</w:t>
            </w:r>
          </w:p>
        </w:tc>
      </w:tr>
      <w:tr>
        <w:tc>
          <w:tcPr>
            <w:tcW w:type="dxa" w:w="2498"/>
            <w:vAlign w:val="top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R3/SW3 – 10.13.21.0/24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R4/SW4 – 10.13.22.0/24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Windows kliens, Kali, Debian Apache, Debian Syslog, DFIR Windows</w:t>
            </w:r>
          </w:p>
        </w:tc>
      </w:tr>
      <w:tr>
        <w:tc>
          <w:tcPr>
            <w:tcW w:type="dxa" w:w="2498"/>
            <w:vAlign w:val="top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R5/SW5 – 10.13.31.0/24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R6/SW6 – 10.13.32.0/24</w:t>
            </w:r>
          </w:p>
        </w:tc>
        <w:tc>
          <w:tcPr>
            <w:tcW w:type="dxa" w:w="2498"/>
            <w:vAlign w:val="top"/>
          </w:tcPr>
          <w:p>
            <w:r>
              <w:rPr>
                <w:sz w:val="17"/>
              </w:rPr>
              <w:t>Windows kliens, Kali, Debian Apache, Debian Syslog, DFIR Windows</w:t>
            </w:r>
          </w:p>
        </w:tc>
      </w:tr>
    </w:tbl>
    <w:p/>
    <w:p>
      <w:pPr>
        <w:pStyle w:val="Heading1"/>
      </w:pPr>
      <w:r>
        <w:t>Tanári alapelvek incidenslaborhoz</w:t>
      </w:r>
    </w:p>
    <w:p>
      <w:pPr>
        <w:pStyle w:val="ListBullet"/>
      </w:pPr>
      <w:r>
        <w:t>Mindig legyen egyértelmű scope és kezdő időablak.</w:t>
      </w:r>
    </w:p>
    <w:p>
      <w:pPr>
        <w:pStyle w:val="ListBullet"/>
      </w:pPr>
      <w:r>
        <w:t>Az incidensgeneráló scriptek csak benign, helyi laborműveleteket végezzenek.</w:t>
      </w:r>
    </w:p>
    <w:p>
      <w:pPr>
        <w:pStyle w:val="ListBullet"/>
      </w:pPr>
      <w:r>
        <w:t>A tanulói bizonyítékcsomagban ne legyen valódi személyes adat.</w:t>
      </w:r>
    </w:p>
    <w:p>
      <w:pPr>
        <w:pStyle w:val="ListBullet"/>
      </w:pPr>
      <w:r>
        <w:t>A gyakorlat előtt ellenőrizd az eszközök óráját/időzónáját.</w:t>
      </w:r>
    </w:p>
    <w:p>
      <w:pPr>
        <w:pStyle w:val="ListBullet"/>
      </w:pPr>
      <w:r>
        <w:t>Ne a „helyes tipp” kapja a legtöbb pontot, hanem a bizonyított következtetés.</w:t>
      </w:r>
    </w:p>
    <w:p>
      <w:pPr>
        <w:pStyle w:val="ListBullet"/>
      </w:pPr>
      <w:r>
        <w:t>Módosítás/containment előtt legyen minimum állapotfelvétel és dokumentáció.</w:t>
      </w:r>
    </w:p>
    <w:p>
      <w:pPr>
        <w:pStyle w:val="Heading1"/>
      </w:pPr>
      <w:r>
        <w:t>Értékelési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43A5A"/>
          </w:tcPr>
          <w:p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4997"/>
            <w:shd w:fill="143A5A"/>
          </w:tcPr>
          <w:p>
            <w:r>
              <w:rPr>
                <w:b/>
                <w:color w:val="FFFFFF"/>
                <w:sz w:val="18"/>
              </w:rPr>
              <w:t>Súly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Bizonyítékkezelés, hash, chain of custody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Idővonal és korreláció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30%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Technikai elemzés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25%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Jelentés és remediation/retest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4997"/>
            <w:vAlign w:val="top"/>
          </w:tcPr>
          <w:p>
            <w:r>
              <w:rPr>
                <w:sz w:val="17"/>
              </w:rPr>
              <w:t>Csapatmunka / debrief</w:t>
            </w:r>
          </w:p>
        </w:tc>
        <w:tc>
          <w:tcPr>
            <w:tcW w:type="dxa" w:w="4997"/>
            <w:vAlign w:val="top"/>
          </w:tcPr>
          <w:p>
            <w:r>
              <w:rPr>
                <w:sz w:val="17"/>
              </w:rPr>
              <w:t>5%</w:t>
            </w:r>
          </w:p>
        </w:tc>
      </w:tr>
    </w:tbl>
    <w:p/>
    <w:p>
      <w:pPr>
        <w:pStyle w:val="Heading1"/>
      </w:pPr>
      <w:r>
        <w:t>Forrás-alapú szakmai megjegyzések</w:t>
      </w:r>
    </w:p>
    <w:p>
      <w:r>
        <w:t>A NIST SP 800-61 Rev. 3 (2025) az incident response-t a teljes kiberbiztonsági kockázatkezelésbe integrálja. A NIST SP 800-86 továbbra is hasznos gyakorlati alap a forensics és incident response összekapcsolásához. Az Autopsy hivatalos felhasználói útmutatója támogatja a Logical Files and Folders adatforrást, a háttérben futó ingest modulokat, timeline-t és report generálást. A Microsoft dokumentáció szerint a 4688 esemény folyamatlétrehozást rögzít, a Sysmon pedig opcionálisan részletesebb endpoint telemetriát ad.</w:t>
      </w:r>
    </w:p>
    <w:p>
      <w:pPr>
        <w:pStyle w:val="Heading1"/>
      </w:pPr>
      <w:r>
        <w:t>Óraindító kérdések</w:t>
      </w:r>
    </w:p>
    <w:p>
      <w:pPr>
        <w:pStyle w:val="ListBullet"/>
      </w:pPr>
      <w:r>
        <w:t>„Egy log sor már bizonyíték?”</w:t>
      </w:r>
    </w:p>
    <w:p>
      <w:pPr>
        <w:pStyle w:val="ListBullet"/>
      </w:pPr>
      <w:r>
        <w:t>„Mi történik a bizonyítékkal, ha megnyitjuk és átírjuk?”</w:t>
      </w:r>
    </w:p>
    <w:p>
      <w:pPr>
        <w:pStyle w:val="ListBullet"/>
      </w:pPr>
      <w:r>
        <w:t>„Ha két gép órája 4 percet eltér, hogyan rakjuk össze az idővonalat?”</w:t>
      </w:r>
    </w:p>
    <w:p>
      <w:pPr>
        <w:pStyle w:val="ListBullet"/>
      </w:pPr>
      <w:r>
        <w:t>„Melyik fontosabb: azonnal leállítani egy folyamatot vagy előbb dokumentálni?”</w:t>
      </w:r>
    </w:p>
    <w:p>
      <w:pPr>
        <w:pStyle w:val="Heading1"/>
      </w:pPr>
      <w:r>
        <w:t>Források</w:t>
      </w:r>
    </w:p>
    <w:p>
      <w:pPr>
        <w:pStyle w:val="ListBullet"/>
      </w:pPr>
      <w:r>
        <w:t>NIST SP 800-61 Rev. 3 (Final, 2025)</w:t>
      </w:r>
    </w:p>
    <w:p>
      <w:pPr>
        <w:pStyle w:val="ListBullet"/>
      </w:pPr>
      <w:r>
        <w:t>NIST SP 800-86</w:t>
      </w:r>
    </w:p>
    <w:p>
      <w:pPr>
        <w:pStyle w:val="ListBullet"/>
      </w:pPr>
      <w:r>
        <w:t>Autopsy User Documentation 4.22.1</w:t>
      </w:r>
    </w:p>
    <w:p>
      <w:pPr>
        <w:pStyle w:val="ListBullet"/>
      </w:pPr>
      <w:r>
        <w:t>Microsoft Learn – Sysmon; Advanced Audit Policy; Process Creation / Event 4688</w:t>
      </w:r>
    </w:p>
    <w:p>
      <w:pPr>
        <w:pStyle w:val="ListBullet"/>
      </w:pPr>
      <w:r>
        <w:t>Wireshark User’s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Tanári segédanyag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