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A7FF"/>
          <w:sz w:val="26"/>
        </w:rPr>
        <w:t>11. MODUL</w:t>
      </w:r>
    </w:p>
    <w:p>
      <w:pPr>
        <w:pStyle w:val="Title"/>
        <w:jc w:val="center"/>
      </w:pPr>
      <w:r>
        <w:t>Jogosultságnövelési vizsgálat – jelentéssablon</w:t>
      </w:r>
    </w:p>
    <w:p>
      <w:pPr>
        <w:jc w:val="center"/>
      </w:pPr>
      <w:r>
        <w:rPr>
          <w:color w:val="4C6783"/>
          <w:sz w:val="22"/>
        </w:rPr>
        <w:t>Linux és Windows jogosultságnövelés • enumeráció • bizonyíték • hardening • retest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8EE"/>
          <w:left w:val="single" w:sz="6" w:space="0" w:color="BFD8EE"/>
          <w:bottom w:val="single" w:sz="6" w:space="0" w:color="BFD8EE"/>
          <w:right w:val="single" w:sz="6" w:space="0" w:color="BFD8EE"/>
          <w:insideH w:val="single" w:sz="6" w:space="0" w:color="BFD8EE"/>
          <w:insideV w:val="single" w:sz="6" w:space="0" w:color="BFD8E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Célcsoport</w:t>
              <w:br/>
            </w:r>
            <w:r>
              <w:rPr>
                <w:sz w:val="17"/>
              </w:rPr>
              <w:t>13. évfolyam – rendszer- és alkalmazásüzemeltető technikus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Javasolt idő</w:t>
              <w:br/>
            </w:r>
            <w:r>
              <w:rPr>
                <w:sz w:val="17"/>
              </w:rPr>
              <w:t>10–12 tanóra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Módszer</w:t>
              <w:br/>
            </w:r>
            <w:r>
              <w:rPr>
                <w:sz w:val="17"/>
              </w:rPr>
              <w:t>kb. 25% elmélet / 75% gyakorlat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1. Scope és környezet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5184"/>
        <w:gridCol w:w="5184"/>
      </w:tblGrid>
      <w:tr>
        <w:tc>
          <w:tcPr>
            <w:tcW w:type="dxa" w:w="518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Mező</w:t>
            </w:r>
          </w:p>
        </w:tc>
        <w:tc>
          <w:tcPr>
            <w:tcW w:type="dxa" w:w="518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Kitöltés</w:t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Pod / célgép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IP-cím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Operációs rendszer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Kiinduló felhasználó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Vizsgálati idő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Engedélyezett módszerek</w:t>
            </w:r>
          </w:p>
        </w:tc>
        <w:tc>
          <w:tcPr>
            <w:tcW w:type="dxa" w:w="518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  <w:spacing w:before="160" w:after="100"/>
      </w:pPr>
      <w:r>
        <w:t>2. Találat összefoglaló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07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Találat</w:t>
            </w:r>
          </w:p>
        </w:tc>
        <w:tc>
          <w:tcPr>
            <w:tcW w:type="dxa" w:w="207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207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Súlyosság</w:t>
            </w:r>
          </w:p>
        </w:tc>
        <w:tc>
          <w:tcPr>
            <w:tcW w:type="dxa" w:w="207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Státusz</w:t>
            </w:r>
          </w:p>
        </w:tc>
      </w:tr>
      <w:tr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  <w:spacing w:before="160" w:after="100"/>
      </w:pPr>
      <w:r>
        <w:t>3. Részletes találat</w:t>
      </w:r>
    </w:p>
    <w:p>
      <w:r>
        <w:rPr>
          <w:b/>
          <w:color w:val="1CA7FF"/>
        </w:rPr>
        <w:t>Megnevezés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  <w:color w:val="1CA7FF"/>
        </w:rPr>
        <w:t>Kiinduló jogosultság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  <w:color w:val="1CA7FF"/>
        </w:rPr>
        <w:t>Technikai leírás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  <w:color w:val="1CA7FF"/>
        </w:rPr>
        <w:t>Kézi validálás parancsai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  <w:color w:val="1CA7FF"/>
        </w:rPr>
        <w:t>Bizonyíték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  <w:color w:val="1CA7FF"/>
        </w:rPr>
        <w:t>Hatás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  <w:color w:val="1CA7FF"/>
        </w:rPr>
        <w:t>Javítási javaslat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  <w:color w:val="1CA7FF"/>
        </w:rPr>
        <w:t>Retest eredménye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pPr>
        <w:pStyle w:val="Heading1"/>
        <w:spacing w:before="160" w:after="100"/>
      </w:pPr>
      <w:r>
        <w:t>4. Before / After összegzés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Kontroll</w:t>
            </w:r>
          </w:p>
        </w:tc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Eredmény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Fájl ACL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Task/cron futási kontextus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Automatizált enumeráció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Hálózati containment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  <w:spacing w:before="160" w:after="100"/>
      </w:pPr>
      <w:r>
        <w:t>5. Rövid vezetői összefoglaló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C829A"/>
        <w:sz w:val="16"/>
      </w:rPr>
      <w:t xml:space="preserve">Oktatási célú, izolált laborban használható tananyag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1CA7FF"/>
        <w:sz w:val="16"/>
      </w:rPr>
      <w:t>ETIKUS HACKELÉS • 11. modul – Jelentéssablon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1625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714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CA7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9C7B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0714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Liberation Mono" w:hAnsi="Liberation Mono" w:eastAsia="Liberation Mono"/>
      <w:color w:val="DCEB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