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CA7FF"/>
          <w:sz w:val="26"/>
        </w:rPr>
        <w:t>11. MODUL</w:t>
      </w:r>
    </w:p>
    <w:p>
      <w:pPr>
        <w:pStyle w:val="Title"/>
        <w:jc w:val="center"/>
      </w:pPr>
      <w:r>
        <w:t>Privilege Escalation – Linux és Windows</w:t>
      </w:r>
    </w:p>
    <w:p>
      <w:pPr>
        <w:jc w:val="center"/>
      </w:pPr>
      <w:r>
        <w:rPr>
          <w:color w:val="4C6783"/>
          <w:sz w:val="22"/>
        </w:rPr>
        <w:t>Linux és Windows jogosultságnövelés • enumeráció • bizonyíték • hardening • retest</w:t>
      </w:r>
    </w:p>
    <w:p>
      <w:pPr>
        <w:jc w:val="center"/>
      </w:pPr>
      <w:r>
        <w:drawing>
          <wp:inline xmlns:a="http://schemas.openxmlformats.org/drawingml/2006/main" xmlns:pic="http://schemas.openxmlformats.org/drawingml/2006/picture">
            <wp:extent cx="6217920" cy="3497580"/>
            <wp:docPr id="1" name="Picture 1"/>
            <wp:cNvGraphicFramePr>
              <a:graphicFrameLocks noChangeAspect="1"/>
            </wp:cNvGraphicFramePr>
            <a:graphic>
              <a:graphicData uri="http://schemas.openxmlformats.org/drawingml/2006/picture">
                <pic:pic>
                  <pic:nvPicPr>
                    <pic:cNvPr id="0" name="infographic.jpg"/>
                    <pic:cNvPicPr/>
                  </pic:nvPicPr>
                  <pic:blipFill>
                    <a:blip r:embed="rId11"/>
                    <a:stretch>
                      <a:fillRect/>
                    </a:stretch>
                  </pic:blipFill>
                  <pic:spPr>
                    <a:xfrm>
                      <a:off x="0" y="0"/>
                      <a:ext cx="6217920" cy="3497580"/>
                    </a:xfrm>
                    <a:prstGeom prst="rect"/>
                  </pic:spPr>
                </pic:pic>
              </a:graphicData>
            </a:graphic>
          </wp:inline>
        </w:drawing>
      </w:r>
    </w:p>
    <w:tbl>
      <w:tblPr>
        <w:tblW w:type="auto" w:w="0"/>
        <w:jc w:val="center"/>
        <w:tblLayout w:type="autofit"/>
        <w:tblLook w:firstColumn="1" w:firstRow="1" w:lastColumn="0" w:lastRow="0" w:noHBand="0" w:noVBand="1" w:val="04A0"/>
        <w:tblBorders>
          <w:top w:val="single" w:sz="6" w:space="0" w:color="BFD8EE"/>
          <w:left w:val="single" w:sz="6" w:space="0" w:color="BFD8EE"/>
          <w:bottom w:val="single" w:sz="6" w:space="0" w:color="BFD8EE"/>
          <w:right w:val="single" w:sz="6" w:space="0" w:color="BFD8EE"/>
          <w:insideH w:val="single" w:sz="6" w:space="0" w:color="BFD8EE"/>
          <w:insideV w:val="single" w:sz="6" w:space="0" w:color="BFD8EE"/>
        </w:tblBorders>
      </w:tblPr>
      <w:tblGrid>
        <w:gridCol w:w="3456"/>
        <w:gridCol w:w="3456"/>
        <w:gridCol w:w="3456"/>
      </w:tblGrid>
      <w:tr>
        <w:tc>
          <w:tcPr>
            <w:tcW w:type="dxa" w:w="3456"/>
            <w:shd w:fill="EAF4FF"/>
            <w:tcMar>
              <w:top w:w="120" w:type="dxa"/>
              <w:start w:w="130" w:type="dxa"/>
              <w:bottom w:w="120" w:type="dxa"/>
              <w:end w:w="130" w:type="dxa"/>
            </w:tcMar>
          </w:tcPr>
          <w:p>
            <w:pPr>
              <w:jc w:val="center"/>
            </w:pPr>
            <w:r>
              <w:rPr>
                <w:b/>
                <w:color w:val="1CA7FF"/>
                <w:sz w:val="17"/>
              </w:rPr>
              <w:t>Célcsoport</w:t>
              <w:br/>
            </w:r>
            <w:r>
              <w:rPr>
                <w:sz w:val="17"/>
              </w:rPr>
              <w:t>13. évfolyam – rendszer- és alkalmazásüzemeltető technikus</w:t>
            </w:r>
          </w:p>
        </w:tc>
        <w:tc>
          <w:tcPr>
            <w:tcW w:type="dxa" w:w="3456"/>
            <w:shd w:fill="EAF4FF"/>
            <w:tcMar>
              <w:top w:w="120" w:type="dxa"/>
              <w:start w:w="130" w:type="dxa"/>
              <w:bottom w:w="120" w:type="dxa"/>
              <w:end w:w="130" w:type="dxa"/>
            </w:tcMar>
          </w:tcPr>
          <w:p>
            <w:pPr>
              <w:jc w:val="center"/>
            </w:pPr>
            <w:r>
              <w:rPr>
                <w:b/>
                <w:color w:val="1CA7FF"/>
                <w:sz w:val="17"/>
              </w:rPr>
              <w:t>Javasolt idő</w:t>
              <w:br/>
            </w:r>
            <w:r>
              <w:rPr>
                <w:sz w:val="17"/>
              </w:rPr>
              <w:t>10–12 tanóra</w:t>
            </w:r>
          </w:p>
        </w:tc>
        <w:tc>
          <w:tcPr>
            <w:tcW w:type="dxa" w:w="3456"/>
            <w:shd w:fill="EAF4FF"/>
            <w:tcMar>
              <w:top w:w="120" w:type="dxa"/>
              <w:start w:w="130" w:type="dxa"/>
              <w:bottom w:w="120" w:type="dxa"/>
              <w:end w:w="130" w:type="dxa"/>
            </w:tcMar>
          </w:tcPr>
          <w:p>
            <w:pPr>
              <w:jc w:val="center"/>
            </w:pPr>
            <w:r>
              <w:rPr>
                <w:b/>
                <w:color w:val="1CA7FF"/>
                <w:sz w:val="17"/>
              </w:rPr>
              <w:t>Módszer</w:t>
              <w:br/>
            </w:r>
            <w:r>
              <w:rPr>
                <w:sz w:val="17"/>
              </w:rPr>
              <w:t>kb. 25% elmélet / 75% gyakorlat</w:t>
            </w:r>
          </w:p>
        </w:tc>
      </w:tr>
    </w:tbl>
    <w:p>
      <w:r>
        <w:br w:type="page"/>
      </w:r>
    </w:p>
    <w:p>
      <w:pPr>
        <w:pStyle w:val="Heading1"/>
        <w:spacing w:before="160" w:after="100"/>
      </w:pPr>
      <w:r>
        <w:t>1. Miért következik ez a modul a Metasploit után?</w:t>
      </w:r>
    </w:p>
    <w:p>
      <w:r>
        <w:t>Egy sikeres exploit vagy hibás hitelesítés gyakran csak korlátozott jogosultságú felhasználót eredményez. A következő szakmai kérdés nem az, hogy „hogyan szerezzünk még több jogot bármi áron”, hanem az, hogy milyen hibás jogosultsági döntések teszik lehetővé egy magasabb biztonsági szint elérését, és hogyan lehet ezeket felismerni, bizonyítani, majd megszüntetni.</w:t>
      </w:r>
    </w:p>
    <w:tbl>
      <w:tblPr>
        <w:tblW w:type="auto" w:w="0"/>
        <w:jc w:val="center"/>
        <w:tblLook w:firstColumn="1" w:firstRow="1" w:lastColumn="0" w:lastRow="0" w:noHBand="0" w:noVBand="1" w:val="04A0"/>
        <w:tblBorders>
          <w:top w:val="single" w:sz="8" w:space="0" w:color="F59E0B"/>
          <w:left w:val="single" w:sz="8" w:space="0" w:color="F59E0B"/>
          <w:bottom w:val="single" w:sz="8" w:space="0" w:color="F59E0B"/>
          <w:right w:val="single" w:sz="8" w:space="0" w:color="F59E0B"/>
          <w:insideH w:val="single" w:sz="8" w:space="0" w:color="F59E0B"/>
          <w:insideV w:val="single" w:sz="8" w:space="0" w:color="F59E0B"/>
        </w:tblBorders>
      </w:tblPr>
      <w:tblGrid>
        <w:gridCol w:w="10368"/>
      </w:tblGrid>
      <w:tr>
        <w:tc>
          <w:tcPr>
            <w:tcW w:type="dxa" w:w="10368"/>
            <w:shd w:fill="FFF4E6"/>
            <w:tcMar>
              <w:top w:w="130" w:type="dxa"/>
              <w:start w:w="160" w:type="dxa"/>
              <w:bottom w:w="130" w:type="dxa"/>
              <w:end w:w="160" w:type="dxa"/>
            </w:tcMar>
          </w:tcPr>
          <w:p>
            <w:r>
              <w:rPr>
                <w:b/>
                <w:color w:val="F59E0B"/>
                <w:sz w:val="20"/>
              </w:rPr>
              <w:t>Laborhatár</w:t>
              <w:br/>
            </w:r>
            <w:r>
              <w:rPr>
                <w:sz w:val="19"/>
              </w:rPr>
              <w:t>Minden gyakorlati feladat kizárólag az oktató által előkészített, izolált célgépeken végezhető. A modulban a „bizonyítás” célja egy flag vagy jogosultsági állapot igazolása; nem cél tartós hozzáférés, rejtőzködés vagy éles rendszer módosítása.</w:t>
            </w:r>
          </w:p>
        </w:tc>
      </w:tr>
    </w:tbl>
    <w:p>
      <w:pPr>
        <w:spacing w:after="0"/>
      </w:pPr>
    </w:p>
    <w:p>
      <w:pPr>
        <w:pStyle w:val="Heading1"/>
        <w:spacing w:before="160" w:after="100"/>
      </w:pPr>
      <w:r>
        <w:t>2. Tanulási célok</w:t>
      </w:r>
    </w:p>
    <w:p>
      <w:pPr>
        <w:pStyle w:val="ListBullet"/>
        <w:spacing w:after="40"/>
      </w:pPr>
      <w:r>
        <w:t>Megérteni a lokális jogosultsági határokat Linuxon és Windowson.</w:t>
      </w:r>
    </w:p>
    <w:p>
      <w:pPr>
        <w:pStyle w:val="ListBullet"/>
        <w:spacing w:after="40"/>
      </w:pPr>
      <w:r>
        <w:t>Alacsony jogosultságú hozzáférésből módszeresen enumerálni a lehetséges jogosultságnövelési útvonalakat.</w:t>
      </w:r>
    </w:p>
    <w:p>
      <w:pPr>
        <w:pStyle w:val="ListBullet"/>
        <w:spacing w:after="40"/>
      </w:pPr>
      <w:r>
        <w:t>Megkülönböztetni a hibás konfigurációt a szoftveres sérülékenységtől.</w:t>
      </w:r>
    </w:p>
    <w:p>
      <w:pPr>
        <w:pStyle w:val="ListBullet"/>
        <w:spacing w:after="40"/>
      </w:pPr>
      <w:r>
        <w:t>LinPEAS/WinPEAS eredményeket kézzel validálni, és a false positive találatokat kiszűrni.</w:t>
      </w:r>
    </w:p>
    <w:p>
      <w:pPr>
        <w:pStyle w:val="ListBullet"/>
        <w:spacing w:after="40"/>
      </w:pPr>
      <w:r>
        <w:t>Biztonságos laborban bizonyítani a hibás konfiguráció hatását tartós hozzáférés vagy kártékony payload nélkül.</w:t>
      </w:r>
    </w:p>
    <w:p>
      <w:pPr>
        <w:pStyle w:val="ListBullet"/>
        <w:spacing w:after="40"/>
      </w:pPr>
      <w:r>
        <w:t>Hardening után ugyanazt a vizsgálatot újrafuttatni és dokumentáltan igazolni a javulást.</w:t>
      </w:r>
    </w:p>
    <w:p>
      <w:pPr>
        <w:pStyle w:val="ListBullet"/>
        <w:spacing w:after="40"/>
      </w:pPr>
      <w:r>
        <w:t>A host-szintű vizsgálatot a Cisco labor szegmentációjával és naplózásával összekapcsolni.</w:t>
      </w:r>
    </w:p>
    <w:p>
      <w:pPr>
        <w:pStyle w:val="Heading1"/>
        <w:spacing w:before="160" w:after="100"/>
      </w:pPr>
      <w:r>
        <w:t>3. Alapfogalmak</w:t>
      </w:r>
    </w:p>
    <w:tbl>
      <w:tblPr>
        <w:tblW w:type="auto" w:w="0"/>
        <w:jc w:val="center"/>
        <w:tblLayout w:type="autofit"/>
        <w:tblLook w:firstColumn="1" w:firstRow="1" w:lastColumn="0" w:lastRow="0" w:noHBand="0" w:noVBand="1" w:val="04A0"/>
        <w:tblBorders>
          <w:top w:val="single" w:sz="6" w:space="0" w:color="D7E3F0"/>
          <w:left w:val="single" w:sz="6" w:space="0" w:color="D7E3F0"/>
          <w:bottom w:val="single" w:sz="6" w:space="0" w:color="D7E3F0"/>
          <w:right w:val="single" w:sz="6" w:space="0" w:color="D7E3F0"/>
          <w:insideH w:val="single" w:sz="6" w:space="0" w:color="D7E3F0"/>
          <w:insideV w:val="single" w:sz="6" w:space="0" w:color="D7E3F0"/>
        </w:tblBorders>
      </w:tblPr>
      <w:tblGrid>
        <w:gridCol w:w="5184"/>
        <w:gridCol w:w="5184"/>
      </w:tblGrid>
      <w:tr>
        <w:tc>
          <w:tcPr>
            <w:tcW w:type="dxa" w:w="5184"/>
            <w:shd w:fill="071426"/>
            <w:tcMar>
              <w:top w:w="90" w:type="dxa"/>
              <w:start w:w="110" w:type="dxa"/>
              <w:bottom w:w="90" w:type="dxa"/>
              <w:end w:w="110" w:type="dxa"/>
            </w:tcMar>
            <w:vAlign w:val="center"/>
          </w:tcPr>
          <w:p>
            <w:pPr>
              <w:jc w:val="center"/>
            </w:pPr>
            <w:r>
              <w:rPr>
                <w:b/>
                <w:color w:val="FFFFFF"/>
                <w:sz w:val="17"/>
              </w:rPr>
              <w:t>Fogalom</w:t>
            </w:r>
          </w:p>
        </w:tc>
        <w:tc>
          <w:tcPr>
            <w:tcW w:type="dxa" w:w="5184"/>
            <w:shd w:fill="071426"/>
            <w:tcMar>
              <w:top w:w="90" w:type="dxa"/>
              <w:start w:w="110" w:type="dxa"/>
              <w:bottom w:w="90" w:type="dxa"/>
              <w:end w:w="110" w:type="dxa"/>
            </w:tcMar>
            <w:vAlign w:val="center"/>
          </w:tcPr>
          <w:p>
            <w:pPr>
              <w:jc w:val="center"/>
            </w:pPr>
            <w:r>
              <w:rPr>
                <w:b/>
                <w:color w:val="FFFFFF"/>
                <w:sz w:val="17"/>
              </w:rPr>
              <w:t>Lényeg</w:t>
            </w:r>
          </w:p>
        </w:tc>
      </w:tr>
      <w:tr>
        <w:tc>
          <w:tcPr>
            <w:tcW w:type="dxa" w:w="5184"/>
            <w:tcMar>
              <w:top w:w="85" w:type="dxa"/>
              <w:start w:w="100" w:type="dxa"/>
              <w:bottom w:w="85" w:type="dxa"/>
              <w:end w:w="100" w:type="dxa"/>
            </w:tcMar>
          </w:tcPr>
          <w:p>
            <w:r>
              <w:rPr>
                <w:sz w:val="17"/>
              </w:rPr>
              <w:t>Privilege escalation</w:t>
            </w:r>
          </w:p>
        </w:tc>
        <w:tc>
          <w:tcPr>
            <w:tcW w:type="dxa" w:w="5184"/>
            <w:tcMar>
              <w:top w:w="85" w:type="dxa"/>
              <w:start w:w="100" w:type="dxa"/>
              <w:bottom w:w="85" w:type="dxa"/>
              <w:end w:w="100" w:type="dxa"/>
            </w:tcMar>
          </w:tcPr>
          <w:p>
            <w:r>
              <w:rPr>
                <w:sz w:val="17"/>
              </w:rPr>
              <w:t>A folyamat, amelyben egy folyamat vagy felhasználó a kiinduló jogosultságánál magasabb jogosultságot ér el.</w:t>
            </w:r>
          </w:p>
        </w:tc>
      </w:tr>
      <w:tr>
        <w:tc>
          <w:tcPr>
            <w:tcW w:type="dxa" w:w="5184"/>
            <w:tcMar>
              <w:top w:w="85" w:type="dxa"/>
              <w:start w:w="100" w:type="dxa"/>
              <w:bottom w:w="85" w:type="dxa"/>
              <w:end w:w="100" w:type="dxa"/>
            </w:tcMar>
            <w:shd w:fill="F6F9FC"/>
          </w:tcPr>
          <w:p>
            <w:r>
              <w:rPr>
                <w:sz w:val="17"/>
              </w:rPr>
              <w:t>Vertikális jogosultságnövelés</w:t>
            </w:r>
          </w:p>
        </w:tc>
        <w:tc>
          <w:tcPr>
            <w:tcW w:type="dxa" w:w="5184"/>
            <w:tcMar>
              <w:top w:w="85" w:type="dxa"/>
              <w:start w:w="100" w:type="dxa"/>
              <w:bottom w:w="85" w:type="dxa"/>
              <w:end w:w="100" w:type="dxa"/>
            </w:tcMar>
            <w:shd w:fill="F6F9FC"/>
          </w:tcPr>
          <w:p>
            <w:r>
              <w:rPr>
                <w:sz w:val="17"/>
              </w:rPr>
              <w:t>Normál felhasználó → admin/root/SYSTEM irányú jogosultságváltozás.</w:t>
            </w:r>
          </w:p>
        </w:tc>
      </w:tr>
      <w:tr>
        <w:tc>
          <w:tcPr>
            <w:tcW w:type="dxa" w:w="5184"/>
            <w:tcMar>
              <w:top w:w="85" w:type="dxa"/>
              <w:start w:w="100" w:type="dxa"/>
              <w:bottom w:w="85" w:type="dxa"/>
              <w:end w:w="100" w:type="dxa"/>
            </w:tcMar>
          </w:tcPr>
          <w:p>
            <w:r>
              <w:rPr>
                <w:sz w:val="17"/>
              </w:rPr>
              <w:t>Horizontális jogosultságváltás</w:t>
            </w:r>
          </w:p>
        </w:tc>
        <w:tc>
          <w:tcPr>
            <w:tcW w:type="dxa" w:w="5184"/>
            <w:tcMar>
              <w:top w:w="85" w:type="dxa"/>
              <w:start w:w="100" w:type="dxa"/>
              <w:bottom w:w="85" w:type="dxa"/>
              <w:end w:w="100" w:type="dxa"/>
            </w:tcMar>
          </w:tcPr>
          <w:p>
            <w:r>
              <w:rPr>
                <w:sz w:val="17"/>
              </w:rPr>
              <w:t>Másik, azonos biztonsági szintű felhasználó jogosultságainak megszerzése; ezt külön kezeljük a laterális mozgástól.</w:t>
            </w:r>
          </w:p>
        </w:tc>
      </w:tr>
      <w:tr>
        <w:tc>
          <w:tcPr>
            <w:tcW w:type="dxa" w:w="5184"/>
            <w:tcMar>
              <w:top w:w="85" w:type="dxa"/>
              <w:start w:w="100" w:type="dxa"/>
              <w:bottom w:w="85" w:type="dxa"/>
              <w:end w:w="100" w:type="dxa"/>
            </w:tcMar>
            <w:shd w:fill="F6F9FC"/>
          </w:tcPr>
          <w:p>
            <w:r>
              <w:rPr>
                <w:sz w:val="17"/>
              </w:rPr>
              <w:t>Misconfiguration</w:t>
            </w:r>
          </w:p>
        </w:tc>
        <w:tc>
          <w:tcPr>
            <w:tcW w:type="dxa" w:w="5184"/>
            <w:tcMar>
              <w:top w:w="85" w:type="dxa"/>
              <w:start w:w="100" w:type="dxa"/>
              <w:bottom w:w="85" w:type="dxa"/>
              <w:end w:w="100" w:type="dxa"/>
            </w:tcMar>
            <w:shd w:fill="F6F9FC"/>
          </w:tcPr>
          <w:p>
            <w:r>
              <w:rPr>
                <w:sz w:val="17"/>
              </w:rPr>
              <w:t>Hibás beállítás: túl széles ACL, írható root/SYSTEM által futtatott fájl, túl erős sudo-szabály stb.</w:t>
            </w:r>
          </w:p>
        </w:tc>
      </w:tr>
      <w:tr>
        <w:tc>
          <w:tcPr>
            <w:tcW w:type="dxa" w:w="5184"/>
            <w:tcMar>
              <w:top w:w="85" w:type="dxa"/>
              <w:start w:w="100" w:type="dxa"/>
              <w:bottom w:w="85" w:type="dxa"/>
              <w:end w:w="100" w:type="dxa"/>
            </w:tcMar>
          </w:tcPr>
          <w:p>
            <w:r>
              <w:rPr>
                <w:sz w:val="17"/>
              </w:rPr>
              <w:t>Least privilege</w:t>
            </w:r>
          </w:p>
        </w:tc>
        <w:tc>
          <w:tcPr>
            <w:tcW w:type="dxa" w:w="5184"/>
            <w:tcMar>
              <w:top w:w="85" w:type="dxa"/>
              <w:start w:w="100" w:type="dxa"/>
              <w:bottom w:w="85" w:type="dxa"/>
              <w:end w:w="100" w:type="dxa"/>
            </w:tcMar>
          </w:tcPr>
          <w:p>
            <w:r>
              <w:rPr>
                <w:sz w:val="17"/>
              </w:rPr>
              <w:t>Csak a feladat elvégzéséhez szükséges minimális jog biztosítása.</w:t>
            </w:r>
          </w:p>
        </w:tc>
      </w:tr>
      <w:tr>
        <w:tc>
          <w:tcPr>
            <w:tcW w:type="dxa" w:w="5184"/>
            <w:tcMar>
              <w:top w:w="85" w:type="dxa"/>
              <w:start w:w="100" w:type="dxa"/>
              <w:bottom w:w="85" w:type="dxa"/>
              <w:end w:w="100" w:type="dxa"/>
            </w:tcMar>
            <w:shd w:fill="F6F9FC"/>
          </w:tcPr>
          <w:p>
            <w:r>
              <w:rPr>
                <w:sz w:val="17"/>
              </w:rPr>
              <w:t>Evidence</w:t>
            </w:r>
          </w:p>
        </w:tc>
        <w:tc>
          <w:tcPr>
            <w:tcW w:type="dxa" w:w="5184"/>
            <w:tcMar>
              <w:top w:w="85" w:type="dxa"/>
              <w:start w:w="100" w:type="dxa"/>
              <w:bottom w:w="85" w:type="dxa"/>
              <w:end w:w="100" w:type="dxa"/>
            </w:tcMar>
            <w:shd w:fill="F6F9FC"/>
          </w:tcPr>
          <w:p>
            <w:r>
              <w:rPr>
                <w:sz w:val="17"/>
              </w:rPr>
              <w:t>Megismételhető bizonyíték: parancskimenet, fájl hash, screenshot, logbejegyzés, időbélyeg.</w:t>
            </w:r>
          </w:p>
        </w:tc>
      </w:tr>
    </w:tbl>
    <w:p>
      <w:pPr>
        <w:pStyle w:val="Heading1"/>
        <w:spacing w:before="160" w:after="100"/>
      </w:pPr>
      <w:r>
        <w:t>4. Módszertan: enumeráció → validálás → bizonyítás → javítás → retest</w:t>
      </w:r>
    </w:p>
    <w:p>
      <w:pPr>
        <w:pStyle w:val="ListNumber"/>
        <w:spacing w:after="40"/>
      </w:pPr>
      <w:r>
        <w:t>Azonosítsd a kiinduló identitást és a jogosultsági kontextust.</w:t>
      </w:r>
    </w:p>
    <w:p>
      <w:pPr>
        <w:pStyle w:val="ListNumber"/>
        <w:spacing w:after="40"/>
      </w:pPr>
      <w:r>
        <w:t>Gyűjts kézzel alapinformációt a felhasználókról, csoportokról, szolgáltatásokról, feladatokról és fájljogosultságokról.</w:t>
      </w:r>
    </w:p>
    <w:p>
      <w:pPr>
        <w:pStyle w:val="ListNumber"/>
        <w:spacing w:after="40"/>
      </w:pPr>
      <w:r>
        <w:t>Futtass automatizált enumerációt, majd csak a releváns találatokat vizsgáld tovább.</w:t>
      </w:r>
    </w:p>
    <w:p>
      <w:pPr>
        <w:pStyle w:val="ListNumber"/>
        <w:spacing w:after="40"/>
      </w:pPr>
      <w:r>
        <w:t>Validáld, hogy a jelzett állapot valóban kihasználható-e az oktatói laborban.</w:t>
      </w:r>
    </w:p>
    <w:p>
      <w:pPr>
        <w:pStyle w:val="ListNumber"/>
        <w:spacing w:after="40"/>
      </w:pPr>
      <w:r>
        <w:t>A bizonyítékot a lehető legkisebb hatással készítsd el.</w:t>
      </w:r>
    </w:p>
    <w:p>
      <w:pPr>
        <w:pStyle w:val="ListNumber"/>
        <w:spacing w:after="40"/>
      </w:pPr>
      <w:r>
        <w:t>Javítsd a konfigurációt, majd ugyanazokkal a lépésekkel végezz retestet.</w:t>
      </w:r>
    </w:p>
    <w:p>
      <w:pPr>
        <w:pStyle w:val="Heading1"/>
        <w:spacing w:before="160" w:after="100"/>
      </w:pPr>
      <w:r>
        <w:t>5. Linux jogosultsági modell</w:t>
      </w:r>
    </w:p>
    <w:p>
      <w:r>
        <w:t>Linuxon a hozzáférési döntésekhez a folyamat hitelesítő adatai (UID/GID, csoportok, capability-k és más biztonsági attribútumok) kapcsolódnak. A root hagyományosan UID 0, de modern rendszereken egyes adminisztratív képességek külön capability-kre bonthatók.</w:t>
      </w:r>
    </w:p>
    <w:p>
      <w:pPr>
        <w:pStyle w:val="Heading2"/>
        <w:spacing w:before="120" w:after="60"/>
      </w:pPr>
      <w:r>
        <w:t>5.1 Kézi enumeráció</w:t>
      </w:r>
    </w:p>
    <w:tbl>
      <w:tblPr>
        <w:tblW w:type="auto" w:w="0"/>
        <w:jc w:val="center"/>
        <w:tblLook w:firstColumn="1" w:firstRow="1" w:lastColumn="0" w:lastRow="0" w:noHBand="0" w:noVBand="1" w:val="04A0"/>
        <w:tblBorders>
          <w:top w:val="single" w:sz="6" w:space="0" w:color="1F5C83"/>
          <w:left w:val="single" w:sz="6" w:space="0" w:color="1F5C83"/>
          <w:bottom w:val="single" w:sz="6" w:space="0" w:color="1F5C83"/>
          <w:right w:val="single" w:sz="6" w:space="0" w:color="1F5C83"/>
          <w:insideH w:val="single" w:sz="6" w:space="0" w:color="1F5C83"/>
          <w:insideV w:val="single" w:sz="6" w:space="0" w:color="1F5C83"/>
        </w:tblBorders>
      </w:tblPr>
      <w:tblGrid>
        <w:gridCol w:w="10368"/>
      </w:tblGrid>
      <w:tr>
        <w:tc>
          <w:tcPr>
            <w:tcW w:type="dxa" w:w="10368"/>
            <w:shd w:fill="0C1D33"/>
            <w:tcMar>
              <w:top w:w="100" w:type="dxa"/>
              <w:start w:w="120" w:type="dxa"/>
              <w:bottom w:w="100" w:type="dxa"/>
              <w:end w:w="120" w:type="dxa"/>
            </w:tcMar>
          </w:tcPr>
          <w:p>
            <w:pPr>
              <w:pStyle w:val="Code"/>
            </w:pPr>
            <w:r>
              <w:rPr>
                <w:rFonts w:ascii="Liberation Mono" w:hAnsi="Liberation Mono"/>
                <w:color w:val="E8F3FF"/>
                <w:sz w:val="17"/>
              </w:rPr>
              <w:t>id</w:t>
              <w:br/>
            </w:r>
            <w:r>
              <w:rPr>
                <w:rFonts w:ascii="Liberation Mono" w:hAnsi="Liberation Mono"/>
                <w:color w:val="E8F3FF"/>
                <w:sz w:val="17"/>
              </w:rPr>
              <w:t>whoami</w:t>
              <w:br/>
            </w:r>
            <w:r>
              <w:rPr>
                <w:rFonts w:ascii="Liberation Mono" w:hAnsi="Liberation Mono"/>
                <w:color w:val="E8F3FF"/>
                <w:sz w:val="17"/>
              </w:rPr>
              <w:t>groups</w:t>
              <w:br/>
            </w:r>
            <w:r>
              <w:rPr>
                <w:rFonts w:ascii="Liberation Mono" w:hAnsi="Liberation Mono"/>
                <w:color w:val="E8F3FF"/>
                <w:sz w:val="17"/>
              </w:rPr>
              <w:t>sudo -l</w:t>
              <w:br/>
            </w:r>
            <w:r>
              <w:rPr>
                <w:rFonts w:ascii="Liberation Mono" w:hAnsi="Liberation Mono"/>
                <w:color w:val="E8F3FF"/>
                <w:sz w:val="17"/>
              </w:rPr>
              <w:t>uname -a</w:t>
              <w:br/>
            </w:r>
            <w:r>
              <w:rPr>
                <w:rFonts w:ascii="Liberation Mono" w:hAnsi="Liberation Mono"/>
                <w:color w:val="E8F3FF"/>
                <w:sz w:val="17"/>
              </w:rPr>
              <w:t>cat /etc/os-release</w:t>
              <w:br/>
            </w:r>
            <w:r>
              <w:rPr>
                <w:rFonts w:ascii="Liberation Mono" w:hAnsi="Liberation Mono"/>
                <w:color w:val="E8F3FF"/>
                <w:sz w:val="17"/>
              </w:rPr>
              <w:t>find / -perm -4000 -type f 2&gt;/dev/null</w:t>
              <w:br/>
            </w:r>
            <w:r>
              <w:rPr>
                <w:rFonts w:ascii="Liberation Mono" w:hAnsi="Liberation Mono"/>
                <w:color w:val="E8F3FF"/>
                <w:sz w:val="17"/>
              </w:rPr>
              <w:t>getcap -r / 2&gt;/dev/null</w:t>
              <w:br/>
            </w:r>
            <w:r>
              <w:rPr>
                <w:rFonts w:ascii="Liberation Mono" w:hAnsi="Liberation Mono"/>
                <w:color w:val="E8F3FF"/>
                <w:sz w:val="17"/>
              </w:rPr>
              <w:t>systemctl list-timers --all</w:t>
              <w:br/>
            </w:r>
            <w:r>
              <w:rPr>
                <w:rFonts w:ascii="Liberation Mono" w:hAnsi="Liberation Mono"/>
                <w:color w:val="E8F3FF"/>
                <w:sz w:val="17"/>
              </w:rPr>
              <w:t>ls -la /etc/cron* 2&gt;/dev/null</w:t>
            </w:r>
          </w:p>
        </w:tc>
      </w:tr>
    </w:tbl>
    <w:p>
      <w:pPr>
        <w:pStyle w:val="Heading2"/>
        <w:spacing w:before="120" w:after="60"/>
      </w:pPr>
      <w:r>
        <w:t>5.2 Tipikus konfigurációs kockázatok</w:t>
      </w:r>
    </w:p>
    <w:p>
      <w:pPr>
        <w:pStyle w:val="ListBullet"/>
        <w:spacing w:after="40"/>
      </w:pPr>
      <w:r>
        <w:rPr>
          <w:b/>
        </w:rPr>
        <w:t xml:space="preserve">Túl széles sudo-szabály: </w:t>
      </w:r>
      <w:r>
        <w:t>egy normál felhasználó olyan programot indíthat magasabb joggal, amelynek erre nincs szüksége.</w:t>
      </w:r>
    </w:p>
    <w:p>
      <w:pPr>
        <w:pStyle w:val="ListBullet"/>
        <w:spacing w:after="40"/>
      </w:pPr>
      <w:r>
        <w:rPr>
          <w:b/>
        </w:rPr>
        <w:t xml:space="preserve">SUID/SGID: </w:t>
      </w:r>
      <w:r>
        <w:t>a fájl effektív jogosultsági környezetet változtathat; minden egyedi SUID bináris külön ellenőrzést igényel.</w:t>
      </w:r>
    </w:p>
    <w:p>
      <w:pPr>
        <w:pStyle w:val="ListBullet"/>
        <w:spacing w:after="40"/>
      </w:pPr>
      <w:r>
        <w:rPr>
          <w:b/>
        </w:rPr>
        <w:t xml:space="preserve">Írható root által futtatott script: </w:t>
      </w:r>
      <w:r>
        <w:t>cron, systemd timer vagy szolgáltatás privilegizáltan fut, de a futtatott fájlhoz alacsony jogú felhasználó is írhat.</w:t>
      </w:r>
    </w:p>
    <w:p>
      <w:pPr>
        <w:pStyle w:val="ListBullet"/>
        <w:spacing w:after="40"/>
      </w:pPr>
      <w:r>
        <w:rPr>
          <w:b/>
        </w:rPr>
        <w:t xml:space="preserve">File capabilities: </w:t>
      </w:r>
      <w:r>
        <w:t>egy bináris a hagyományos root jogok egy részét kaphatja meg; hibás kiosztás esetén ez túl nagy hatáskört eredményez.</w:t>
      </w:r>
    </w:p>
    <w:p>
      <w:pPr>
        <w:pStyle w:val="ListBullet"/>
        <w:spacing w:after="40"/>
      </w:pPr>
      <w:r>
        <w:rPr>
          <w:b/>
        </w:rPr>
        <w:t xml:space="preserve">Titkok és rossz fájljogok: </w:t>
      </w:r>
      <w:r>
        <w:t>konfigurációkban, backupokban vagy shell historyban lévő hitelesítő adatok további jogosultságot adhatnak.</w:t>
      </w:r>
    </w:p>
    <w:p>
      <w:pPr>
        <w:pStyle w:val="Heading1"/>
        <w:spacing w:before="160" w:after="100"/>
      </w:pPr>
      <w:r>
        <w:t>6. Windows jogosultsági modell</w:t>
      </w:r>
    </w:p>
    <w:p>
      <w:r>
        <w:t>Windows alatt a felhasználói és folyamat-hozzáférést hozzáférési tokenek, SID-ek, csoporttagságok, privilege-ek, UAC, objektum-ACL-ek és a szolgáltatások/feladatok biztonsági kontextusa határozza meg. A LocalSystem fiók számos helyi erőforráson magasabb jogosultsággal rendelkezik, mint egy normál felhasználó.</w:t>
      </w:r>
    </w:p>
    <w:p>
      <w:pPr>
        <w:pStyle w:val="Heading2"/>
        <w:spacing w:before="120" w:after="60"/>
      </w:pPr>
      <w:r>
        <w:t>6.1 Kézi enumeráció PowerShellből / CMD-ből</w:t>
      </w:r>
    </w:p>
    <w:tbl>
      <w:tblPr>
        <w:tblW w:type="auto" w:w="0"/>
        <w:jc w:val="center"/>
        <w:tblLook w:firstColumn="1" w:firstRow="1" w:lastColumn="0" w:lastRow="0" w:noHBand="0" w:noVBand="1" w:val="04A0"/>
        <w:tblBorders>
          <w:top w:val="single" w:sz="6" w:space="0" w:color="1F5C83"/>
          <w:left w:val="single" w:sz="6" w:space="0" w:color="1F5C83"/>
          <w:bottom w:val="single" w:sz="6" w:space="0" w:color="1F5C83"/>
          <w:right w:val="single" w:sz="6" w:space="0" w:color="1F5C83"/>
          <w:insideH w:val="single" w:sz="6" w:space="0" w:color="1F5C83"/>
          <w:insideV w:val="single" w:sz="6" w:space="0" w:color="1F5C83"/>
        </w:tblBorders>
      </w:tblPr>
      <w:tblGrid>
        <w:gridCol w:w="10368"/>
      </w:tblGrid>
      <w:tr>
        <w:tc>
          <w:tcPr>
            <w:tcW w:type="dxa" w:w="10368"/>
            <w:shd w:fill="0C1D33"/>
            <w:tcMar>
              <w:top w:w="100" w:type="dxa"/>
              <w:start w:w="120" w:type="dxa"/>
              <w:bottom w:w="100" w:type="dxa"/>
              <w:end w:w="120" w:type="dxa"/>
            </w:tcMar>
          </w:tcPr>
          <w:p>
            <w:pPr>
              <w:pStyle w:val="Code"/>
            </w:pPr>
            <w:r>
              <w:rPr>
                <w:rFonts w:ascii="Liberation Mono" w:hAnsi="Liberation Mono"/>
                <w:color w:val="E8F3FF"/>
                <w:sz w:val="17"/>
              </w:rPr>
              <w:t>whoami</w:t>
              <w:br/>
            </w:r>
            <w:r>
              <w:rPr>
                <w:rFonts w:ascii="Liberation Mono" w:hAnsi="Liberation Mono"/>
                <w:color w:val="E8F3FF"/>
                <w:sz w:val="17"/>
              </w:rPr>
              <w:t>whoami /groups</w:t>
              <w:br/>
            </w:r>
            <w:r>
              <w:rPr>
                <w:rFonts w:ascii="Liberation Mono" w:hAnsi="Liberation Mono"/>
                <w:color w:val="E8F3FF"/>
                <w:sz w:val="17"/>
              </w:rPr>
              <w:t>whoami /priv</w:t>
              <w:br/>
            </w:r>
            <w:r>
              <w:rPr>
                <w:rFonts w:ascii="Liberation Mono" w:hAnsi="Liberation Mono"/>
                <w:color w:val="E8F3FF"/>
                <w:sz w:val="17"/>
              </w:rPr>
              <w:t>net localgroup administrators</w:t>
              <w:br/>
            </w:r>
            <w:r>
              <w:rPr>
                <w:rFonts w:ascii="Liberation Mono" w:hAnsi="Liberation Mono"/>
                <w:color w:val="E8F3FF"/>
                <w:sz w:val="17"/>
              </w:rPr>
              <w:t>schtasks /query /fo LIST /v</w:t>
              <w:br/>
            </w:r>
            <w:r>
              <w:rPr>
                <w:rFonts w:ascii="Liberation Mono" w:hAnsi="Liberation Mono"/>
                <w:color w:val="E8F3FF"/>
                <w:sz w:val="17"/>
              </w:rPr>
              <w:t>sc query state= all</w:t>
              <w:br/>
            </w:r>
            <w:r>
              <w:rPr>
                <w:rFonts w:ascii="Liberation Mono" w:hAnsi="Liberation Mono"/>
                <w:color w:val="E8F3FF"/>
                <w:sz w:val="17"/>
              </w:rPr>
              <w:t>Get-CimInstance Win32_Service | Select-Object Name,StartName,PathName,State</w:t>
              <w:br/>
            </w:r>
            <w:r>
              <w:rPr>
                <w:rFonts w:ascii="Liberation Mono" w:hAnsi="Liberation Mono"/>
                <w:color w:val="E8F3FF"/>
                <w:sz w:val="17"/>
              </w:rPr>
              <w:t>Get-ScheduledTask | Select-Object TaskName,TaskPath,State</w:t>
            </w:r>
          </w:p>
        </w:tc>
      </w:tr>
    </w:tbl>
    <w:p>
      <w:pPr>
        <w:pStyle w:val="Heading2"/>
        <w:spacing w:before="120" w:after="60"/>
      </w:pPr>
      <w:r>
        <w:t>6.2 Tipikus konfigurációs kockázatok</w:t>
      </w:r>
    </w:p>
    <w:p>
      <w:pPr>
        <w:pStyle w:val="ListBullet"/>
        <w:spacing w:after="40"/>
      </w:pPr>
      <w:r>
        <w:rPr>
          <w:b/>
        </w:rPr>
        <w:t xml:space="preserve">Írható, magas joggal futó task script: </w:t>
      </w:r>
      <w:r>
        <w:t>a Task Scheduler magas jogosultsággal hajt végre egy olyan fájlt, amelyet normál felhasználó módosíthat.</w:t>
      </w:r>
    </w:p>
    <w:p>
      <w:pPr>
        <w:pStyle w:val="ListBullet"/>
        <w:spacing w:after="40"/>
      </w:pPr>
      <w:r>
        <w:rPr>
          <w:b/>
        </w:rPr>
        <w:t xml:space="preserve">Hibás service ACL vagy írható executable: </w:t>
      </w:r>
      <w:r>
        <w:t>a szolgáltatás biztonsági kontextusa erős, miközben a konfiguráció vagy a futtatott állomány módosítható.</w:t>
      </w:r>
    </w:p>
    <w:p>
      <w:pPr>
        <w:pStyle w:val="ListBullet"/>
        <w:spacing w:after="40"/>
      </w:pPr>
      <w:r>
        <w:rPr>
          <w:b/>
        </w:rPr>
        <w:t xml:space="preserve">Túl széles NTFS/registry ACL: </w:t>
      </w:r>
      <w:r>
        <w:t>Users/Authenticated Users csoportnak feleslegesen Modify/Full Control joga van kritikus helyen.</w:t>
      </w:r>
    </w:p>
    <w:p>
      <w:pPr>
        <w:pStyle w:val="ListBullet"/>
        <w:spacing w:after="40"/>
      </w:pPr>
      <w:r>
        <w:rPr>
          <w:b/>
        </w:rPr>
        <w:t xml:space="preserve">Túlzott csoporttagság vagy token privilege: </w:t>
      </w:r>
      <w:r>
        <w:t>a felhasználó több helyi jogot kap, mint amit a feladata indokol.</w:t>
      </w:r>
    </w:p>
    <w:p>
      <w:pPr>
        <w:pStyle w:val="ListBullet"/>
        <w:spacing w:after="40"/>
      </w:pPr>
      <w:r>
        <w:rPr>
          <w:b/>
        </w:rPr>
        <w:t xml:space="preserve">Hitelesítő adatok rossz kezelése: </w:t>
      </w:r>
      <w:r>
        <w:t>scriptben, konfigurációban vagy mentésben tárolt jelszó/token felesleges jogosultsághoz vezethet.</w:t>
      </w:r>
    </w:p>
    <w:p>
      <w:pPr>
        <w:pStyle w:val="Heading1"/>
        <w:spacing w:before="160" w:after="100"/>
      </w:pPr>
      <w:r>
        <w:t>7. Automatizált enumeráció: PEASS-ng</w:t>
      </w:r>
    </w:p>
    <w:p>
      <w:r>
        <w:t>A LinPEAS és WinPEAS gyorsan kiemeli a lehetséges gyenge pontokat, de az eredmény nem egyenlő bizonyított sérülékenységgel. A szakmai munka része a kézi ellenőrzés, a jogosultságok és végrehajtási környezet validálása, valamint a kockázat dokumentálása.</w:t>
      </w:r>
    </w:p>
    <w:tbl>
      <w:tblPr>
        <w:tblW w:type="auto" w:w="0"/>
        <w:jc w:val="center"/>
        <w:tblLook w:firstColumn="1" w:firstRow="1" w:lastColumn="0" w:lastRow="0" w:noHBand="0" w:noVBand="1" w:val="04A0"/>
        <w:tblBorders>
          <w:top w:val="single" w:sz="8" w:space="0" w:color="29C7B8"/>
          <w:left w:val="single" w:sz="8" w:space="0" w:color="29C7B8"/>
          <w:bottom w:val="single" w:sz="8" w:space="0" w:color="29C7B8"/>
          <w:right w:val="single" w:sz="8" w:space="0" w:color="29C7B8"/>
          <w:insideH w:val="single" w:sz="8" w:space="0" w:color="29C7B8"/>
          <w:insideV w:val="single" w:sz="8" w:space="0" w:color="29C7B8"/>
        </w:tblBorders>
      </w:tblPr>
      <w:tblGrid>
        <w:gridCol w:w="10368"/>
      </w:tblGrid>
      <w:tr>
        <w:tc>
          <w:tcPr>
            <w:tcW w:type="dxa" w:w="10368"/>
            <w:shd w:fill="E8F8F3"/>
            <w:tcMar>
              <w:top w:w="130" w:type="dxa"/>
              <w:start w:w="160" w:type="dxa"/>
              <w:bottom w:w="130" w:type="dxa"/>
              <w:end w:w="160" w:type="dxa"/>
            </w:tcMar>
          </w:tcPr>
          <w:p>
            <w:r>
              <w:rPr>
                <w:b/>
                <w:color w:val="29C7B8"/>
                <w:sz w:val="20"/>
              </w:rPr>
              <w:t>Fontos</w:t>
              <w:br/>
            </w:r>
            <w:r>
              <w:rPr>
                <w:sz w:val="19"/>
              </w:rPr>
              <w:t>Az automatizált eszköz legyen gyorsító, ne „varázsgomb”. A diák minden leadott találat mellé kézi bizonyítékot ad: parancs, ACL, tulajdonos, futási kontextus és várható hatás.</w:t>
            </w:r>
          </w:p>
        </w:tc>
      </w:tr>
    </w:tbl>
    <w:p>
      <w:pPr>
        <w:spacing w:after="0"/>
      </w:pPr>
    </w:p>
    <w:p>
      <w:pPr>
        <w:pStyle w:val="Heading1"/>
        <w:spacing w:before="160" w:after="100"/>
      </w:pPr>
      <w:r>
        <w:t>8. Védekezési elvek</w:t>
      </w:r>
    </w:p>
    <w:p>
      <w:pPr>
        <w:pStyle w:val="ListBullet"/>
        <w:spacing w:after="40"/>
      </w:pPr>
      <w:r>
        <w:t>A root/SYSTEM által futtatott script és bináris ne legyen írható alacsony jogosultságú felhasználónak.</w:t>
      </w:r>
    </w:p>
    <w:p>
      <w:pPr>
        <w:pStyle w:val="ListBullet"/>
        <w:spacing w:after="40"/>
      </w:pPr>
      <w:r>
        <w:t>A sudoers szabály legyen parancsszinten és felhasználónként minimális.</w:t>
      </w:r>
    </w:p>
    <w:p>
      <w:pPr>
        <w:pStyle w:val="ListBullet"/>
        <w:spacing w:after="40"/>
      </w:pPr>
      <w:r>
        <w:t>Rendszeresen auditáld az SUID/SGID fájlokat és file capability-ket.</w:t>
      </w:r>
    </w:p>
    <w:p>
      <w:pPr>
        <w:pStyle w:val="ListBullet"/>
        <w:spacing w:after="40"/>
      </w:pPr>
      <w:r>
        <w:t>Windows szolgáltatásoknál és Scheduled Taskoknál ellenőrizd a futtatási fiókot, executable/script ACL-jét és a konfiguráció módosíthatóságát.</w:t>
      </w:r>
    </w:p>
    <w:p>
      <w:pPr>
        <w:pStyle w:val="ListBullet"/>
        <w:spacing w:after="40"/>
      </w:pPr>
      <w:r>
        <w:t>Használj elkülönített admin és normál felhasználói fiókot.</w:t>
      </w:r>
    </w:p>
    <w:p>
      <w:pPr>
        <w:pStyle w:val="ListBullet"/>
        <w:spacing w:after="40"/>
      </w:pPr>
      <w:r>
        <w:t>A javítás után ugyanazzal az enumerációval végezz retestet, ne csak „ránézésre” zárd le a hibát.</w:t>
      </w:r>
    </w:p>
    <w:p>
      <w:pPr>
        <w:pStyle w:val="Heading1"/>
        <w:spacing w:before="160" w:after="100"/>
      </w:pPr>
      <w:r>
        <w:t>9. Bizonyíték és jelentés</w:t>
      </w:r>
    </w:p>
    <w:tbl>
      <w:tblPr>
        <w:tblW w:type="auto" w:w="0"/>
        <w:jc w:val="center"/>
        <w:tblLayout w:type="autofit"/>
        <w:tblLook w:firstColumn="1" w:firstRow="1" w:lastColumn="0" w:lastRow="0" w:noHBand="0" w:noVBand="1" w:val="04A0"/>
        <w:tblBorders>
          <w:top w:val="single" w:sz="6" w:space="0" w:color="D7E3F0"/>
          <w:left w:val="single" w:sz="6" w:space="0" w:color="D7E3F0"/>
          <w:bottom w:val="single" w:sz="6" w:space="0" w:color="D7E3F0"/>
          <w:right w:val="single" w:sz="6" w:space="0" w:color="D7E3F0"/>
          <w:insideH w:val="single" w:sz="6" w:space="0" w:color="D7E3F0"/>
          <w:insideV w:val="single" w:sz="6" w:space="0" w:color="D7E3F0"/>
        </w:tblBorders>
      </w:tblPr>
      <w:tblGrid>
        <w:gridCol w:w="5184"/>
        <w:gridCol w:w="5184"/>
      </w:tblGrid>
      <w:tr>
        <w:tc>
          <w:tcPr>
            <w:tcW w:type="dxa" w:w="5184"/>
            <w:shd w:fill="071426"/>
            <w:tcMar>
              <w:top w:w="90" w:type="dxa"/>
              <w:start w:w="110" w:type="dxa"/>
              <w:bottom w:w="90" w:type="dxa"/>
              <w:end w:w="110" w:type="dxa"/>
            </w:tcMar>
            <w:vAlign w:val="center"/>
          </w:tcPr>
          <w:p>
            <w:pPr>
              <w:jc w:val="center"/>
            </w:pPr>
            <w:r>
              <w:rPr>
                <w:b/>
                <w:color w:val="FFFFFF"/>
                <w:sz w:val="17"/>
              </w:rPr>
              <w:t>Mező</w:t>
            </w:r>
          </w:p>
        </w:tc>
        <w:tc>
          <w:tcPr>
            <w:tcW w:type="dxa" w:w="5184"/>
            <w:shd w:fill="071426"/>
            <w:tcMar>
              <w:top w:w="90" w:type="dxa"/>
              <w:start w:w="110" w:type="dxa"/>
              <w:bottom w:w="90" w:type="dxa"/>
              <w:end w:w="110" w:type="dxa"/>
            </w:tcMar>
            <w:vAlign w:val="center"/>
          </w:tcPr>
          <w:p>
            <w:pPr>
              <w:jc w:val="center"/>
            </w:pPr>
            <w:r>
              <w:rPr>
                <w:b/>
                <w:color w:val="FFFFFF"/>
                <w:sz w:val="17"/>
              </w:rPr>
              <w:t>Mit rögzíts?</w:t>
            </w:r>
          </w:p>
        </w:tc>
      </w:tr>
      <w:tr>
        <w:tc>
          <w:tcPr>
            <w:tcW w:type="dxa" w:w="5184"/>
            <w:tcMar>
              <w:top w:w="85" w:type="dxa"/>
              <w:start w:w="100" w:type="dxa"/>
              <w:bottom w:w="85" w:type="dxa"/>
              <w:end w:w="100" w:type="dxa"/>
            </w:tcMar>
          </w:tcPr>
          <w:p>
            <w:r>
              <w:rPr>
                <w:sz w:val="17"/>
              </w:rPr>
              <w:t>Kiinduló jogosultság</w:t>
            </w:r>
          </w:p>
        </w:tc>
        <w:tc>
          <w:tcPr>
            <w:tcW w:type="dxa" w:w="5184"/>
            <w:tcMar>
              <w:top w:w="85" w:type="dxa"/>
              <w:start w:w="100" w:type="dxa"/>
              <w:bottom w:w="85" w:type="dxa"/>
              <w:end w:w="100" w:type="dxa"/>
            </w:tcMar>
          </w:tcPr>
          <w:p>
            <w:r>
              <w:rPr>
                <w:sz w:val="17"/>
              </w:rPr>
              <w:t>whoami/id, csoportok, token/UID.</w:t>
            </w:r>
          </w:p>
        </w:tc>
      </w:tr>
      <w:tr>
        <w:tc>
          <w:tcPr>
            <w:tcW w:type="dxa" w:w="5184"/>
            <w:tcMar>
              <w:top w:w="85" w:type="dxa"/>
              <w:start w:w="100" w:type="dxa"/>
              <w:bottom w:w="85" w:type="dxa"/>
              <w:end w:w="100" w:type="dxa"/>
            </w:tcMar>
            <w:shd w:fill="F6F9FC"/>
          </w:tcPr>
          <w:p>
            <w:r>
              <w:rPr>
                <w:sz w:val="17"/>
              </w:rPr>
              <w:t>Találat</w:t>
            </w:r>
          </w:p>
        </w:tc>
        <w:tc>
          <w:tcPr>
            <w:tcW w:type="dxa" w:w="5184"/>
            <w:tcMar>
              <w:top w:w="85" w:type="dxa"/>
              <w:start w:w="100" w:type="dxa"/>
              <w:bottom w:w="85" w:type="dxa"/>
              <w:end w:w="100" w:type="dxa"/>
            </w:tcMar>
            <w:shd w:fill="F6F9FC"/>
          </w:tcPr>
          <w:p>
            <w:r>
              <w:rPr>
                <w:sz w:val="17"/>
              </w:rPr>
              <w:t>Pontos fájl, task, service, sudo szabály vagy capability.</w:t>
            </w:r>
          </w:p>
        </w:tc>
      </w:tr>
      <w:tr>
        <w:tc>
          <w:tcPr>
            <w:tcW w:type="dxa" w:w="5184"/>
            <w:tcMar>
              <w:top w:w="85" w:type="dxa"/>
              <w:start w:w="100" w:type="dxa"/>
              <w:bottom w:w="85" w:type="dxa"/>
              <w:end w:w="100" w:type="dxa"/>
            </w:tcMar>
          </w:tcPr>
          <w:p>
            <w:r>
              <w:rPr>
                <w:sz w:val="17"/>
              </w:rPr>
              <w:t>Validálás</w:t>
            </w:r>
          </w:p>
        </w:tc>
        <w:tc>
          <w:tcPr>
            <w:tcW w:type="dxa" w:w="5184"/>
            <w:tcMar>
              <w:top w:w="85" w:type="dxa"/>
              <w:start w:w="100" w:type="dxa"/>
              <w:bottom w:w="85" w:type="dxa"/>
              <w:end w:w="100" w:type="dxa"/>
            </w:tcMar>
          </w:tcPr>
          <w:p>
            <w:r>
              <w:rPr>
                <w:sz w:val="17"/>
              </w:rPr>
              <w:t>ACL/tulajdonos/futási kontextus és reprodukciós lépések.</w:t>
            </w:r>
          </w:p>
        </w:tc>
      </w:tr>
      <w:tr>
        <w:tc>
          <w:tcPr>
            <w:tcW w:type="dxa" w:w="5184"/>
            <w:tcMar>
              <w:top w:w="85" w:type="dxa"/>
              <w:start w:w="100" w:type="dxa"/>
              <w:bottom w:w="85" w:type="dxa"/>
              <w:end w:w="100" w:type="dxa"/>
            </w:tcMar>
            <w:shd w:fill="F6F9FC"/>
          </w:tcPr>
          <w:p>
            <w:r>
              <w:rPr>
                <w:sz w:val="17"/>
              </w:rPr>
              <w:t>Hatás</w:t>
            </w:r>
          </w:p>
        </w:tc>
        <w:tc>
          <w:tcPr>
            <w:tcW w:type="dxa" w:w="5184"/>
            <w:tcMar>
              <w:top w:w="85" w:type="dxa"/>
              <w:start w:w="100" w:type="dxa"/>
              <w:bottom w:w="85" w:type="dxa"/>
              <w:end w:w="100" w:type="dxa"/>
            </w:tcMar>
            <w:shd w:fill="F6F9FC"/>
          </w:tcPr>
          <w:p>
            <w:r>
              <w:rPr>
                <w:sz w:val="17"/>
              </w:rPr>
              <w:t>Mit tudna elérni a hibával a támadó?</w:t>
            </w:r>
          </w:p>
        </w:tc>
      </w:tr>
      <w:tr>
        <w:tc>
          <w:tcPr>
            <w:tcW w:type="dxa" w:w="5184"/>
            <w:tcMar>
              <w:top w:w="85" w:type="dxa"/>
              <w:start w:w="100" w:type="dxa"/>
              <w:bottom w:w="85" w:type="dxa"/>
              <w:end w:w="100" w:type="dxa"/>
            </w:tcMar>
          </w:tcPr>
          <w:p>
            <w:r>
              <w:rPr>
                <w:sz w:val="17"/>
              </w:rPr>
              <w:t>Bizonyíték</w:t>
            </w:r>
          </w:p>
        </w:tc>
        <w:tc>
          <w:tcPr>
            <w:tcW w:type="dxa" w:w="5184"/>
            <w:tcMar>
              <w:top w:w="85" w:type="dxa"/>
              <w:start w:w="100" w:type="dxa"/>
              <w:bottom w:w="85" w:type="dxa"/>
              <w:end w:w="100" w:type="dxa"/>
            </w:tcMar>
          </w:tcPr>
          <w:p>
            <w:r>
              <w:rPr>
                <w:sz w:val="17"/>
              </w:rPr>
              <w:t>Flag, napló, screenshot, hash vagy kimenet.</w:t>
            </w:r>
          </w:p>
        </w:tc>
      </w:tr>
      <w:tr>
        <w:tc>
          <w:tcPr>
            <w:tcW w:type="dxa" w:w="5184"/>
            <w:tcMar>
              <w:top w:w="85" w:type="dxa"/>
              <w:start w:w="100" w:type="dxa"/>
              <w:bottom w:w="85" w:type="dxa"/>
              <w:end w:w="100" w:type="dxa"/>
            </w:tcMar>
            <w:shd w:fill="F6F9FC"/>
          </w:tcPr>
          <w:p>
            <w:r>
              <w:rPr>
                <w:sz w:val="17"/>
              </w:rPr>
              <w:t>Javítás</w:t>
            </w:r>
          </w:p>
        </w:tc>
        <w:tc>
          <w:tcPr>
            <w:tcW w:type="dxa" w:w="5184"/>
            <w:tcMar>
              <w:top w:w="85" w:type="dxa"/>
              <w:start w:w="100" w:type="dxa"/>
              <w:bottom w:w="85" w:type="dxa"/>
              <w:end w:w="100" w:type="dxa"/>
            </w:tcMar>
            <w:shd w:fill="F6F9FC"/>
          </w:tcPr>
          <w:p>
            <w:r>
              <w:rPr>
                <w:sz w:val="17"/>
              </w:rPr>
              <w:t>Konkrét jogosultság-, konfiguráció- vagy architektúra-módosítás.</w:t>
            </w:r>
          </w:p>
        </w:tc>
      </w:tr>
      <w:tr>
        <w:tc>
          <w:tcPr>
            <w:tcW w:type="dxa" w:w="5184"/>
            <w:tcMar>
              <w:top w:w="85" w:type="dxa"/>
              <w:start w:w="100" w:type="dxa"/>
              <w:bottom w:w="85" w:type="dxa"/>
              <w:end w:w="100" w:type="dxa"/>
            </w:tcMar>
          </w:tcPr>
          <w:p>
            <w:r>
              <w:rPr>
                <w:sz w:val="17"/>
              </w:rPr>
              <w:t>Retest</w:t>
            </w:r>
          </w:p>
        </w:tc>
        <w:tc>
          <w:tcPr>
            <w:tcW w:type="dxa" w:w="5184"/>
            <w:tcMar>
              <w:top w:w="85" w:type="dxa"/>
              <w:start w:w="100" w:type="dxa"/>
              <w:bottom w:w="85" w:type="dxa"/>
              <w:end w:w="100" w:type="dxa"/>
            </w:tcMar>
          </w:tcPr>
          <w:p>
            <w:r>
              <w:rPr>
                <w:sz w:val="17"/>
              </w:rPr>
              <w:t>Ugyanaz a teszt javítás után és annak eredménye.</w:t>
            </w:r>
          </w:p>
        </w:tc>
      </w:tr>
    </w:tbl>
    <w:p>
      <w:pPr>
        <w:pStyle w:val="Heading1"/>
        <w:spacing w:before="160" w:after="100"/>
      </w:pPr>
      <w:r>
        <w:t>10. Összefoglalás</w:t>
      </w:r>
    </w:p>
    <w:p>
      <w:pPr>
        <w:pStyle w:val="ListBullet"/>
        <w:spacing w:after="40"/>
      </w:pPr>
      <w:r>
        <w:t>A privilege escalation legtöbbször nem egyetlen „hack”, hanem hibás jogosultsági döntések lánca.</w:t>
      </w:r>
    </w:p>
    <w:p>
      <w:pPr>
        <w:pStyle w:val="ListBullet"/>
        <w:spacing w:after="40"/>
      </w:pPr>
      <w:r>
        <w:t>Enumeráció nélkül nincs megbízható jogosultságnövelési vizsgálat.</w:t>
      </w:r>
    </w:p>
    <w:p>
      <w:pPr>
        <w:pStyle w:val="ListBullet"/>
        <w:spacing w:after="40"/>
      </w:pPr>
      <w:r>
        <w:t>A legerősebb tanulási minta: találat → kézi validálás → minimális bizonyítás → hardening → retest.</w:t>
      </w:r>
    </w:p>
    <w:p>
      <w:pPr>
        <w:pStyle w:val="ListBullet"/>
        <w:spacing w:after="40"/>
      </w:pPr>
      <w:r>
        <w:t>A következő modulokban ezt a szemléletet OSINT, incident response és blue team feladatoknál is újrahasználjuk.</w:t>
      </w:r>
    </w:p>
    <w:p>
      <w:pPr>
        <w:pStyle w:val="Heading1"/>
        <w:spacing w:before="160" w:after="100"/>
      </w:pPr>
      <w:r>
        <w:t>11. Források és további olvasmány</w:t>
      </w:r>
    </w:p>
    <w:p>
      <w:pPr>
        <w:pStyle w:val="ListBullet"/>
        <w:spacing w:after="40"/>
      </w:pPr>
      <w:r>
        <w:t>The Linux Kernel documentation – Credentials in Linux; No New Privileges.</w:t>
      </w:r>
    </w:p>
    <w:p>
      <w:pPr>
        <w:pStyle w:val="ListBullet"/>
        <w:spacing w:after="40"/>
      </w:pPr>
      <w:r>
        <w:t>Linux man-pages – capabilities(7), getcap(8).</w:t>
      </w:r>
    </w:p>
    <w:p>
      <w:pPr>
        <w:pStyle w:val="ListBullet"/>
        <w:spacing w:after="40"/>
      </w:pPr>
      <w:r>
        <w:t>Sudo project – sudoers manual.</w:t>
      </w:r>
    </w:p>
    <w:p>
      <w:pPr>
        <w:pStyle w:val="ListBullet"/>
        <w:spacing w:after="40"/>
      </w:pPr>
      <w:r>
        <w:t>Microsoft Learn – User Account Control Overview; Task Scheduler; Service Security and Access Rights.</w:t>
      </w:r>
    </w:p>
    <w:p>
      <w:pPr>
        <w:pStyle w:val="ListBullet"/>
        <w:spacing w:after="40"/>
      </w:pPr>
      <w:r>
        <w:t>Kali Linux Tools – unix-privesc-check / windows-privesc-check.</w:t>
      </w:r>
    </w:p>
    <w:p>
      <w:pPr>
        <w:pStyle w:val="ListBullet"/>
        <w:spacing w:after="40"/>
      </w:pPr>
      <w:r>
        <w:t>PEASS-ng project – LinPEAS és WinPEAS hivatalos release-ek.</w:t>
      </w:r>
    </w:p>
    <w:sectPr w:rsidR="00FC693F" w:rsidRPr="0006063C" w:rsidSect="00034616">
      <w:headerReference w:type="default" r:id="rId9"/>
      <w:footerReference w:type="default" r:id="rId10"/>
      <w:pgSz w:w="12240" w:h="15840"/>
      <w:pgMar w:top="792" w:right="936" w:bottom="792"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6C829A"/>
        <w:sz w:val="16"/>
      </w:rPr>
      <w:t xml:space="preserve">Oktatási célú, izolált laborban használható tananyag  •  </w:t>
    </w:r>
    <w: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Noto Sans" w:hAnsi="Noto Sans"/>
        <w:b/>
        <w:color w:val="1CA7FF"/>
        <w:sz w:val="16"/>
      </w:rPr>
      <w:t>ETIKUS HACKELÉS • 11. modul – Privilege Escalation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Noto Sans" w:hAnsi="Noto Sans" w:eastAsia="Noto Sans"/>
      <w:color w:val="162536"/>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Noto Sans" w:hAnsi="Noto Sans" w:eastAsia="Noto Sans"/>
      <w:b/>
      <w:bCs/>
      <w:color w:val="071426"/>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Noto Sans" w:hAnsi="Noto Sans" w:eastAsia="Noto Sans"/>
      <w:b/>
      <w:bCs/>
      <w:color w:val="1CA7FF"/>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Noto Sans" w:hAnsi="Noto Sans" w:eastAsia="Noto Sans"/>
      <w:b/>
      <w:bCs/>
      <w:color w:val="29C7B8"/>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Noto Sans" w:hAnsi="Noto Sans" w:eastAsia="Noto Sans"/>
      <w:b/>
      <w:color w:val="071426"/>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
    <w:name w:val="Code"/>
    <w:pPr>
      <w:spacing w:after="0"/>
    </w:pPr>
    <w:rPr>
      <w:rFonts w:ascii="Liberation Mono" w:hAnsi="Liberation Mono" w:eastAsia="Liberation Mono"/>
      <w:color w:val="DCEBFF"/>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